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9713" w14:textId="77777777" w:rsidR="00EF3DD1" w:rsidRDefault="005700C1">
      <w:r>
        <w:t>Additional file 2. Model Specification and Calibration Summaries</w:t>
      </w:r>
    </w:p>
    <w:p w14:paraId="77EE8186" w14:textId="77777777" w:rsidR="00EF3DD1" w:rsidRDefault="005700C1">
      <w:r>
        <w:t>This additional file provides information to support reproducibility of the timing-restricted exploratory prediction analysis reported in the manuscript, including radiomics features and coefficients from a descriptive full-subset elastic-net refit and calibration summaries based on out-of-fold predictions. The refit coefficients are provided for transparency and are not presented as a final clinical model.</w:t>
      </w:r>
    </w:p>
    <w:p w14:paraId="13EBF8C7" w14:textId="77777777" w:rsidR="00EF3DD1" w:rsidRDefault="005700C1">
      <w:r>
        <w:t>Table S2-1. Descriptive full-subset refit specification (20–60-day evaluable set)</w:t>
      </w:r>
    </w:p>
    <w:p w14:paraId="5EB3B0F3" w14:textId="77777777" w:rsidR="00EF3DD1" w:rsidRDefault="005700C1">
      <w:r>
        <w:t xml:space="preserve">How to compute predicted probability: p = 1 / (1 + </w:t>
      </w:r>
      <w:proofErr w:type="gramStart"/>
      <w:r>
        <w:t>exp(-(</w:t>
      </w:r>
      <w:proofErr w:type="gramEnd"/>
      <w:r>
        <w:t xml:space="preserve">Intercept + </w:t>
      </w:r>
      <w:proofErr w:type="gramStart"/>
      <w:r>
        <w:t>Σ(</w:t>
      </w:r>
      <w:proofErr w:type="gramEnd"/>
      <w:r>
        <w:t xml:space="preserve">coefficient × </w:t>
      </w:r>
      <w:proofErr w:type="spellStart"/>
      <w:r>
        <w:t>feature_</w:t>
      </w:r>
      <w:proofErr w:type="gramStart"/>
      <w:r>
        <w:t>value</w:t>
      </w:r>
      <w:proofErr w:type="spellEnd"/>
      <w:r>
        <w:t>))</w:t>
      </w:r>
      <w:proofErr w:type="gramEnd"/>
      <w:r>
        <w:t>)).</w:t>
      </w:r>
    </w:p>
    <w:p w14:paraId="2E983F22" w14:textId="77777777" w:rsidR="00EF3DD1" w:rsidRDefault="005700C1">
      <w:r>
        <w:t>Feature scaling: radiomics features were standardized (z-scored) using training-fold mean and standard deviation within each patient-level grouped cross-validation split. Table S2-1 reports coefficients from a descriptive model refit on the full 20–60-day evaluable dataset using the prespecified preprocessing settings; discrimination and calibration metrics are based on out-of-fold predictions rather than apparent performance from the refitted model.</w:t>
      </w:r>
    </w:p>
    <w:p>
      <w:r>
        <w:rPr>
          <w:b/>
        </w:rPr>
        <w:t>Model: </w:t>
      </w:r>
      <w:r>
        <w:t>Radiomics (Pre + Delta) elastic-net logistic regression</w:t>
      </w:r>
    </w:p>
    <w:p>
      <w:r>
        <w:rPr>
          <w:b/>
        </w:rPr>
        <w:t>Intercept: </w:t>
      </w:r>
      <w:r>
        <w:t>-0.791303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rPr>
          <w:tblHeader w:val="true"/>
        </w:trPr>
        <w:tc>
          <w:tcPr>
            <w:tcW w:type="dxa" w:w="8136"/>
          </w:tcPr>
          <w:p>
            <w:r>
              <w:rPr>
                <w:b/>
                <w:sz w:val="17"/>
              </w:rPr>
              <w:t>Feature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b/>
                <w:sz w:val="17"/>
              </w:rPr>
              <w:t>Coefficient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original__glcm__ClusterShade_delta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-0.627488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original__shape__Maximum2DDiameterColumn_delta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0.428149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original__glszm__GrayLevelNonUniformityNormalized_delta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-0.352979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original__glszm__GrayLevelNonUniformity_pre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0.338190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original__glrlm__LongRunLowGrayLevelEmphasis_pre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-0.324656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original__gldm__LargeDependenceLowGrayLevelEmphasis_pre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-0.284968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original__glrlm__LongRunHighGrayLevelEmphasis_delta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-0.284347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original__glcm__InverseVariance_delta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0.278626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original__glcm__Idmn_pre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0.276870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original__gldm__LowGrayLevelEmphasis_pre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-0.250559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original__glcm__MaximumProbability_delta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-0.246788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original__glrlm__GrayLevelNonUniformity_pre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0.244857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original__firstorder__10Percentile_delta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-0.241491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original__ngtdm__Contrast_delta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0.234004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original__gldm__LargeDependenceHighGrayLevelEmphasis_pre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0.216641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original__glrlm__LongRunHighGrayLevelEmphasis_pre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0.214054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original__firstorder__Kurtosis_delta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-0.211097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original__shape__LeastAxisLength_pre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0.184628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original__gldm__DependenceEntropy_delta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0.176990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original__glrlm__LowGrayLevelRunEmphasis_pre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-0.162453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original__firstorder__Kurtosis_pre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0.157267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original__shape__SurfaceArea_pre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0.156786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original__glcm__Idn_delta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-0.152371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original__gldm__DependenceNonUniformityNormalized_pre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-0.139568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original__glcm__Idn_pre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0.118214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original__glszm__ZoneEntropy_pre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0.113054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original__shape__Sphericity_pre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-0.110669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original__glrlm__RunVariance_delta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-0.109845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original__gldm__DependenceVariance_pre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0.103613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original__glrlm__LongRunEmphasis_delta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-0.090691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original__shape__Maximum2DDiameterSlice_pre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0.080060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original__ngtdm__Busyness_pre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-0.059778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original__glrlm__ShortRunLowGrayLevelEmphasis_pre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-0.049058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original__ngtdm__Contrast_pre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-0.047154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original__shape__Flatness_pre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0.023773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original__glszm__SizeZoneNonUniformity_pre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0.021013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original__glszm__GrayLevelNonUniformity_delta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-0.008330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original__glrlm__GrayLevelNonUniformityNormalized_delta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-0.007872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original__ngtdm__Busyness_delta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0.003794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original__gldm__GrayLevelNonUniformity_pre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0.003770</w:t>
            </w:r>
          </w:p>
        </w:tc>
      </w:tr>
      <w:tr>
        <w:tc>
          <w:tcPr>
            <w:tcW w:type="dxa" w:w="8136"/>
          </w:tcPr>
          <w:p>
            <w:r>
              <w:rPr>
                <w:sz w:val="17"/>
              </w:rPr>
              <w:t>original__glcm__SumEntropy_delta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7"/>
              </w:rPr>
              <w:t>0.002554</w:t>
            </w:r>
          </w:p>
        </w:tc>
      </w:tr>
    </w:tbl>
    <w:p w14:paraId="7450D759" w14:textId="77777777" w:rsidR="00EF3DD1" w:rsidRDefault="00EF3DD1"/>
    <w:p w14:paraId="5C62708F" w14:textId="77777777" w:rsidR="00EF3DD1" w:rsidRDefault="005700C1">
      <w:r>
        <w:t xml:space="preserve">Table S2-2. Calibration summaries using out-of-fold predictions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EF3DD1" w14:paraId="269B326E" w14:textId="77777777">
        <w:trPr>
          <w:tblHeader w:val="true"/>
        </w:trPr>
        <w:tc>
          <w:tcPr>
            <w:tcW w:w="1728" w:type="dxa"/>
          </w:tcPr>
          <w:p w14:paraId="47850846" w14:textId="77777777" w:rsidR="00EF3DD1" w:rsidRDefault="005700C1">
            <w:r>
              <w:rPr>
                <w:b/>
                <w:sz w:val="17"/>
              </w:rPr>
              <w:t>Timing set</w:t>
            </w:r>
          </w:p>
        </w:tc>
        <w:tc>
          <w:tcPr>
            <w:tcW w:w="1728" w:type="dxa"/>
          </w:tcPr>
          <w:p w14:paraId="559B359A" w14:textId="77777777" w:rsidR="00EF3DD1" w:rsidRDefault="005700C1">
            <w:r>
              <w:rPr>
                <w:b/>
                <w:sz w:val="17"/>
              </w:rPr>
              <w:t>Model</w:t>
            </w:r>
          </w:p>
        </w:tc>
        <w:tc>
          <w:tcPr>
            <w:tcW w:w="1728" w:type="dxa"/>
          </w:tcPr>
          <w:p w14:paraId="3E643C6C" w14:textId="77777777" w:rsidR="00EF3DD1" w:rsidRDefault="005700C1">
            <w:r>
              <w:rPr>
                <w:b/>
                <w:sz w:val="17"/>
              </w:rPr>
              <w:t>Calibration-in-the-large</w:t>
            </w:r>
          </w:p>
        </w:tc>
        <w:tc>
          <w:tcPr>
            <w:tcW w:w="1728" w:type="dxa"/>
          </w:tcPr>
          <w:p w14:paraId="266ECF28" w14:textId="77777777" w:rsidR="00EF3DD1" w:rsidRDefault="005700C1">
            <w:r>
              <w:rPr>
                <w:b/>
                <w:sz w:val="17"/>
              </w:rPr>
              <w:t>Calibration slope</w:t>
            </w:r>
          </w:p>
        </w:tc>
        <w:tc>
          <w:tcPr>
            <w:tcW w:w="1728" w:type="dxa"/>
          </w:tcPr>
          <w:p w14:paraId="040DF5CB" w14:textId="77777777" w:rsidR="00EF3DD1" w:rsidRDefault="005700C1">
            <w:r>
              <w:rPr>
                <w:b/>
                <w:sz w:val="17"/>
              </w:rPr>
              <w:t>Brier score (optional)</w:t>
            </w:r>
          </w:p>
        </w:tc>
      </w:tr>
      <w:tr w:rsidR="00EF3DD1" w14:paraId="7B301F87" w14:textId="77777777">
        <w:tc>
          <w:tcPr>
            <w:tcW w:w="1728" w:type="dxa"/>
          </w:tcPr>
          <w:p w14:paraId="2AEA7CF4" w14:textId="77777777" w:rsidR="00EF3DD1" w:rsidRDefault="005700C1">
            <w:r>
              <w:rPr>
                <w:sz w:val="17"/>
              </w:rPr>
              <w:t>20-60 days</w:t>
            </w:r>
          </w:p>
        </w:tc>
        <w:tc>
          <w:tcPr>
            <w:tcW w:w="1728" w:type="dxa"/>
          </w:tcPr>
          <w:p w14:paraId="00C87210" w14:textId="77777777" w:rsidR="00EF3DD1" w:rsidRDefault="005700C1">
            <w:r>
              <w:rPr>
                <w:sz w:val="17"/>
              </w:rPr>
              <w:t>Radiomics (Pre + Delta) elastic-net logistic regression</w:t>
            </w:r>
          </w:p>
        </w:tc>
        <w:tc>
          <w:tcPr>
            <w:tcW w:w="1728" w:type="dxa"/>
          </w:tcPr>
          <w:p w14:paraId="24CC85FD" w14:textId="77777777" w:rsidR="00EF3DD1" w:rsidRDefault="005700C1">
            <w:r>
              <w:rPr>
                <w:sz w:val="17"/>
              </w:rPr>
              <w:t>0.208</w:t>
            </w:r>
          </w:p>
        </w:tc>
        <w:tc>
          <w:tcPr>
            <w:tcW w:w="1728" w:type="dxa"/>
          </w:tcPr>
          <w:p w14:paraId="553CFAE6" w14:textId="77777777" w:rsidR="00EF3DD1" w:rsidRDefault="005700C1">
            <w:r>
              <w:rPr>
                <w:sz w:val="17"/>
              </w:rPr>
              <w:t>1.054</w:t>
            </w:r>
          </w:p>
        </w:tc>
        <w:tc>
          <w:tcPr>
            <w:tcW w:w="1728" w:type="dxa"/>
          </w:tcPr>
          <w:p w14:paraId="1F72338B" w14:textId="77777777" w:rsidR="00EF3DD1" w:rsidRDefault="005700C1">
            <w:r>
              <w:rPr>
                <w:sz w:val="17"/>
              </w:rPr>
              <w:t>0.151</w:t>
            </w:r>
          </w:p>
        </w:tc>
      </w:tr>
    </w:tbl>
    <w:p w14:paraId="00367B8D" w14:textId="77777777" w:rsidR="00EF3DD1" w:rsidRDefault="00EF3DD1"/>
    <w:p w14:paraId="452E8D4A" w14:textId="77777777" w:rsidR="00EF3DD1" w:rsidRDefault="005700C1">
      <w:r>
        <w:t xml:space="preserve">Notes: Calibration metrics were computed using patient-level grouped cross-validation out-of-fold predicted probabilities (n=21, events=7). Calibration-in-the-large and slope were estimated by logistic regression of the binary outcome on the logit of the out-of-fold </w:t>
      </w:r>
      <w:r>
        <w:lastRenderedPageBreak/>
        <w:t xml:space="preserve">predictions. Radiomics feature names follow the default </w:t>
      </w:r>
      <w:proofErr w:type="spellStart"/>
      <w:r>
        <w:t>PyRadiomics</w:t>
      </w:r>
      <w:proofErr w:type="spellEnd"/>
      <w:r>
        <w:t xml:space="preserve"> naming convention (e.g., original__&lt;</w:t>
      </w:r>
      <w:proofErr w:type="spellStart"/>
      <w:r>
        <w:t>featureClass</w:t>
      </w:r>
      <w:proofErr w:type="spellEnd"/>
      <w:r>
        <w:t>&gt;__&lt;</w:t>
      </w:r>
      <w:proofErr w:type="spellStart"/>
      <w:r>
        <w:t>featureName</w:t>
      </w:r>
      <w:proofErr w:type="spellEnd"/>
      <w:r>
        <w:t>&gt;).</w:t>
      </w:r>
    </w:p>
    <w:p w14:paraId="25EF2B26" w14:textId="77777777" w:rsidR="00EF3DD1" w:rsidRDefault="00EF3DD1"/>
    <w:p w14:paraId="63571BCE" w14:textId="77777777" w:rsidR="00EF3DD1" w:rsidRDefault="00EF3DD1"/>
    <w:sectPr w:rsidR="00EF3D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949B" w14:textId="77777777" w:rsidR="005C19EA" w:rsidRDefault="005C19EA" w:rsidP="00076DEE">
      <w:pPr>
        <w:spacing w:after="0" w:line="240" w:lineRule="auto"/>
      </w:pPr>
      <w:r>
        <w:separator/>
      </w:r>
    </w:p>
  </w:endnote>
  <w:endnote w:type="continuationSeparator" w:id="0">
    <w:p w14:paraId="22BA4921" w14:textId="77777777" w:rsidR="005C19EA" w:rsidRDefault="005C19EA" w:rsidP="0007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91E1" w14:textId="77777777" w:rsidR="005C19EA" w:rsidRDefault="005C19EA" w:rsidP="00076DEE">
      <w:pPr>
        <w:spacing w:after="0" w:line="240" w:lineRule="auto"/>
      </w:pPr>
      <w:r>
        <w:separator/>
      </w:r>
    </w:p>
  </w:footnote>
  <w:footnote w:type="continuationSeparator" w:id="0">
    <w:p w14:paraId="7127B100" w14:textId="77777777" w:rsidR="005C19EA" w:rsidRDefault="005C19EA" w:rsidP="00076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1168181">
    <w:abstractNumId w:val="8"/>
  </w:num>
  <w:num w:numId="2" w16cid:durableId="1970281239">
    <w:abstractNumId w:val="6"/>
  </w:num>
  <w:num w:numId="3" w16cid:durableId="1015153888">
    <w:abstractNumId w:val="5"/>
  </w:num>
  <w:num w:numId="4" w16cid:durableId="198903657">
    <w:abstractNumId w:val="4"/>
  </w:num>
  <w:num w:numId="5" w16cid:durableId="1704136216">
    <w:abstractNumId w:val="7"/>
  </w:num>
  <w:num w:numId="6" w16cid:durableId="977608008">
    <w:abstractNumId w:val="3"/>
  </w:num>
  <w:num w:numId="7" w16cid:durableId="153498495">
    <w:abstractNumId w:val="2"/>
  </w:num>
  <w:num w:numId="8" w16cid:durableId="2038433421">
    <w:abstractNumId w:val="1"/>
  </w:num>
  <w:num w:numId="9" w16cid:durableId="64470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DEE"/>
    <w:rsid w:val="0015074B"/>
    <w:rsid w:val="001B5794"/>
    <w:rsid w:val="0029639D"/>
    <w:rsid w:val="00326F90"/>
    <w:rsid w:val="005700C1"/>
    <w:rsid w:val="005C19EA"/>
    <w:rsid w:val="00845D3C"/>
    <w:rsid w:val="00A613F1"/>
    <w:rsid w:val="00AA1D8D"/>
    <w:rsid w:val="00B47730"/>
    <w:rsid w:val="00C75D6B"/>
    <w:rsid w:val="00CB0664"/>
    <w:rsid w:val="00D26F65"/>
    <w:rsid w:val="00EF3D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30"/>
  <w15:docId w15:val="{5186EA27-5ABA-402F-8453-F07222E6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582</Words>
  <Characters>3322</Characters>
  <Application>Microsoft Office Word</Application>
  <DocSecurity>0</DocSecurity>
  <Lines>27</Lines>
  <Paragraphs>7</Paragraphs>
  <ScaleCrop>false</ScaleCrop>
  <Manager/>
  <Company/>
  <LinksUpToDate>false</LinksUpToDate>
  <CharactersWithSpaces>3897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Specification and Calibration Summaries</dc:title>
  <dc:subject>Timing-Aware Delta-Radiomics After Microwave Ablation of Hepatocellular Carcinoma: An Exploratory MRI Study</dc:subject>
  <dc:creator>Mehmet Taha Avci</dc:creator>
  <cp:keywords/>
  <dc:description/>
  <cp:lastModifiedBy>Mehmet Taha Avci</cp:lastModifiedBy>
  <cp:revision>2</cp:revision>
  <dcterms:created xsi:type="dcterms:W3CDTF">2026-02-20T10:18:00Z</dcterms:created>
  <dcterms:modified xsi:type="dcterms:W3CDTF">2026-04-24T17:50:00Z</dcterms:modified>
  <cp:category/>
</cp:coreProperties>
</file>