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484AF" w14:textId="62C85536" w:rsidR="00E1723D" w:rsidRPr="00606F6C" w:rsidRDefault="00641E3B" w:rsidP="00606F6C">
      <w:pPr>
        <w:spacing w:line="480" w:lineRule="auto"/>
        <w:rPr>
          <w:rFonts w:ascii="Times New Roman" w:hAnsi="Times New Roman" w:cs="Times New Roman"/>
          <w:b/>
          <w:i/>
          <w:sz w:val="24"/>
          <w:szCs w:val="24"/>
          <w:lang w:val="en-GB"/>
        </w:rPr>
      </w:pPr>
      <w:r w:rsidRPr="00606F6C">
        <w:rPr>
          <w:rFonts w:ascii="Times New Roman" w:hAnsi="Times New Roman" w:cs="Times New Roman"/>
          <w:b/>
          <w:i/>
          <w:sz w:val="24"/>
          <w:szCs w:val="24"/>
          <w:lang w:val="en-GB"/>
        </w:rPr>
        <w:t>Supplementary Materials</w:t>
      </w:r>
    </w:p>
    <w:p w14:paraId="3A79F05B" w14:textId="18B8EF92" w:rsidR="00641E3B" w:rsidRPr="00606F6C" w:rsidRDefault="00641E3B" w:rsidP="00606F6C">
      <w:pPr>
        <w:spacing w:line="480" w:lineRule="auto"/>
        <w:rPr>
          <w:rFonts w:ascii="Times New Roman" w:hAnsi="Times New Roman" w:cs="Times New Roman"/>
          <w:b/>
          <w:sz w:val="24"/>
          <w:szCs w:val="24"/>
          <w:lang w:val="en-GB"/>
        </w:rPr>
      </w:pPr>
      <w:r w:rsidRPr="00606F6C">
        <w:rPr>
          <w:rFonts w:ascii="Times New Roman" w:hAnsi="Times New Roman" w:cs="Times New Roman"/>
          <w:b/>
          <w:sz w:val="24"/>
          <w:szCs w:val="24"/>
          <w:lang w:val="en-GB"/>
        </w:rPr>
        <w:t>Data Source</w:t>
      </w:r>
    </w:p>
    <w:p w14:paraId="27F49E8A" w14:textId="271ED98D" w:rsidR="00641E3B" w:rsidRPr="00606F6C" w:rsidRDefault="00641E3B" w:rsidP="00606F6C">
      <w:pPr>
        <w:pStyle w:val="NormaleWeb"/>
        <w:spacing w:before="0" w:beforeAutospacing="0" w:after="0" w:afterAutospacing="0" w:line="480" w:lineRule="auto"/>
        <w:ind w:right="74"/>
        <w:jc w:val="both"/>
      </w:pPr>
      <w:r w:rsidRPr="00606F6C">
        <w:t xml:space="preserve">TriNetX (www.trinetx.com) is a federated, cloud-based research network that provides access to electronic medical records from over 150 healthcare organizations (HCOs) in different countries worldwide, including hospitals, primary care providers, and specialty clinics. These HCOs represent diverse geographic regions, age groups, and socioeconomic backgrounds. </w:t>
      </w:r>
    </w:p>
    <w:p w14:paraId="6E72EB6C" w14:textId="77777777" w:rsidR="00641E3B" w:rsidRPr="00606F6C" w:rsidRDefault="00641E3B" w:rsidP="00606F6C">
      <w:pPr>
        <w:pStyle w:val="NormaleWeb"/>
        <w:spacing w:before="0" w:beforeAutospacing="0" w:after="0" w:afterAutospacing="0" w:line="480" w:lineRule="auto"/>
        <w:ind w:right="74"/>
        <w:jc w:val="both"/>
      </w:pPr>
      <w:r w:rsidRPr="00606F6C">
        <w:t>Healthcare institutions seeking to join the TriNetX network are required to submit an application that is subject to a review process. This evaluation involves the examination of data quality, the adequacy of technical infrastructure, and the robustness of data governance frameworks. Membership is granted only when these criteria are met, and the agreement is formalized in accordance with relevant regulatory standards, including the European Union General Data Protection Regulation (GDPR) and the United States Health Insurance Portability and Accountability Act (HIPAA). Participating HCOs bear responsibility for ensuring the accuracy and regular updating of their datasets within the TriNetX environment. Analytical procedures are executed locally at the level of each HCO, and solely aggregated outcomes are transmitted back to the central platform. TriNetX is certified to the ISO 27001:2022 standard.</w:t>
      </w:r>
    </w:p>
    <w:p w14:paraId="49BE7F87" w14:textId="77777777" w:rsidR="00641E3B" w:rsidRPr="00606F6C" w:rsidRDefault="00641E3B" w:rsidP="00606F6C">
      <w:pPr>
        <w:pStyle w:val="NormaleWeb"/>
        <w:spacing w:before="0" w:beforeAutospacing="0" w:after="0" w:afterAutospacing="0" w:line="480" w:lineRule="auto"/>
        <w:ind w:right="74"/>
      </w:pPr>
      <w:r w:rsidRPr="00606F6C">
        <w:t>Available data include demographics, coded diagnoses (International Classification of Diseases</w:t>
      </w:r>
    </w:p>
    <w:p w14:paraId="2C2F2A19" w14:textId="77777777" w:rsidR="00641E3B" w:rsidRPr="00606F6C" w:rsidRDefault="00641E3B" w:rsidP="00606F6C">
      <w:pPr>
        <w:pStyle w:val="NormaleWeb"/>
        <w:spacing w:before="0" w:beforeAutospacing="0" w:after="0" w:afterAutospacing="0" w:line="480" w:lineRule="auto"/>
        <w:ind w:right="74"/>
      </w:pPr>
      <w:r w:rsidRPr="00606F6C">
        <w:t>(ICD)- version 10), procedures (ICD-10- Procedure Coding System or Current Procedural</w:t>
      </w:r>
    </w:p>
    <w:p w14:paraId="286EC292" w14:textId="77777777" w:rsidR="00641E3B" w:rsidRPr="00606F6C" w:rsidRDefault="00641E3B" w:rsidP="00606F6C">
      <w:pPr>
        <w:pStyle w:val="NormaleWeb"/>
        <w:spacing w:before="0" w:beforeAutospacing="0" w:after="0" w:afterAutospacing="0" w:line="480" w:lineRule="auto"/>
        <w:ind w:right="74"/>
      </w:pPr>
      <w:r w:rsidRPr="00606F6C">
        <w:t>Terminology), medications (National Library of Medicine and the Department of Veterans Affairs), and measurements (laboratory tests and body mass index (BMI), Logical Observation Identifiers Names and Codes). Within the TriNetX platform, electronic health records (EHRs) can be accessed and analyzed through five distinct Collaborative Networks (</w:t>
      </w:r>
      <w:hyperlink r:id="rId4" w:history="1">
        <w:r w:rsidRPr="00606F6C">
          <w:t>https://doi.org/10.3389/fphar.2025.1516126</w:t>
        </w:r>
      </w:hyperlink>
      <w:r w:rsidRPr="00606F6C">
        <w:t xml:space="preserve">): The Global Collaborative Network (128 HCOs), the US Collaborative Network (66 HCOs), the Latin America (LATAM) Collaborative Network (32 </w:t>
      </w:r>
      <w:r w:rsidRPr="00606F6C">
        <w:lastRenderedPageBreak/>
        <w:t xml:space="preserve">HCOs), the Europe, Middle East, and Africa (EMEA) Collaborative Network (26 HCOs), and the Asian Pacific (APAC) Collaborative Network (14 HCOs). </w:t>
      </w:r>
    </w:p>
    <w:p w14:paraId="3C2B2B70" w14:textId="77777777" w:rsidR="00641E3B" w:rsidRPr="00606F6C" w:rsidRDefault="00641E3B" w:rsidP="00606F6C">
      <w:pPr>
        <w:pStyle w:val="NormaleWeb"/>
        <w:spacing w:before="0" w:beforeAutospacing="0" w:after="0" w:afterAutospacing="0" w:line="480" w:lineRule="auto"/>
        <w:ind w:right="74"/>
      </w:pPr>
      <w:r w:rsidRPr="00606F6C">
        <w:t>The data provided by TriNetX are aggregated; therefore, our institution did not require approval from the Ethics Committee.</w:t>
      </w:r>
    </w:p>
    <w:p w14:paraId="5F2E3DB4" w14:textId="77777777" w:rsidR="00641E3B" w:rsidRPr="00606F6C" w:rsidRDefault="00641E3B" w:rsidP="00606F6C">
      <w:pPr>
        <w:pStyle w:val="NormaleWeb"/>
        <w:spacing w:before="0" w:beforeAutospacing="0" w:after="0" w:afterAutospacing="0" w:line="480" w:lineRule="auto"/>
        <w:ind w:right="74"/>
        <w:jc w:val="both"/>
        <w:rPr>
          <w:i/>
        </w:rPr>
      </w:pPr>
      <w:r w:rsidRPr="00606F6C">
        <w:rPr>
          <w:i/>
        </w:rPr>
        <w:t>Data Analysis</w:t>
      </w:r>
    </w:p>
    <w:p w14:paraId="0C021050" w14:textId="77777777" w:rsidR="00641E3B" w:rsidRPr="00606F6C" w:rsidRDefault="00641E3B" w:rsidP="00606F6C">
      <w:pPr>
        <w:pStyle w:val="NormaleWeb"/>
        <w:spacing w:before="0" w:beforeAutospacing="0" w:after="0" w:afterAutospacing="0" w:line="480" w:lineRule="auto"/>
        <w:ind w:right="74"/>
        <w:jc w:val="both"/>
      </w:pPr>
      <w:r w:rsidRPr="00606F6C">
        <w:t>Analysis in TriNetX are based on:</w:t>
      </w:r>
    </w:p>
    <w:p w14:paraId="46389272" w14:textId="77777777" w:rsidR="00641E3B" w:rsidRPr="00606F6C" w:rsidRDefault="00641E3B" w:rsidP="00606F6C">
      <w:pPr>
        <w:pStyle w:val="NormaleWeb"/>
        <w:spacing w:before="0" w:beforeAutospacing="0" w:after="0" w:afterAutospacing="0" w:line="480" w:lineRule="auto"/>
        <w:ind w:right="74"/>
        <w:jc w:val="both"/>
      </w:pPr>
      <w:r w:rsidRPr="00606F6C">
        <w:t>- Query Builder: Study cohorts are generated by selecting the relevant collaborative network within the Health Equity Research (HER) dataset. Data are retrieved from registries and diagnostic sources, with inclusion and exclusion criteria defined using standardized coding systems. Criteria can be refined by filters, temporal constraints, and group relationships, allowing for the construction of single or multi-group cohorts.</w:t>
      </w:r>
    </w:p>
    <w:p w14:paraId="035700E6" w14:textId="1EB4CDCB" w:rsidR="00641E3B" w:rsidRPr="00606F6C" w:rsidRDefault="00641E3B" w:rsidP="00606F6C">
      <w:pPr>
        <w:pStyle w:val="NormaleWeb"/>
        <w:spacing w:before="0" w:beforeAutospacing="0" w:after="0" w:afterAutospacing="0" w:line="480" w:lineRule="auto"/>
        <w:ind w:right="74"/>
        <w:jc w:val="both"/>
      </w:pPr>
      <w:r w:rsidRPr="00606F6C">
        <w:t>- Analytics: The analytics module supports outcome analysis, cohort comparisons, treatment pathway mapping, and incidence/prevalence estimation. Baseline characteristics are assessed prior to matching. Available statistical outputs include measures of association (risk ratios, risk differences, odds ratios), survival analyses (Kaplan–Meier curves, log-rank tests, hazard ratios), event counts, laboratory results, and follow-up time.</w:t>
      </w:r>
    </w:p>
    <w:p w14:paraId="1947A317" w14:textId="77777777" w:rsidR="00431285" w:rsidRPr="00606F6C" w:rsidRDefault="00431285" w:rsidP="00606F6C">
      <w:pPr>
        <w:pStyle w:val="NormaleWeb"/>
        <w:spacing w:before="0" w:beforeAutospacing="0" w:after="0" w:afterAutospacing="0" w:line="480" w:lineRule="auto"/>
        <w:ind w:right="74"/>
        <w:jc w:val="both"/>
      </w:pPr>
    </w:p>
    <w:p w14:paraId="2F3C814F" w14:textId="2622D9C5" w:rsidR="00EB6239" w:rsidRPr="00606F6C" w:rsidRDefault="00EB6239" w:rsidP="00606F6C">
      <w:pPr>
        <w:pStyle w:val="NormaleWeb"/>
        <w:spacing w:before="0" w:beforeAutospacing="0" w:after="0" w:afterAutospacing="0" w:line="480" w:lineRule="auto"/>
        <w:ind w:right="74"/>
        <w:jc w:val="both"/>
        <w:rPr>
          <w:b/>
          <w:i/>
        </w:rPr>
      </w:pPr>
      <w:r w:rsidRPr="00606F6C">
        <w:rPr>
          <w:b/>
          <w:i/>
        </w:rPr>
        <w:t>Cohorts Construction</w:t>
      </w:r>
    </w:p>
    <w:p w14:paraId="22090F51" w14:textId="4807AA90" w:rsidR="00EB6239" w:rsidRPr="00606F6C" w:rsidRDefault="00EB6239" w:rsidP="00606F6C">
      <w:pPr>
        <w:pStyle w:val="NormaleWeb"/>
        <w:spacing w:before="0" w:beforeAutospacing="0" w:after="0" w:afterAutospacing="0" w:line="480" w:lineRule="auto"/>
        <w:ind w:right="74"/>
        <w:jc w:val="both"/>
        <w:rPr>
          <w:u w:val="single"/>
        </w:rPr>
      </w:pPr>
      <w:r w:rsidRPr="00606F6C">
        <w:rPr>
          <w:b/>
          <w:u w:val="single"/>
        </w:rPr>
        <w:t>C1</w:t>
      </w:r>
      <w:r w:rsidRPr="00606F6C">
        <w:rPr>
          <w:u w:val="single"/>
        </w:rPr>
        <w:t>: patients with a diagnosis of heart failure (HF, 10-CM code: I50) and without a diagnosis of type 1 diabetes mellitus (ICD-10-CM code: E10).</w:t>
      </w:r>
    </w:p>
    <w:p w14:paraId="73ED7377" w14:textId="329859CB" w:rsidR="00F46D60" w:rsidRPr="00606F6C" w:rsidRDefault="00F46D60" w:rsidP="00606F6C">
      <w:pPr>
        <w:spacing w:line="480" w:lineRule="auto"/>
        <w:rPr>
          <w:rFonts w:ascii="Times New Roman" w:hAnsi="Times New Roman" w:cs="Times New Roman"/>
          <w:sz w:val="24"/>
          <w:szCs w:val="24"/>
          <w:lang w:val="en-GB"/>
        </w:rPr>
      </w:pPr>
      <w:r w:rsidRPr="00606F6C">
        <w:rPr>
          <w:rFonts w:ascii="Times New Roman" w:hAnsi="Times New Roman" w:cs="Times New Roman"/>
          <w:sz w:val="24"/>
          <w:szCs w:val="24"/>
          <w:lang w:val="en-GB"/>
        </w:rPr>
        <w:t>Patients must have:</w:t>
      </w:r>
      <w:r w:rsidRPr="00606F6C">
        <w:rPr>
          <w:rFonts w:ascii="Times New Roman" w:hAnsi="Times New Roman" w:cs="Times New Roman"/>
          <w:sz w:val="24"/>
          <w:szCs w:val="24"/>
          <w:lang w:val="en-GB"/>
        </w:rPr>
        <w:br/>
        <w:t xml:space="preserve">      Heart failure (</w:t>
      </w:r>
      <w:proofErr w:type="gramStart"/>
      <w:r w:rsidRPr="00606F6C">
        <w:rPr>
          <w:rFonts w:ascii="Times New Roman" w:hAnsi="Times New Roman" w:cs="Times New Roman"/>
          <w:sz w:val="24"/>
          <w:szCs w:val="24"/>
          <w:lang w:val="en-GB"/>
        </w:rPr>
        <w:t>UMLS:ICD10CM:I50</w:t>
      </w:r>
      <w:proofErr w:type="gramEnd"/>
      <w:r w:rsidRPr="00606F6C">
        <w:rPr>
          <w:rFonts w:ascii="Times New Roman" w:hAnsi="Times New Roman" w:cs="Times New Roman"/>
          <w:sz w:val="24"/>
          <w:szCs w:val="24"/>
          <w:lang w:val="en-GB"/>
        </w:rPr>
        <w:t xml:space="preserve">); </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Patients cannot have:</w:t>
      </w:r>
      <w:r w:rsidRPr="00606F6C">
        <w:rPr>
          <w:rFonts w:ascii="Times New Roman" w:hAnsi="Times New Roman" w:cs="Times New Roman"/>
          <w:sz w:val="24"/>
          <w:szCs w:val="24"/>
          <w:lang w:val="en-GB"/>
        </w:rPr>
        <w:br/>
        <w:t xml:space="preserve">   Type 1 diabetes mellitus (UMLS:ICD10CM:E10).</w:t>
      </w:r>
    </w:p>
    <w:p w14:paraId="645F3BD9" w14:textId="77777777" w:rsidR="007F12DD" w:rsidRPr="00606F6C" w:rsidRDefault="007F12DD" w:rsidP="00606F6C">
      <w:pPr>
        <w:spacing w:line="480" w:lineRule="auto"/>
        <w:rPr>
          <w:rFonts w:ascii="Times New Roman" w:hAnsi="Times New Roman" w:cs="Times New Roman"/>
          <w:sz w:val="24"/>
          <w:szCs w:val="24"/>
          <w:lang w:val="en-GB"/>
        </w:rPr>
      </w:pPr>
    </w:p>
    <w:p w14:paraId="692733BF" w14:textId="3487D012" w:rsidR="00F46D60" w:rsidRPr="00606F6C" w:rsidRDefault="00F46D60" w:rsidP="00606F6C">
      <w:pPr>
        <w:pStyle w:val="NormaleWeb"/>
        <w:spacing w:before="0" w:beforeAutospacing="0" w:after="0" w:afterAutospacing="0" w:line="480" w:lineRule="auto"/>
        <w:ind w:right="74"/>
        <w:jc w:val="both"/>
        <w:rPr>
          <w:u w:val="single"/>
        </w:rPr>
      </w:pPr>
      <w:r w:rsidRPr="00606F6C">
        <w:rPr>
          <w:b/>
          <w:u w:val="single"/>
        </w:rPr>
        <w:lastRenderedPageBreak/>
        <w:t>HF/T2DM</w:t>
      </w:r>
      <w:r w:rsidRPr="00606F6C">
        <w:rPr>
          <w:u w:val="single"/>
        </w:rPr>
        <w:t>: patients with a diagnosis of heart failure (HF, 10-CM code: I50) and type 2 diabetes mellitus (T2DM, ICD-10-CM code: E11)</w:t>
      </w:r>
    </w:p>
    <w:p w14:paraId="43C827F2" w14:textId="62445DC1" w:rsidR="007F12DD" w:rsidRPr="00606F6C" w:rsidRDefault="007F12DD" w:rsidP="00606F6C">
      <w:pPr>
        <w:spacing w:line="480" w:lineRule="auto"/>
        <w:rPr>
          <w:rFonts w:ascii="Times New Roman" w:hAnsi="Times New Roman" w:cs="Times New Roman"/>
          <w:sz w:val="24"/>
          <w:szCs w:val="24"/>
          <w:lang w:val="en-GB"/>
        </w:rPr>
      </w:pPr>
      <w:r w:rsidRPr="00606F6C">
        <w:rPr>
          <w:rFonts w:ascii="Times New Roman" w:hAnsi="Times New Roman" w:cs="Times New Roman"/>
          <w:sz w:val="24"/>
          <w:szCs w:val="24"/>
          <w:lang w:val="en-GB"/>
        </w:rPr>
        <w:t>Patients must have:</w:t>
      </w:r>
      <w:r w:rsidRPr="00606F6C">
        <w:rPr>
          <w:rFonts w:ascii="Times New Roman" w:hAnsi="Times New Roman" w:cs="Times New Roman"/>
          <w:sz w:val="24"/>
          <w:szCs w:val="24"/>
          <w:lang w:val="en-GB"/>
        </w:rPr>
        <w:br/>
        <w:t xml:space="preserve">   Type 2 diabetes mellitus (UMLS:ICD10CM:E11).</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Patients cannot have:</w:t>
      </w:r>
      <w:r w:rsidRPr="00606F6C">
        <w:rPr>
          <w:rFonts w:ascii="Times New Roman" w:hAnsi="Times New Roman" w:cs="Times New Roman"/>
          <w:sz w:val="24"/>
          <w:szCs w:val="24"/>
          <w:lang w:val="en-GB"/>
        </w:rPr>
        <w:br/>
        <w:t xml:space="preserve">   Type 1 diabetes mellitus (UMLS:ICD10CM:E10).</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All the following must be satisfied:</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 xml:space="preserve">   Group 1A: The terms in this group occurred at any time</w:t>
      </w:r>
      <w:r w:rsidRPr="00606F6C">
        <w:rPr>
          <w:rFonts w:ascii="Times New Roman" w:hAnsi="Times New Roman" w:cs="Times New Roman"/>
          <w:sz w:val="24"/>
          <w:szCs w:val="24"/>
          <w:lang w:val="en-GB"/>
        </w:rPr>
        <w:br/>
        <w:t xml:space="preserve">      Patients must have:</w:t>
      </w:r>
      <w:r w:rsidRPr="00606F6C">
        <w:rPr>
          <w:rFonts w:ascii="Times New Roman" w:hAnsi="Times New Roman" w:cs="Times New Roman"/>
          <w:sz w:val="24"/>
          <w:szCs w:val="24"/>
          <w:lang w:val="en-GB"/>
        </w:rPr>
        <w:br/>
        <w:t xml:space="preserve">                        Heart failure (UMLS:ICD10CM:I50).</w:t>
      </w:r>
      <w:r w:rsidRPr="00606F6C">
        <w:rPr>
          <w:rFonts w:ascii="Times New Roman" w:hAnsi="Times New Roman" w:cs="Times New Roman"/>
          <w:sz w:val="24"/>
          <w:szCs w:val="24"/>
          <w:lang w:val="en-GB"/>
        </w:rPr>
        <w:br/>
        <w:t xml:space="preserve">   Group 1B: Any instance of Group 1B occurred at least 1 day before the first instance of Group 1A</w:t>
      </w:r>
      <w:r w:rsidRPr="00606F6C">
        <w:rPr>
          <w:rFonts w:ascii="Times New Roman" w:hAnsi="Times New Roman" w:cs="Times New Roman"/>
          <w:sz w:val="24"/>
          <w:szCs w:val="24"/>
          <w:lang w:val="en-GB"/>
        </w:rPr>
        <w:br/>
        <w:t xml:space="preserve">      Patients cannot have:</w:t>
      </w:r>
      <w:r w:rsidRPr="00606F6C">
        <w:rPr>
          <w:rFonts w:ascii="Times New Roman" w:hAnsi="Times New Roman" w:cs="Times New Roman"/>
          <w:sz w:val="24"/>
          <w:szCs w:val="24"/>
          <w:lang w:val="en-GB"/>
        </w:rPr>
        <w:br/>
        <w:t xml:space="preserve">         Neoplasms (UMLS:ICD10CM:C00-D49).</w:t>
      </w:r>
    </w:p>
    <w:p w14:paraId="63BEE42E" w14:textId="77777777" w:rsidR="007F12DD" w:rsidRPr="00606F6C" w:rsidRDefault="007F12DD" w:rsidP="00606F6C">
      <w:pPr>
        <w:spacing w:line="480" w:lineRule="auto"/>
        <w:rPr>
          <w:rFonts w:ascii="Times New Roman" w:hAnsi="Times New Roman" w:cs="Times New Roman"/>
          <w:sz w:val="24"/>
          <w:szCs w:val="24"/>
          <w:lang w:val="en-GB"/>
        </w:rPr>
      </w:pPr>
    </w:p>
    <w:p w14:paraId="59460D04" w14:textId="10C17051" w:rsidR="007F12DD" w:rsidRPr="00606F6C" w:rsidRDefault="007F12DD" w:rsidP="00606F6C">
      <w:pPr>
        <w:pStyle w:val="NormaleWeb"/>
        <w:spacing w:before="0" w:beforeAutospacing="0" w:after="0" w:afterAutospacing="0" w:line="480" w:lineRule="auto"/>
        <w:ind w:right="74"/>
        <w:jc w:val="both"/>
        <w:rPr>
          <w:u w:val="single"/>
        </w:rPr>
      </w:pPr>
      <w:r w:rsidRPr="00606F6C">
        <w:rPr>
          <w:b/>
          <w:u w:val="single"/>
        </w:rPr>
        <w:t>HF/no T2DM</w:t>
      </w:r>
      <w:r w:rsidRPr="00606F6C">
        <w:rPr>
          <w:u w:val="single"/>
        </w:rPr>
        <w:t>: patients with a diagnosis of heart failure (HF, 10-CM code: I50) and without a diagnosis of type 2 diabetes mellitus (T2DM, ICD-10-CM code: E11)</w:t>
      </w:r>
    </w:p>
    <w:p w14:paraId="0CC47C02" w14:textId="535035EF" w:rsidR="007F12DD" w:rsidRPr="00606F6C" w:rsidRDefault="007F12DD" w:rsidP="00606F6C">
      <w:pPr>
        <w:spacing w:line="480" w:lineRule="auto"/>
        <w:rPr>
          <w:rFonts w:ascii="Times New Roman" w:hAnsi="Times New Roman" w:cs="Times New Roman"/>
          <w:sz w:val="24"/>
          <w:szCs w:val="24"/>
          <w:lang w:val="en-GB"/>
        </w:rPr>
      </w:pPr>
      <w:r w:rsidRPr="00606F6C">
        <w:rPr>
          <w:rFonts w:ascii="Times New Roman" w:hAnsi="Times New Roman" w:cs="Times New Roman"/>
          <w:sz w:val="24"/>
          <w:szCs w:val="24"/>
          <w:lang w:val="en-GB"/>
        </w:rPr>
        <w:t>Patients cannot have:</w:t>
      </w:r>
      <w:r w:rsidRPr="00606F6C">
        <w:rPr>
          <w:rFonts w:ascii="Times New Roman" w:hAnsi="Times New Roman" w:cs="Times New Roman"/>
          <w:sz w:val="24"/>
          <w:szCs w:val="24"/>
          <w:lang w:val="en-GB"/>
        </w:rPr>
        <w:br/>
        <w:t xml:space="preserve">   any of the following:</w:t>
      </w:r>
      <w:r w:rsidRPr="00606F6C">
        <w:rPr>
          <w:rFonts w:ascii="Times New Roman" w:hAnsi="Times New Roman" w:cs="Times New Roman"/>
          <w:sz w:val="24"/>
          <w:szCs w:val="24"/>
          <w:lang w:val="en-GB"/>
        </w:rPr>
        <w:br/>
        <w:t xml:space="preserve">      Type 2 diabetes mellitus (UMLS:ICD10CM:E11); or</w:t>
      </w:r>
      <w:r w:rsidRPr="00606F6C">
        <w:rPr>
          <w:rFonts w:ascii="Times New Roman" w:hAnsi="Times New Roman" w:cs="Times New Roman"/>
          <w:sz w:val="24"/>
          <w:szCs w:val="24"/>
          <w:lang w:val="en-GB"/>
        </w:rPr>
        <w:br/>
        <w:t xml:space="preserve">      Type 1 diabetes mellitus (UMLS:ICD10CM:E10).</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All the following must be satisfied:</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lastRenderedPageBreak/>
        <w:br/>
        <w:t xml:space="preserve">   Group 1A: The terms in this group occurred at any time</w:t>
      </w:r>
      <w:r w:rsidRPr="00606F6C">
        <w:rPr>
          <w:rFonts w:ascii="Times New Roman" w:hAnsi="Times New Roman" w:cs="Times New Roman"/>
          <w:sz w:val="24"/>
          <w:szCs w:val="24"/>
          <w:lang w:val="en-GB"/>
        </w:rPr>
        <w:br/>
        <w:t xml:space="preserve">      Patients must have:</w:t>
      </w:r>
      <w:r w:rsidRPr="00606F6C">
        <w:rPr>
          <w:rFonts w:ascii="Times New Roman" w:hAnsi="Times New Roman" w:cs="Times New Roman"/>
          <w:sz w:val="24"/>
          <w:szCs w:val="24"/>
          <w:lang w:val="en-GB"/>
        </w:rPr>
        <w:br/>
        <w:t xml:space="preserve">            Heart failure (UMLS:ICD10CM:I50).</w:t>
      </w:r>
      <w:r w:rsidRPr="00606F6C">
        <w:rPr>
          <w:rFonts w:ascii="Times New Roman" w:hAnsi="Times New Roman" w:cs="Times New Roman"/>
          <w:sz w:val="24"/>
          <w:szCs w:val="24"/>
          <w:lang w:val="en-GB"/>
        </w:rPr>
        <w:br/>
        <w:t xml:space="preserve">   Group 1B: Any instance of Group 1B occurred at least 1 day before the first instance of Group 1A</w:t>
      </w:r>
      <w:r w:rsidRPr="00606F6C">
        <w:rPr>
          <w:rFonts w:ascii="Times New Roman" w:hAnsi="Times New Roman" w:cs="Times New Roman"/>
          <w:sz w:val="24"/>
          <w:szCs w:val="24"/>
          <w:lang w:val="en-GB"/>
        </w:rPr>
        <w:br/>
        <w:t xml:space="preserve">      Patients cannot have:</w:t>
      </w:r>
      <w:r w:rsidRPr="00606F6C">
        <w:rPr>
          <w:rFonts w:ascii="Times New Roman" w:hAnsi="Times New Roman" w:cs="Times New Roman"/>
          <w:sz w:val="24"/>
          <w:szCs w:val="24"/>
          <w:lang w:val="en-GB"/>
        </w:rPr>
        <w:br/>
        <w:t xml:space="preserve">         Neoplasms (UMLS:ICD10CM:C00-D49).</w:t>
      </w:r>
    </w:p>
    <w:p w14:paraId="67FE7DD5" w14:textId="1439DA59" w:rsidR="007F12DD" w:rsidRPr="00606F6C" w:rsidRDefault="007F12DD" w:rsidP="00606F6C">
      <w:pPr>
        <w:pStyle w:val="NormaleWeb"/>
        <w:spacing w:before="0" w:beforeAutospacing="0" w:after="0" w:afterAutospacing="0" w:line="480" w:lineRule="auto"/>
        <w:ind w:right="74"/>
        <w:jc w:val="both"/>
        <w:rPr>
          <w:u w:val="single"/>
        </w:rPr>
      </w:pPr>
    </w:p>
    <w:p w14:paraId="0A7A3C43" w14:textId="5E1D2DB4" w:rsidR="000C3FD2" w:rsidRPr="00606F6C" w:rsidRDefault="000C3FD2" w:rsidP="00606F6C">
      <w:pPr>
        <w:pStyle w:val="NormaleWeb"/>
        <w:spacing w:before="0" w:beforeAutospacing="0" w:after="0" w:afterAutospacing="0" w:line="480" w:lineRule="auto"/>
        <w:ind w:right="74"/>
        <w:jc w:val="both"/>
        <w:rPr>
          <w:u w:val="single"/>
        </w:rPr>
      </w:pPr>
      <w:r w:rsidRPr="00606F6C">
        <w:rPr>
          <w:b/>
          <w:u w:val="single"/>
        </w:rPr>
        <w:t>HF/Obesity</w:t>
      </w:r>
      <w:r w:rsidRPr="00606F6C">
        <w:rPr>
          <w:u w:val="single"/>
        </w:rPr>
        <w:t>: patients with a diagnosis of heart failure (HF, 10-CM code: I50) and obesity (ICD-10-CM code: E66)</w:t>
      </w:r>
    </w:p>
    <w:p w14:paraId="0C745380" w14:textId="3E3589F1" w:rsidR="0046754E" w:rsidRPr="00606F6C" w:rsidRDefault="0046754E" w:rsidP="00606F6C">
      <w:pPr>
        <w:spacing w:line="480" w:lineRule="auto"/>
        <w:rPr>
          <w:rFonts w:ascii="Times New Roman" w:hAnsi="Times New Roman" w:cs="Times New Roman"/>
          <w:sz w:val="24"/>
          <w:szCs w:val="24"/>
          <w:lang w:val="en-GB"/>
        </w:rPr>
      </w:pPr>
      <w:r w:rsidRPr="00606F6C">
        <w:rPr>
          <w:rFonts w:ascii="Times New Roman" w:hAnsi="Times New Roman" w:cs="Times New Roman"/>
          <w:sz w:val="24"/>
          <w:szCs w:val="24"/>
          <w:lang w:val="en-GB"/>
        </w:rPr>
        <w:t>Patients must have:</w:t>
      </w:r>
      <w:r w:rsidRPr="00606F6C">
        <w:rPr>
          <w:rFonts w:ascii="Times New Roman" w:hAnsi="Times New Roman" w:cs="Times New Roman"/>
          <w:sz w:val="24"/>
          <w:szCs w:val="24"/>
          <w:lang w:val="en-GB"/>
        </w:rPr>
        <w:br/>
        <w:t xml:space="preserve">   Overweight and obesity (UMLS:ICD10CM:E66).</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Patients cannot have:</w:t>
      </w:r>
      <w:r w:rsidRPr="00606F6C">
        <w:rPr>
          <w:rFonts w:ascii="Times New Roman" w:hAnsi="Times New Roman" w:cs="Times New Roman"/>
          <w:sz w:val="24"/>
          <w:szCs w:val="24"/>
          <w:lang w:val="en-GB"/>
        </w:rPr>
        <w:br/>
        <w:t xml:space="preserve">   Type 1 diabetes mellitus (UMLS:ICD10CM:E10).</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All the following must be satisfied:</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 xml:space="preserve">   Group 1A: The terms in this group occurred at any time</w:t>
      </w:r>
      <w:r w:rsidRPr="00606F6C">
        <w:rPr>
          <w:rFonts w:ascii="Times New Roman" w:hAnsi="Times New Roman" w:cs="Times New Roman"/>
          <w:sz w:val="24"/>
          <w:szCs w:val="24"/>
          <w:lang w:val="en-GB"/>
        </w:rPr>
        <w:br/>
        <w:t xml:space="preserve">      Patients must have:</w:t>
      </w:r>
      <w:r w:rsidRPr="00606F6C">
        <w:rPr>
          <w:rFonts w:ascii="Times New Roman" w:hAnsi="Times New Roman" w:cs="Times New Roman"/>
          <w:sz w:val="24"/>
          <w:szCs w:val="24"/>
          <w:lang w:val="en-GB"/>
        </w:rPr>
        <w:br/>
        <w:t xml:space="preserve">            Heart failure (UMLS:ICD10CM:I50).</w:t>
      </w:r>
      <w:r w:rsidRPr="00606F6C">
        <w:rPr>
          <w:rFonts w:ascii="Times New Roman" w:hAnsi="Times New Roman" w:cs="Times New Roman"/>
          <w:sz w:val="24"/>
          <w:szCs w:val="24"/>
          <w:lang w:val="en-GB"/>
        </w:rPr>
        <w:br/>
        <w:t xml:space="preserve">   Group 1B: Any instance of Group 1B occurred at least 1 day before the first instance of Group 1A</w:t>
      </w:r>
      <w:r w:rsidRPr="00606F6C">
        <w:rPr>
          <w:rFonts w:ascii="Times New Roman" w:hAnsi="Times New Roman" w:cs="Times New Roman"/>
          <w:sz w:val="24"/>
          <w:szCs w:val="24"/>
          <w:lang w:val="en-GB"/>
        </w:rPr>
        <w:br/>
        <w:t xml:space="preserve">      Patients cannot have:</w:t>
      </w:r>
      <w:r w:rsidRPr="00606F6C">
        <w:rPr>
          <w:rFonts w:ascii="Times New Roman" w:hAnsi="Times New Roman" w:cs="Times New Roman"/>
          <w:sz w:val="24"/>
          <w:szCs w:val="24"/>
          <w:lang w:val="en-GB"/>
        </w:rPr>
        <w:br/>
        <w:t xml:space="preserve">         Neoplasms (UMLS:ICD10CM:C00-D49).</w:t>
      </w:r>
    </w:p>
    <w:p w14:paraId="65B402E8" w14:textId="4B0EAA05" w:rsidR="0046754E" w:rsidRPr="00606F6C" w:rsidRDefault="0046754E" w:rsidP="00606F6C">
      <w:pPr>
        <w:spacing w:line="480" w:lineRule="auto"/>
        <w:rPr>
          <w:rFonts w:ascii="Times New Roman" w:hAnsi="Times New Roman" w:cs="Times New Roman"/>
          <w:sz w:val="24"/>
          <w:szCs w:val="24"/>
          <w:lang w:val="en-GB"/>
        </w:rPr>
      </w:pPr>
    </w:p>
    <w:p w14:paraId="0B4813EA" w14:textId="353C0CAA" w:rsidR="0046754E" w:rsidRPr="00606F6C" w:rsidRDefault="0046754E" w:rsidP="00606F6C">
      <w:pPr>
        <w:pStyle w:val="NormaleWeb"/>
        <w:spacing w:before="0" w:beforeAutospacing="0" w:after="0" w:afterAutospacing="0" w:line="480" w:lineRule="auto"/>
        <w:ind w:right="74"/>
        <w:jc w:val="both"/>
        <w:rPr>
          <w:u w:val="single"/>
        </w:rPr>
      </w:pPr>
      <w:r w:rsidRPr="00606F6C">
        <w:rPr>
          <w:b/>
          <w:u w:val="single"/>
        </w:rPr>
        <w:lastRenderedPageBreak/>
        <w:t>HF/no Obesity</w:t>
      </w:r>
      <w:r w:rsidRPr="00606F6C">
        <w:rPr>
          <w:u w:val="single"/>
        </w:rPr>
        <w:t>: patients with a diagnosis of heart failure (HF, 10-CM code: I50) and without a diagnosis of obesity (ICD-10-CM code: E66)</w:t>
      </w:r>
    </w:p>
    <w:p w14:paraId="3915B912" w14:textId="19B98CCD" w:rsidR="00FD3694" w:rsidRPr="00606F6C" w:rsidRDefault="00FD3694" w:rsidP="00606F6C">
      <w:pPr>
        <w:spacing w:line="480" w:lineRule="auto"/>
        <w:rPr>
          <w:rFonts w:ascii="Times New Roman" w:hAnsi="Times New Roman" w:cs="Times New Roman"/>
          <w:sz w:val="24"/>
          <w:szCs w:val="24"/>
          <w:lang w:val="en-GB"/>
        </w:rPr>
      </w:pPr>
      <w:r w:rsidRPr="00606F6C">
        <w:rPr>
          <w:rFonts w:ascii="Times New Roman" w:hAnsi="Times New Roman" w:cs="Times New Roman"/>
          <w:sz w:val="24"/>
          <w:szCs w:val="24"/>
          <w:lang w:val="en-GB"/>
        </w:rPr>
        <w:t>Patients cannot have:</w:t>
      </w:r>
      <w:r w:rsidRPr="00606F6C">
        <w:rPr>
          <w:rFonts w:ascii="Times New Roman" w:hAnsi="Times New Roman" w:cs="Times New Roman"/>
          <w:sz w:val="24"/>
          <w:szCs w:val="24"/>
          <w:lang w:val="en-GB"/>
        </w:rPr>
        <w:br/>
        <w:t xml:space="preserve">   any of the following:</w:t>
      </w:r>
      <w:r w:rsidRPr="00606F6C">
        <w:rPr>
          <w:rFonts w:ascii="Times New Roman" w:hAnsi="Times New Roman" w:cs="Times New Roman"/>
          <w:sz w:val="24"/>
          <w:szCs w:val="24"/>
          <w:lang w:val="en-GB"/>
        </w:rPr>
        <w:br/>
        <w:t xml:space="preserve">      Overweight and obesity (UMLS:ICD10CM:E66); or</w:t>
      </w:r>
      <w:r w:rsidRPr="00606F6C">
        <w:rPr>
          <w:rFonts w:ascii="Times New Roman" w:hAnsi="Times New Roman" w:cs="Times New Roman"/>
          <w:sz w:val="24"/>
          <w:szCs w:val="24"/>
          <w:lang w:val="en-GB"/>
        </w:rPr>
        <w:br/>
        <w:t xml:space="preserve">      Type 1 diabetes mellitus (UMLS:ICD10CM:E10).</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All the following must be satisfied:</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 xml:space="preserve">   Group 1A: The terms in this group occurred at any time</w:t>
      </w:r>
      <w:r w:rsidRPr="00606F6C">
        <w:rPr>
          <w:rFonts w:ascii="Times New Roman" w:hAnsi="Times New Roman" w:cs="Times New Roman"/>
          <w:sz w:val="24"/>
          <w:szCs w:val="24"/>
          <w:lang w:val="en-GB"/>
        </w:rPr>
        <w:br/>
        <w:t xml:space="preserve">      Patients must have:</w:t>
      </w:r>
      <w:r w:rsidRPr="00606F6C">
        <w:rPr>
          <w:rFonts w:ascii="Times New Roman" w:hAnsi="Times New Roman" w:cs="Times New Roman"/>
          <w:sz w:val="24"/>
          <w:szCs w:val="24"/>
          <w:lang w:val="en-GB"/>
        </w:rPr>
        <w:br/>
        <w:t xml:space="preserve">            Heart failure (UMLS:ICD10CM:I50).</w:t>
      </w:r>
      <w:r w:rsidRPr="00606F6C">
        <w:rPr>
          <w:rFonts w:ascii="Times New Roman" w:hAnsi="Times New Roman" w:cs="Times New Roman"/>
          <w:sz w:val="24"/>
          <w:szCs w:val="24"/>
          <w:lang w:val="en-GB"/>
        </w:rPr>
        <w:br/>
        <w:t xml:space="preserve">   Group 1B: Any instance of Group 1B occurred at least 1 day before the first instance of Group 1A</w:t>
      </w:r>
      <w:r w:rsidRPr="00606F6C">
        <w:rPr>
          <w:rFonts w:ascii="Times New Roman" w:hAnsi="Times New Roman" w:cs="Times New Roman"/>
          <w:sz w:val="24"/>
          <w:szCs w:val="24"/>
          <w:lang w:val="en-GB"/>
        </w:rPr>
        <w:br/>
        <w:t xml:space="preserve">      Patients cannot have:</w:t>
      </w:r>
      <w:r w:rsidRPr="00606F6C">
        <w:rPr>
          <w:rFonts w:ascii="Times New Roman" w:hAnsi="Times New Roman" w:cs="Times New Roman"/>
          <w:sz w:val="24"/>
          <w:szCs w:val="24"/>
          <w:lang w:val="en-GB"/>
        </w:rPr>
        <w:br/>
        <w:t xml:space="preserve">         Neoplasms (UMLS:ICD10CM:C00-D49).</w:t>
      </w:r>
    </w:p>
    <w:p w14:paraId="0C9D5810" w14:textId="3AC593A3" w:rsidR="0046754E" w:rsidRPr="00606F6C" w:rsidRDefault="008B2202" w:rsidP="00606F6C">
      <w:pPr>
        <w:spacing w:line="480" w:lineRule="auto"/>
        <w:rPr>
          <w:rFonts w:ascii="Times New Roman" w:hAnsi="Times New Roman" w:cs="Times New Roman"/>
          <w:sz w:val="24"/>
          <w:szCs w:val="24"/>
          <w:u w:val="single"/>
          <w:lang w:val="en-GB"/>
        </w:rPr>
      </w:pPr>
      <w:r w:rsidRPr="00606F6C">
        <w:rPr>
          <w:rFonts w:ascii="Times New Roman" w:hAnsi="Times New Roman" w:cs="Times New Roman"/>
          <w:b/>
          <w:sz w:val="24"/>
          <w:szCs w:val="24"/>
          <w:u w:val="single"/>
          <w:lang w:val="en-GB"/>
        </w:rPr>
        <w:t>HF/no T2DM/Obesity</w:t>
      </w:r>
      <w:r w:rsidRPr="00606F6C">
        <w:rPr>
          <w:rFonts w:ascii="Times New Roman" w:hAnsi="Times New Roman" w:cs="Times New Roman"/>
          <w:sz w:val="24"/>
          <w:szCs w:val="24"/>
          <w:u w:val="single"/>
          <w:lang w:val="en-GB"/>
        </w:rPr>
        <w:t xml:space="preserve">: patients with a diagnosis of heart failure (HF, 10-CM code: I50) and with obesity (ICD-10-CM code: E66) and without a diagnosis type 2 diabetes mellitus (T2DM, ICD-10-CM code: E11) </w:t>
      </w:r>
    </w:p>
    <w:p w14:paraId="6E053BBF" w14:textId="10FD8EC5" w:rsidR="008B2202" w:rsidRPr="00606F6C" w:rsidRDefault="008B2202" w:rsidP="00606F6C">
      <w:pPr>
        <w:spacing w:line="480" w:lineRule="auto"/>
        <w:rPr>
          <w:rFonts w:ascii="Times New Roman" w:hAnsi="Times New Roman" w:cs="Times New Roman"/>
          <w:sz w:val="24"/>
          <w:szCs w:val="24"/>
          <w:lang w:val="en-GB"/>
        </w:rPr>
      </w:pPr>
      <w:r w:rsidRPr="00606F6C">
        <w:rPr>
          <w:rFonts w:ascii="Times New Roman" w:hAnsi="Times New Roman" w:cs="Times New Roman"/>
          <w:sz w:val="24"/>
          <w:szCs w:val="24"/>
          <w:lang w:val="en-GB"/>
        </w:rPr>
        <w:t>Patients must have:</w:t>
      </w:r>
      <w:r w:rsidRPr="00606F6C">
        <w:rPr>
          <w:rFonts w:ascii="Times New Roman" w:hAnsi="Times New Roman" w:cs="Times New Roman"/>
          <w:sz w:val="24"/>
          <w:szCs w:val="24"/>
          <w:lang w:val="en-GB"/>
        </w:rPr>
        <w:br/>
        <w:t xml:space="preserve">   Overweight and obesity (UMLS:ICD10CM:E66).</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Patients cannot have:</w:t>
      </w:r>
      <w:r w:rsidRPr="00606F6C">
        <w:rPr>
          <w:rFonts w:ascii="Times New Roman" w:hAnsi="Times New Roman" w:cs="Times New Roman"/>
          <w:sz w:val="24"/>
          <w:szCs w:val="24"/>
          <w:lang w:val="en-GB"/>
        </w:rPr>
        <w:br/>
        <w:t xml:space="preserve">   any of the following:</w:t>
      </w:r>
      <w:r w:rsidRPr="00606F6C">
        <w:rPr>
          <w:rFonts w:ascii="Times New Roman" w:hAnsi="Times New Roman" w:cs="Times New Roman"/>
          <w:sz w:val="24"/>
          <w:szCs w:val="24"/>
          <w:lang w:val="en-GB"/>
        </w:rPr>
        <w:br/>
        <w:t xml:space="preserve">      Type 2 diabetes mellitus (UMLS:ICD10CM:E11); or</w:t>
      </w:r>
      <w:r w:rsidRPr="00606F6C">
        <w:rPr>
          <w:rFonts w:ascii="Times New Roman" w:hAnsi="Times New Roman" w:cs="Times New Roman"/>
          <w:sz w:val="24"/>
          <w:szCs w:val="24"/>
          <w:lang w:val="en-GB"/>
        </w:rPr>
        <w:br/>
        <w:t xml:space="preserve">      Type 1 diabetes mellitus (UMLS:ICD10CM:E10).</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lastRenderedPageBreak/>
        <w:br/>
        <w:t>All the following must be satisfied:</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 xml:space="preserve">   Group 1A: The terms in this group occurred at any time</w:t>
      </w:r>
      <w:r w:rsidRPr="00606F6C">
        <w:rPr>
          <w:rFonts w:ascii="Times New Roman" w:hAnsi="Times New Roman" w:cs="Times New Roman"/>
          <w:sz w:val="24"/>
          <w:szCs w:val="24"/>
          <w:lang w:val="en-GB"/>
        </w:rPr>
        <w:br/>
        <w:t xml:space="preserve">      Patients must have:</w:t>
      </w:r>
      <w:r w:rsidRPr="00606F6C">
        <w:rPr>
          <w:rFonts w:ascii="Times New Roman" w:hAnsi="Times New Roman" w:cs="Times New Roman"/>
          <w:sz w:val="24"/>
          <w:szCs w:val="24"/>
          <w:lang w:val="en-GB"/>
        </w:rPr>
        <w:br/>
        <w:t xml:space="preserve">            Heart failure (UMLS:ICD10CM:I50).</w:t>
      </w:r>
      <w:r w:rsidRPr="00606F6C">
        <w:rPr>
          <w:rFonts w:ascii="Times New Roman" w:hAnsi="Times New Roman" w:cs="Times New Roman"/>
          <w:sz w:val="24"/>
          <w:szCs w:val="24"/>
          <w:lang w:val="en-GB"/>
        </w:rPr>
        <w:br/>
        <w:t xml:space="preserve">   Group 1B: Any instance of Group 1B occurred at least 1 day before the first instance of Group 1A</w:t>
      </w:r>
      <w:r w:rsidRPr="00606F6C">
        <w:rPr>
          <w:rFonts w:ascii="Times New Roman" w:hAnsi="Times New Roman" w:cs="Times New Roman"/>
          <w:sz w:val="24"/>
          <w:szCs w:val="24"/>
          <w:lang w:val="en-GB"/>
        </w:rPr>
        <w:br/>
        <w:t xml:space="preserve">      Patients cannot have:</w:t>
      </w:r>
      <w:r w:rsidRPr="00606F6C">
        <w:rPr>
          <w:rFonts w:ascii="Times New Roman" w:hAnsi="Times New Roman" w:cs="Times New Roman"/>
          <w:sz w:val="24"/>
          <w:szCs w:val="24"/>
          <w:lang w:val="en-GB"/>
        </w:rPr>
        <w:br/>
        <w:t xml:space="preserve">         Neoplasms (UMLS:ICD10CM:C00-D49).</w:t>
      </w:r>
    </w:p>
    <w:p w14:paraId="48BD98C6" w14:textId="77777777" w:rsidR="008B2202" w:rsidRPr="00606F6C" w:rsidRDefault="008B2202" w:rsidP="00606F6C">
      <w:pPr>
        <w:spacing w:line="480" w:lineRule="auto"/>
        <w:rPr>
          <w:rFonts w:ascii="Times New Roman" w:hAnsi="Times New Roman" w:cs="Times New Roman"/>
          <w:sz w:val="24"/>
          <w:szCs w:val="24"/>
          <w:lang w:val="en-GB"/>
        </w:rPr>
      </w:pPr>
    </w:p>
    <w:p w14:paraId="66001CA5" w14:textId="7F801121" w:rsidR="008B2202" w:rsidRPr="00606F6C" w:rsidRDefault="008B2202" w:rsidP="00606F6C">
      <w:pPr>
        <w:spacing w:line="480" w:lineRule="auto"/>
        <w:rPr>
          <w:rFonts w:ascii="Times New Roman" w:hAnsi="Times New Roman" w:cs="Times New Roman"/>
          <w:sz w:val="24"/>
          <w:szCs w:val="24"/>
          <w:u w:val="single"/>
          <w:lang w:val="en-GB"/>
        </w:rPr>
      </w:pPr>
      <w:r w:rsidRPr="00606F6C">
        <w:rPr>
          <w:rFonts w:ascii="Times New Roman" w:hAnsi="Times New Roman" w:cs="Times New Roman"/>
          <w:b/>
          <w:sz w:val="24"/>
          <w:szCs w:val="24"/>
          <w:u w:val="single"/>
          <w:lang w:val="en-GB"/>
        </w:rPr>
        <w:t>HF/no T2DM/no obesity</w:t>
      </w:r>
      <w:r w:rsidRPr="00606F6C">
        <w:rPr>
          <w:rFonts w:ascii="Times New Roman" w:hAnsi="Times New Roman" w:cs="Times New Roman"/>
          <w:sz w:val="24"/>
          <w:szCs w:val="24"/>
          <w:u w:val="single"/>
          <w:lang w:val="en-GB"/>
        </w:rPr>
        <w:t>: patients with a diagnosis of heart failure (HF, 10-CM code: I50) and without a diagnosis type 2 diabetes mellitus (T2DM, ICD-10-CM code: E11) and without a diagnosis of obesity (ICD-10-CM code: E66)</w:t>
      </w:r>
    </w:p>
    <w:p w14:paraId="380FA119" w14:textId="3835F123" w:rsidR="008B2202" w:rsidRPr="00606F6C" w:rsidRDefault="008B2202" w:rsidP="00606F6C">
      <w:pPr>
        <w:spacing w:line="480" w:lineRule="auto"/>
        <w:rPr>
          <w:rFonts w:ascii="Times New Roman" w:hAnsi="Times New Roman" w:cs="Times New Roman"/>
          <w:sz w:val="24"/>
          <w:szCs w:val="24"/>
          <w:lang w:val="en-GB"/>
        </w:rPr>
      </w:pPr>
      <w:r w:rsidRPr="00606F6C">
        <w:rPr>
          <w:rFonts w:ascii="Times New Roman" w:hAnsi="Times New Roman" w:cs="Times New Roman"/>
          <w:sz w:val="24"/>
          <w:szCs w:val="24"/>
          <w:lang w:val="en-GB"/>
        </w:rPr>
        <w:t>Patients cannot have:</w:t>
      </w:r>
      <w:r w:rsidRPr="00606F6C">
        <w:rPr>
          <w:rFonts w:ascii="Times New Roman" w:hAnsi="Times New Roman" w:cs="Times New Roman"/>
          <w:sz w:val="24"/>
          <w:szCs w:val="24"/>
          <w:lang w:val="en-GB"/>
        </w:rPr>
        <w:br/>
        <w:t xml:space="preserve">   any of the following:</w:t>
      </w:r>
      <w:r w:rsidRPr="00606F6C">
        <w:rPr>
          <w:rFonts w:ascii="Times New Roman" w:hAnsi="Times New Roman" w:cs="Times New Roman"/>
          <w:sz w:val="24"/>
          <w:szCs w:val="24"/>
          <w:lang w:val="en-GB"/>
        </w:rPr>
        <w:br/>
        <w:t xml:space="preserve">      all of the following:</w:t>
      </w:r>
      <w:r w:rsidRPr="00606F6C">
        <w:rPr>
          <w:rFonts w:ascii="Times New Roman" w:hAnsi="Times New Roman" w:cs="Times New Roman"/>
          <w:sz w:val="24"/>
          <w:szCs w:val="24"/>
          <w:lang w:val="en-GB"/>
        </w:rPr>
        <w:br/>
        <w:t xml:space="preserve">         Type 2 diabetes mellitus (UMLS:ICD10CM:E11); and</w:t>
      </w:r>
      <w:r w:rsidRPr="00606F6C">
        <w:rPr>
          <w:rFonts w:ascii="Times New Roman" w:hAnsi="Times New Roman" w:cs="Times New Roman"/>
          <w:sz w:val="24"/>
          <w:szCs w:val="24"/>
          <w:lang w:val="en-GB"/>
        </w:rPr>
        <w:br/>
        <w:t xml:space="preserve">         Overweight and obesity (UMLS:ICD10CM:E66); or</w:t>
      </w:r>
      <w:r w:rsidRPr="00606F6C">
        <w:rPr>
          <w:rFonts w:ascii="Times New Roman" w:hAnsi="Times New Roman" w:cs="Times New Roman"/>
          <w:sz w:val="24"/>
          <w:szCs w:val="24"/>
          <w:lang w:val="en-GB"/>
        </w:rPr>
        <w:br/>
        <w:t xml:space="preserve">      Type 1 diabetes mellitus (UMLS:ICD10CM:E10).</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All the following must be satisfied:</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 xml:space="preserve">   Group 1A: The terms in this group occurred at any time</w:t>
      </w:r>
      <w:r w:rsidRPr="00606F6C">
        <w:rPr>
          <w:rFonts w:ascii="Times New Roman" w:hAnsi="Times New Roman" w:cs="Times New Roman"/>
          <w:sz w:val="24"/>
          <w:szCs w:val="24"/>
          <w:lang w:val="en-GB"/>
        </w:rPr>
        <w:br/>
        <w:t xml:space="preserve">      Patients must have:</w:t>
      </w:r>
      <w:r w:rsidRPr="00606F6C">
        <w:rPr>
          <w:rFonts w:ascii="Times New Roman" w:hAnsi="Times New Roman" w:cs="Times New Roman"/>
          <w:sz w:val="24"/>
          <w:szCs w:val="24"/>
          <w:lang w:val="en-GB"/>
        </w:rPr>
        <w:br/>
        <w:t xml:space="preserve">            Heart failure (UMLS:ICD10CM:I50).</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lastRenderedPageBreak/>
        <w:t xml:space="preserve">   Group 1B: Any instance of Group 1B occurred at least 1 day before the first instance of Group 1A</w:t>
      </w:r>
      <w:r w:rsidRPr="00606F6C">
        <w:rPr>
          <w:rFonts w:ascii="Times New Roman" w:hAnsi="Times New Roman" w:cs="Times New Roman"/>
          <w:sz w:val="24"/>
          <w:szCs w:val="24"/>
          <w:lang w:val="en-GB"/>
        </w:rPr>
        <w:br/>
        <w:t xml:space="preserve">      Patients cannot have:</w:t>
      </w:r>
      <w:r w:rsidRPr="00606F6C">
        <w:rPr>
          <w:rFonts w:ascii="Times New Roman" w:hAnsi="Times New Roman" w:cs="Times New Roman"/>
          <w:sz w:val="24"/>
          <w:szCs w:val="24"/>
          <w:lang w:val="en-GB"/>
        </w:rPr>
        <w:br/>
        <w:t xml:space="preserve">         Neoplasms (UMLS:ICD10CM:C00-D49).</w:t>
      </w:r>
    </w:p>
    <w:p w14:paraId="206F4602" w14:textId="02C16FA8" w:rsidR="000C3FD2" w:rsidRPr="00606F6C" w:rsidRDefault="000C3FD2" w:rsidP="00606F6C">
      <w:pPr>
        <w:pStyle w:val="NormaleWeb"/>
        <w:spacing w:before="0" w:beforeAutospacing="0" w:after="0" w:afterAutospacing="0" w:line="480" w:lineRule="auto"/>
        <w:ind w:right="74"/>
        <w:jc w:val="both"/>
        <w:rPr>
          <w:u w:val="single"/>
        </w:rPr>
      </w:pPr>
    </w:p>
    <w:p w14:paraId="5E1BB4BF" w14:textId="7E59D2A7" w:rsidR="00015C3B" w:rsidRPr="00606F6C" w:rsidRDefault="00015C3B" w:rsidP="00606F6C">
      <w:pPr>
        <w:spacing w:line="480" w:lineRule="auto"/>
        <w:rPr>
          <w:rFonts w:ascii="Times New Roman" w:hAnsi="Times New Roman" w:cs="Times New Roman"/>
          <w:sz w:val="24"/>
          <w:szCs w:val="24"/>
          <w:u w:val="single"/>
          <w:lang w:val="en-GB"/>
        </w:rPr>
      </w:pPr>
      <w:r w:rsidRPr="00606F6C">
        <w:rPr>
          <w:rFonts w:ascii="Times New Roman" w:hAnsi="Times New Roman" w:cs="Times New Roman"/>
          <w:b/>
          <w:sz w:val="24"/>
          <w:szCs w:val="24"/>
          <w:u w:val="single"/>
          <w:lang w:val="en-GB"/>
        </w:rPr>
        <w:t>HF/T2DM/Obesity</w:t>
      </w:r>
      <w:r w:rsidRPr="00606F6C">
        <w:rPr>
          <w:rFonts w:ascii="Times New Roman" w:hAnsi="Times New Roman" w:cs="Times New Roman"/>
          <w:sz w:val="24"/>
          <w:szCs w:val="24"/>
          <w:u w:val="single"/>
          <w:lang w:val="en-GB"/>
        </w:rPr>
        <w:t>: patients with a diagnosis of heart failure (HF, 10-CM code: I50) type 2 diabetes mellitus (T2DM, ICD-10-CM code: E11) and obesity (ICD-10-CM code: E66)</w:t>
      </w:r>
    </w:p>
    <w:p w14:paraId="2929555E" w14:textId="302983BE" w:rsidR="00015C3B" w:rsidRPr="00606F6C" w:rsidRDefault="00015C3B" w:rsidP="00606F6C">
      <w:pPr>
        <w:spacing w:line="480" w:lineRule="auto"/>
        <w:rPr>
          <w:rFonts w:ascii="Times New Roman" w:hAnsi="Times New Roman" w:cs="Times New Roman"/>
          <w:sz w:val="24"/>
          <w:szCs w:val="24"/>
          <w:lang w:val="en-GB"/>
        </w:rPr>
      </w:pPr>
      <w:r w:rsidRPr="00606F6C">
        <w:rPr>
          <w:rFonts w:ascii="Times New Roman" w:hAnsi="Times New Roman" w:cs="Times New Roman"/>
          <w:sz w:val="24"/>
          <w:szCs w:val="24"/>
          <w:lang w:val="en-GB"/>
        </w:rPr>
        <w:t>Patients must have:</w:t>
      </w:r>
      <w:r w:rsidRPr="00606F6C">
        <w:rPr>
          <w:rFonts w:ascii="Times New Roman" w:hAnsi="Times New Roman" w:cs="Times New Roman"/>
          <w:sz w:val="24"/>
          <w:szCs w:val="24"/>
          <w:lang w:val="en-GB"/>
        </w:rPr>
        <w:br/>
        <w:t xml:space="preserve">   all of the following:</w:t>
      </w:r>
      <w:r w:rsidRPr="00606F6C">
        <w:rPr>
          <w:rFonts w:ascii="Times New Roman" w:hAnsi="Times New Roman" w:cs="Times New Roman"/>
          <w:sz w:val="24"/>
          <w:szCs w:val="24"/>
          <w:lang w:val="en-GB"/>
        </w:rPr>
        <w:br/>
        <w:t xml:space="preserve">      Overweight and obesity (UMLS:ICD10CM:E66); and</w:t>
      </w:r>
      <w:r w:rsidRPr="00606F6C">
        <w:rPr>
          <w:rFonts w:ascii="Times New Roman" w:hAnsi="Times New Roman" w:cs="Times New Roman"/>
          <w:sz w:val="24"/>
          <w:szCs w:val="24"/>
          <w:lang w:val="en-GB"/>
        </w:rPr>
        <w:br/>
        <w:t xml:space="preserve">      Type 2 diabetes mellitus (UMLS:ICD10CM:E11).</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Patients cannot have:</w:t>
      </w:r>
      <w:r w:rsidRPr="00606F6C">
        <w:rPr>
          <w:rFonts w:ascii="Times New Roman" w:hAnsi="Times New Roman" w:cs="Times New Roman"/>
          <w:sz w:val="24"/>
          <w:szCs w:val="24"/>
          <w:lang w:val="en-GB"/>
        </w:rPr>
        <w:br/>
        <w:t xml:space="preserve">   Type 1 diabetes mellitus (UMLS:ICD10CM:E10).</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All the following must be satisfied:</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 xml:space="preserve">   Group 1A: The terms in this group occurred at any time</w:t>
      </w:r>
      <w:r w:rsidRPr="00606F6C">
        <w:rPr>
          <w:rFonts w:ascii="Times New Roman" w:hAnsi="Times New Roman" w:cs="Times New Roman"/>
          <w:sz w:val="24"/>
          <w:szCs w:val="24"/>
          <w:lang w:val="en-GB"/>
        </w:rPr>
        <w:br/>
        <w:t xml:space="preserve">      Patients must have:</w:t>
      </w:r>
      <w:r w:rsidRPr="00606F6C">
        <w:rPr>
          <w:rFonts w:ascii="Times New Roman" w:hAnsi="Times New Roman" w:cs="Times New Roman"/>
          <w:sz w:val="24"/>
          <w:szCs w:val="24"/>
          <w:lang w:val="en-GB"/>
        </w:rPr>
        <w:br/>
        <w:t xml:space="preserve">      </w:t>
      </w:r>
      <w:r w:rsidR="004A4154" w:rsidRPr="00606F6C">
        <w:rPr>
          <w:rFonts w:ascii="Times New Roman" w:hAnsi="Times New Roman" w:cs="Times New Roman"/>
          <w:sz w:val="24"/>
          <w:szCs w:val="24"/>
          <w:lang w:val="en-GB"/>
        </w:rPr>
        <w:tab/>
      </w:r>
      <w:r w:rsidRPr="00606F6C">
        <w:rPr>
          <w:rFonts w:ascii="Times New Roman" w:hAnsi="Times New Roman" w:cs="Times New Roman"/>
          <w:sz w:val="24"/>
          <w:szCs w:val="24"/>
          <w:lang w:val="en-GB"/>
        </w:rPr>
        <w:t>Heart failure (UMLS:ICD10CM:I50).</w:t>
      </w:r>
      <w:r w:rsidRPr="00606F6C">
        <w:rPr>
          <w:rFonts w:ascii="Times New Roman" w:hAnsi="Times New Roman" w:cs="Times New Roman"/>
          <w:sz w:val="24"/>
          <w:szCs w:val="24"/>
          <w:lang w:val="en-GB"/>
        </w:rPr>
        <w:br/>
        <w:t xml:space="preserve">   Group 1B: Any instance of Group 1B occurred at least 1 day before the first instance of Group 1A</w:t>
      </w:r>
      <w:r w:rsidRPr="00606F6C">
        <w:rPr>
          <w:rFonts w:ascii="Times New Roman" w:hAnsi="Times New Roman" w:cs="Times New Roman"/>
          <w:sz w:val="24"/>
          <w:szCs w:val="24"/>
          <w:lang w:val="en-GB"/>
        </w:rPr>
        <w:br/>
        <w:t xml:space="preserve">      Patients cannot have:</w:t>
      </w:r>
      <w:r w:rsidRPr="00606F6C">
        <w:rPr>
          <w:rFonts w:ascii="Times New Roman" w:hAnsi="Times New Roman" w:cs="Times New Roman"/>
          <w:sz w:val="24"/>
          <w:szCs w:val="24"/>
          <w:lang w:val="en-GB"/>
        </w:rPr>
        <w:br/>
        <w:t xml:space="preserve">         Neoplasms (UMLS:ICD10CM:C00-D49).</w:t>
      </w:r>
    </w:p>
    <w:p w14:paraId="2D54640C" w14:textId="77777777" w:rsidR="00BD23A5" w:rsidRPr="00606F6C" w:rsidRDefault="00BD23A5" w:rsidP="00606F6C">
      <w:pPr>
        <w:spacing w:line="480" w:lineRule="auto"/>
        <w:rPr>
          <w:rFonts w:ascii="Times New Roman" w:hAnsi="Times New Roman" w:cs="Times New Roman"/>
          <w:sz w:val="24"/>
          <w:szCs w:val="24"/>
          <w:lang w:val="en-GB"/>
        </w:rPr>
      </w:pPr>
    </w:p>
    <w:p w14:paraId="31010A3C" w14:textId="4CD13AB2" w:rsidR="00015C3B" w:rsidRPr="00606F6C" w:rsidRDefault="00015C3B" w:rsidP="00606F6C">
      <w:pPr>
        <w:spacing w:line="480" w:lineRule="auto"/>
        <w:rPr>
          <w:rFonts w:ascii="Times New Roman" w:hAnsi="Times New Roman" w:cs="Times New Roman"/>
          <w:sz w:val="24"/>
          <w:szCs w:val="24"/>
          <w:u w:val="single"/>
          <w:lang w:val="en-GB"/>
        </w:rPr>
      </w:pPr>
      <w:r w:rsidRPr="00606F6C">
        <w:rPr>
          <w:rFonts w:ascii="Times New Roman" w:hAnsi="Times New Roman" w:cs="Times New Roman"/>
          <w:b/>
          <w:sz w:val="24"/>
          <w:szCs w:val="24"/>
          <w:u w:val="single"/>
          <w:lang w:val="en-GB"/>
        </w:rPr>
        <w:lastRenderedPageBreak/>
        <w:t>HF/T2DM/no obesity</w:t>
      </w:r>
      <w:r w:rsidRPr="00606F6C">
        <w:rPr>
          <w:rFonts w:ascii="Times New Roman" w:hAnsi="Times New Roman" w:cs="Times New Roman"/>
          <w:sz w:val="24"/>
          <w:szCs w:val="24"/>
          <w:u w:val="single"/>
          <w:lang w:val="en-GB"/>
        </w:rPr>
        <w:t>: patients with a diagnosis of heart failure (HF, 10-CM code: I50) type 2 diabetes mellitus (T2DM, ICD-10-CM code: E11) and without a diagnosis of obesity (ICD-10-CM code: E66)</w:t>
      </w:r>
    </w:p>
    <w:p w14:paraId="60D35800" w14:textId="47BCAD85" w:rsidR="00015C3B" w:rsidRPr="00606F6C" w:rsidRDefault="00015C3B" w:rsidP="00606F6C">
      <w:pPr>
        <w:spacing w:line="480" w:lineRule="auto"/>
        <w:rPr>
          <w:rFonts w:ascii="Times New Roman" w:hAnsi="Times New Roman" w:cs="Times New Roman"/>
          <w:sz w:val="24"/>
          <w:szCs w:val="24"/>
          <w:lang w:val="en-GB"/>
        </w:rPr>
      </w:pPr>
      <w:r w:rsidRPr="00606F6C">
        <w:rPr>
          <w:rFonts w:ascii="Times New Roman" w:hAnsi="Times New Roman" w:cs="Times New Roman"/>
          <w:sz w:val="24"/>
          <w:szCs w:val="24"/>
          <w:lang w:val="en-GB"/>
        </w:rPr>
        <w:t>Patients must have:</w:t>
      </w:r>
      <w:r w:rsidRPr="00606F6C">
        <w:rPr>
          <w:rFonts w:ascii="Times New Roman" w:hAnsi="Times New Roman" w:cs="Times New Roman"/>
          <w:sz w:val="24"/>
          <w:szCs w:val="24"/>
          <w:lang w:val="en-GB"/>
        </w:rPr>
        <w:br/>
        <w:t xml:space="preserve">   Type 2 diabetes mellitus (UMLS:ICD10CM:E11).</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Patients cannot have:</w:t>
      </w:r>
      <w:r w:rsidRPr="00606F6C">
        <w:rPr>
          <w:rFonts w:ascii="Times New Roman" w:hAnsi="Times New Roman" w:cs="Times New Roman"/>
          <w:sz w:val="24"/>
          <w:szCs w:val="24"/>
          <w:lang w:val="en-GB"/>
        </w:rPr>
        <w:br/>
        <w:t xml:space="preserve">   any of the following:</w:t>
      </w:r>
      <w:r w:rsidRPr="00606F6C">
        <w:rPr>
          <w:rFonts w:ascii="Times New Roman" w:hAnsi="Times New Roman" w:cs="Times New Roman"/>
          <w:sz w:val="24"/>
          <w:szCs w:val="24"/>
          <w:lang w:val="en-GB"/>
        </w:rPr>
        <w:br/>
        <w:t xml:space="preserve">      Overweight and obesity (UMLS:ICD10CM:E66); or</w:t>
      </w:r>
      <w:r w:rsidRPr="00606F6C">
        <w:rPr>
          <w:rFonts w:ascii="Times New Roman" w:hAnsi="Times New Roman" w:cs="Times New Roman"/>
          <w:sz w:val="24"/>
          <w:szCs w:val="24"/>
          <w:lang w:val="en-GB"/>
        </w:rPr>
        <w:br/>
        <w:t xml:space="preserve">      Type 1 diabetes mellitus (UMLS:ICD10CM:E10).</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All the following must be satisfied:</w:t>
      </w:r>
      <w:r w:rsidRPr="00606F6C">
        <w:rPr>
          <w:rFonts w:ascii="Times New Roman" w:hAnsi="Times New Roman" w:cs="Times New Roman"/>
          <w:sz w:val="24"/>
          <w:szCs w:val="24"/>
          <w:lang w:val="en-GB"/>
        </w:rPr>
        <w:br/>
      </w:r>
      <w:r w:rsidRPr="00606F6C">
        <w:rPr>
          <w:rFonts w:ascii="Times New Roman" w:hAnsi="Times New Roman" w:cs="Times New Roman"/>
          <w:sz w:val="24"/>
          <w:szCs w:val="24"/>
          <w:lang w:val="en-GB"/>
        </w:rPr>
        <w:br/>
        <w:t xml:space="preserve">   Group 1A: The terms in this group occurred at any time</w:t>
      </w:r>
      <w:r w:rsidRPr="00606F6C">
        <w:rPr>
          <w:rFonts w:ascii="Times New Roman" w:hAnsi="Times New Roman" w:cs="Times New Roman"/>
          <w:sz w:val="24"/>
          <w:szCs w:val="24"/>
          <w:lang w:val="en-GB"/>
        </w:rPr>
        <w:br/>
        <w:t xml:space="preserve">      Patients must have:</w:t>
      </w:r>
      <w:r w:rsidRPr="00606F6C">
        <w:rPr>
          <w:rFonts w:ascii="Times New Roman" w:hAnsi="Times New Roman" w:cs="Times New Roman"/>
          <w:sz w:val="24"/>
          <w:szCs w:val="24"/>
          <w:lang w:val="en-GB"/>
        </w:rPr>
        <w:br/>
        <w:t xml:space="preserve">      </w:t>
      </w:r>
      <w:r w:rsidR="004A4154" w:rsidRPr="00606F6C">
        <w:rPr>
          <w:rFonts w:ascii="Times New Roman" w:hAnsi="Times New Roman" w:cs="Times New Roman"/>
          <w:sz w:val="24"/>
          <w:szCs w:val="24"/>
          <w:lang w:val="en-GB"/>
        </w:rPr>
        <w:tab/>
      </w:r>
      <w:r w:rsidRPr="00606F6C">
        <w:rPr>
          <w:rFonts w:ascii="Times New Roman" w:hAnsi="Times New Roman" w:cs="Times New Roman"/>
          <w:sz w:val="24"/>
          <w:szCs w:val="24"/>
          <w:lang w:val="en-GB"/>
        </w:rPr>
        <w:t>Heart failure (UMLS:ICD10CM:I50).</w:t>
      </w:r>
      <w:r w:rsidRPr="00606F6C">
        <w:rPr>
          <w:rFonts w:ascii="Times New Roman" w:hAnsi="Times New Roman" w:cs="Times New Roman"/>
          <w:sz w:val="24"/>
          <w:szCs w:val="24"/>
          <w:lang w:val="en-GB"/>
        </w:rPr>
        <w:br/>
        <w:t xml:space="preserve">   Group 1B: Any instance of Group 1B occurred at least 1 day before the first instance of Group 1A</w:t>
      </w:r>
      <w:r w:rsidRPr="00606F6C">
        <w:rPr>
          <w:rFonts w:ascii="Times New Roman" w:hAnsi="Times New Roman" w:cs="Times New Roman"/>
          <w:sz w:val="24"/>
          <w:szCs w:val="24"/>
          <w:lang w:val="en-GB"/>
        </w:rPr>
        <w:br/>
        <w:t xml:space="preserve">      Patients cannot have:</w:t>
      </w:r>
      <w:r w:rsidRPr="00606F6C">
        <w:rPr>
          <w:rFonts w:ascii="Times New Roman" w:hAnsi="Times New Roman" w:cs="Times New Roman"/>
          <w:sz w:val="24"/>
          <w:szCs w:val="24"/>
          <w:lang w:val="en-GB"/>
        </w:rPr>
        <w:br/>
        <w:t xml:space="preserve">         Neoplasms (UMLS:ICD10CM:C00-D49).</w:t>
      </w:r>
    </w:p>
    <w:p w14:paraId="51E52079" w14:textId="77777777" w:rsidR="00015C3B" w:rsidRPr="00606F6C" w:rsidRDefault="00015C3B" w:rsidP="00606F6C">
      <w:pPr>
        <w:pStyle w:val="NormaleWeb"/>
        <w:spacing w:before="0" w:beforeAutospacing="0" w:after="0" w:afterAutospacing="0" w:line="480" w:lineRule="auto"/>
        <w:ind w:right="74"/>
        <w:jc w:val="both"/>
        <w:rPr>
          <w:u w:val="single"/>
        </w:rPr>
      </w:pPr>
    </w:p>
    <w:p w14:paraId="44BAFEAF" w14:textId="77777777" w:rsidR="0045520E" w:rsidRPr="00606F6C" w:rsidRDefault="0045520E" w:rsidP="00606F6C">
      <w:pPr>
        <w:autoSpaceDE w:val="0"/>
        <w:autoSpaceDN w:val="0"/>
        <w:adjustRightInd w:val="0"/>
        <w:spacing w:after="0" w:line="480" w:lineRule="auto"/>
        <w:rPr>
          <w:rFonts w:ascii="Times New Roman" w:eastAsia="Times New Roman" w:hAnsi="Times New Roman" w:cs="Times New Roman"/>
          <w:b/>
          <w:i/>
          <w:color w:val="000000" w:themeColor="text1"/>
          <w:sz w:val="24"/>
          <w:szCs w:val="24"/>
          <w:lang w:val="en-US"/>
        </w:rPr>
      </w:pPr>
      <w:r w:rsidRPr="00606F6C">
        <w:rPr>
          <w:rFonts w:ascii="Times New Roman" w:eastAsia="Times New Roman" w:hAnsi="Times New Roman" w:cs="Times New Roman"/>
          <w:b/>
          <w:i/>
          <w:color w:val="000000" w:themeColor="text1"/>
          <w:sz w:val="24"/>
          <w:szCs w:val="24"/>
          <w:lang w:val="en-US"/>
        </w:rPr>
        <w:t>Incidence and Prevalence Function</w:t>
      </w:r>
    </w:p>
    <w:p w14:paraId="75AB6129" w14:textId="77777777" w:rsidR="004B5942" w:rsidRPr="00606F6C" w:rsidRDefault="004B5942" w:rsidP="00606F6C">
      <w:pPr>
        <w:autoSpaceDE w:val="0"/>
        <w:autoSpaceDN w:val="0"/>
        <w:adjustRightInd w:val="0"/>
        <w:spacing w:after="0" w:line="480" w:lineRule="auto"/>
        <w:rPr>
          <w:rFonts w:ascii="Times New Roman" w:eastAsia="Times New Roman" w:hAnsi="Times New Roman" w:cs="Times New Roman"/>
          <w:color w:val="000000" w:themeColor="text1"/>
          <w:sz w:val="24"/>
          <w:szCs w:val="24"/>
          <w:lang w:val="en-US"/>
        </w:rPr>
      </w:pPr>
      <w:r w:rsidRPr="00606F6C">
        <w:rPr>
          <w:rFonts w:ascii="Times New Roman" w:eastAsia="Times New Roman" w:hAnsi="Times New Roman" w:cs="Times New Roman"/>
          <w:color w:val="000000" w:themeColor="text1"/>
          <w:sz w:val="24"/>
          <w:szCs w:val="24"/>
          <w:lang w:val="en-US"/>
        </w:rPr>
        <w:t>Epidemiological measures were derived using the Incidence and Prevalence function of the TriNetX platform. This tool applies standardized algorithms to define numerators, denominators, observation periods, and lookback intervals. Analyses were conducted on cohorts generated according to predefined clinical, demographic, or index event criteria.</w:t>
      </w:r>
    </w:p>
    <w:p w14:paraId="4ABB5C67" w14:textId="77777777" w:rsidR="004B5942" w:rsidRPr="00606F6C" w:rsidRDefault="004B5942" w:rsidP="00606F6C">
      <w:pPr>
        <w:autoSpaceDE w:val="0"/>
        <w:autoSpaceDN w:val="0"/>
        <w:adjustRightInd w:val="0"/>
        <w:spacing w:after="0" w:line="480" w:lineRule="auto"/>
        <w:rPr>
          <w:rFonts w:ascii="Times New Roman" w:eastAsia="Times New Roman" w:hAnsi="Times New Roman" w:cs="Times New Roman"/>
          <w:color w:val="000000" w:themeColor="text1"/>
          <w:sz w:val="24"/>
          <w:szCs w:val="24"/>
          <w:lang w:val="en-US"/>
        </w:rPr>
      </w:pPr>
    </w:p>
    <w:p w14:paraId="10D4B4A9" w14:textId="77777777" w:rsidR="004B5942" w:rsidRPr="00606F6C" w:rsidRDefault="004B5942" w:rsidP="00606F6C">
      <w:pPr>
        <w:autoSpaceDE w:val="0"/>
        <w:autoSpaceDN w:val="0"/>
        <w:adjustRightInd w:val="0"/>
        <w:spacing w:after="0" w:line="480" w:lineRule="auto"/>
        <w:rPr>
          <w:rFonts w:ascii="Times New Roman" w:eastAsia="Times New Roman" w:hAnsi="Times New Roman" w:cs="Times New Roman"/>
          <w:color w:val="000000" w:themeColor="text1"/>
          <w:sz w:val="24"/>
          <w:szCs w:val="24"/>
          <w:lang w:val="en-US"/>
        </w:rPr>
      </w:pPr>
      <w:r w:rsidRPr="00606F6C">
        <w:rPr>
          <w:rFonts w:ascii="Times New Roman" w:eastAsia="Times New Roman" w:hAnsi="Times New Roman" w:cs="Times New Roman"/>
          <w:color w:val="000000" w:themeColor="text1"/>
          <w:sz w:val="24"/>
          <w:szCs w:val="24"/>
          <w:lang w:val="en-US"/>
        </w:rPr>
        <w:t>For the incidence proportion, new cases of the outcome of interest were identified within the selected time window. The denominator was restricted to patients who met all of the following conditions: (i) inclusion in the study cohort; (ii) at least one day of overlap between their fact record and the time window; (iii) no evidence of the outcome during the lookback period; and (iv) membership in the demographic strata under analysis. The numerator consisted of those individuals within the denominator who experienced the outcome during the time window. The use of standardized longitudinal data enabled the automated exclusion of prevalent cases, based either on a user-defined lookback period or, if unspecified, on all available data from the earliest recorded observation up to the day preceding the start of the time window.</w:t>
      </w:r>
    </w:p>
    <w:p w14:paraId="4B2377AF" w14:textId="77777777" w:rsidR="004B5942" w:rsidRPr="00606F6C" w:rsidRDefault="004B5942" w:rsidP="00606F6C">
      <w:pPr>
        <w:autoSpaceDE w:val="0"/>
        <w:autoSpaceDN w:val="0"/>
        <w:adjustRightInd w:val="0"/>
        <w:spacing w:after="0" w:line="480" w:lineRule="auto"/>
        <w:rPr>
          <w:rFonts w:ascii="Times New Roman" w:eastAsia="Times New Roman" w:hAnsi="Times New Roman" w:cs="Times New Roman"/>
          <w:color w:val="000000" w:themeColor="text1"/>
          <w:sz w:val="24"/>
          <w:szCs w:val="24"/>
          <w:lang w:val="en-US"/>
        </w:rPr>
      </w:pPr>
    </w:p>
    <w:p w14:paraId="2AB34892" w14:textId="77777777" w:rsidR="004B5942" w:rsidRPr="00606F6C" w:rsidRDefault="004B5942" w:rsidP="00606F6C">
      <w:pPr>
        <w:autoSpaceDE w:val="0"/>
        <w:autoSpaceDN w:val="0"/>
        <w:adjustRightInd w:val="0"/>
        <w:spacing w:after="0" w:line="480" w:lineRule="auto"/>
        <w:rPr>
          <w:rFonts w:ascii="Times New Roman" w:eastAsia="Times New Roman" w:hAnsi="Times New Roman" w:cs="Times New Roman"/>
          <w:color w:val="000000" w:themeColor="text1"/>
          <w:sz w:val="24"/>
          <w:szCs w:val="24"/>
          <w:lang w:val="en-US"/>
        </w:rPr>
      </w:pPr>
      <w:r w:rsidRPr="00606F6C">
        <w:rPr>
          <w:rFonts w:ascii="Times New Roman" w:eastAsia="Times New Roman" w:hAnsi="Times New Roman" w:cs="Times New Roman"/>
          <w:color w:val="000000" w:themeColor="text1"/>
          <w:sz w:val="24"/>
          <w:szCs w:val="24"/>
          <w:lang w:val="en-US"/>
        </w:rPr>
        <w:t>The incidence rate was calculated using the same numerator as the incidence proportion. The denominator was defined as the product of the number of individuals in the incidence proportion denominator and their time at risk. Time at risk began on the first day a patient’s fact record overlapped with the time window and ended at the earliest occurrence of the outcome, death, or the end of the fact record (if the last recorded event occurred within the window). Within the Linked Network, time at risk was instead defined from the first day of the enrollment window to the earliest of outcome occurrence, death, or the end of the enrollment window. This framework allows estimation of both cumulative incidence and incidence density in open clinical populations, accounting for differences in individual follow-up duration.</w:t>
      </w:r>
    </w:p>
    <w:p w14:paraId="3AF3D445" w14:textId="77777777" w:rsidR="004B5942" w:rsidRPr="00606F6C" w:rsidRDefault="004B5942" w:rsidP="00606F6C">
      <w:pPr>
        <w:autoSpaceDE w:val="0"/>
        <w:autoSpaceDN w:val="0"/>
        <w:adjustRightInd w:val="0"/>
        <w:spacing w:after="0" w:line="480" w:lineRule="auto"/>
        <w:rPr>
          <w:rFonts w:ascii="Times New Roman" w:eastAsia="Times New Roman" w:hAnsi="Times New Roman" w:cs="Times New Roman"/>
          <w:color w:val="000000" w:themeColor="text1"/>
          <w:sz w:val="24"/>
          <w:szCs w:val="24"/>
          <w:lang w:val="en-US"/>
        </w:rPr>
      </w:pPr>
    </w:p>
    <w:p w14:paraId="0A93AB23" w14:textId="37231CA1" w:rsidR="0045520E" w:rsidRPr="00606F6C" w:rsidRDefault="004B5942" w:rsidP="00606F6C">
      <w:pPr>
        <w:autoSpaceDE w:val="0"/>
        <w:autoSpaceDN w:val="0"/>
        <w:adjustRightInd w:val="0"/>
        <w:spacing w:after="0" w:line="480" w:lineRule="auto"/>
        <w:rPr>
          <w:rFonts w:ascii="Times New Roman" w:eastAsia="Times New Roman" w:hAnsi="Times New Roman" w:cs="Times New Roman"/>
          <w:b/>
          <w:i/>
          <w:color w:val="000000" w:themeColor="text1"/>
          <w:sz w:val="24"/>
          <w:szCs w:val="24"/>
          <w:lang w:val="en-US"/>
        </w:rPr>
      </w:pPr>
      <w:r w:rsidRPr="00606F6C">
        <w:rPr>
          <w:rFonts w:ascii="Times New Roman" w:eastAsia="Times New Roman" w:hAnsi="Times New Roman" w:cs="Times New Roman"/>
          <w:color w:val="000000" w:themeColor="text1"/>
          <w:sz w:val="24"/>
          <w:szCs w:val="24"/>
          <w:lang w:val="en-US"/>
        </w:rPr>
        <w:t xml:space="preserve">For prevalence, all cases recorded prior to or during the time window were considered. The denominator included patients who: (i) were part of the cohort; (ii) had at least one day of overlap between their fact record and the time window; and (iii) belonged to the demographic strata of interest. The numerator included only those patients in the denominator who had the outcome recorded between the start of the lookback period and the end of the time window. Overlap was </w:t>
      </w:r>
      <w:r w:rsidRPr="00606F6C">
        <w:rPr>
          <w:rFonts w:ascii="Times New Roman" w:eastAsia="Times New Roman" w:hAnsi="Times New Roman" w:cs="Times New Roman"/>
          <w:color w:val="000000" w:themeColor="text1"/>
          <w:sz w:val="24"/>
          <w:szCs w:val="24"/>
          <w:lang w:val="en-US"/>
        </w:rPr>
        <w:lastRenderedPageBreak/>
        <w:t xml:space="preserve">defined as the presence of at least one shared day between a patient’s observation period and the time window; consequently, a given patient could contribute to the denominator (or numerator) in </w:t>
      </w:r>
      <w:proofErr w:type="gramStart"/>
      <w:r w:rsidRPr="00606F6C">
        <w:rPr>
          <w:rFonts w:ascii="Times New Roman" w:eastAsia="Times New Roman" w:hAnsi="Times New Roman" w:cs="Times New Roman"/>
          <w:color w:val="000000" w:themeColor="text1"/>
          <w:sz w:val="24"/>
          <w:szCs w:val="24"/>
          <w:lang w:val="en-US"/>
        </w:rPr>
        <w:t>one time</w:t>
      </w:r>
      <w:proofErr w:type="gramEnd"/>
      <w:r w:rsidRPr="00606F6C">
        <w:rPr>
          <w:rFonts w:ascii="Times New Roman" w:eastAsia="Times New Roman" w:hAnsi="Times New Roman" w:cs="Times New Roman"/>
          <w:color w:val="000000" w:themeColor="text1"/>
          <w:sz w:val="24"/>
          <w:szCs w:val="24"/>
          <w:lang w:val="en-US"/>
        </w:rPr>
        <w:t xml:space="preserve"> window but not in others.</w:t>
      </w:r>
    </w:p>
    <w:p w14:paraId="5E19056D" w14:textId="38844DC8" w:rsidR="0045520E" w:rsidRPr="00606F6C" w:rsidRDefault="0045520E" w:rsidP="00606F6C">
      <w:pPr>
        <w:autoSpaceDE w:val="0"/>
        <w:autoSpaceDN w:val="0"/>
        <w:adjustRightInd w:val="0"/>
        <w:spacing w:after="0" w:line="480" w:lineRule="auto"/>
        <w:rPr>
          <w:rFonts w:ascii="Times New Roman" w:eastAsia="Times New Roman" w:hAnsi="Times New Roman" w:cs="Times New Roman"/>
          <w:b/>
          <w:i/>
          <w:color w:val="000000" w:themeColor="text1"/>
          <w:sz w:val="24"/>
          <w:szCs w:val="24"/>
          <w:lang w:val="en-US"/>
        </w:rPr>
      </w:pPr>
      <w:r w:rsidRPr="00606F6C">
        <w:rPr>
          <w:rFonts w:ascii="Times New Roman" w:eastAsia="Times New Roman" w:hAnsi="Times New Roman" w:cs="Times New Roman"/>
          <w:b/>
          <w:i/>
          <w:color w:val="000000" w:themeColor="text1"/>
          <w:sz w:val="24"/>
          <w:szCs w:val="24"/>
          <w:lang w:val="en-US"/>
        </w:rPr>
        <w:t>Compare Outcome Function</w:t>
      </w:r>
    </w:p>
    <w:p w14:paraId="1D9C74A2" w14:textId="77777777" w:rsidR="001527D4" w:rsidRPr="00606F6C" w:rsidRDefault="001527D4" w:rsidP="00606F6C">
      <w:pPr>
        <w:spacing w:before="100" w:beforeAutospacing="1" w:after="100" w:afterAutospacing="1" w:line="480" w:lineRule="auto"/>
        <w:rPr>
          <w:rFonts w:ascii="Times New Roman" w:eastAsia="Times New Roman" w:hAnsi="Times New Roman" w:cs="Times New Roman"/>
          <w:sz w:val="24"/>
          <w:szCs w:val="24"/>
          <w:lang w:val="en-GB" w:eastAsia="it-IT"/>
        </w:rPr>
      </w:pPr>
      <w:r w:rsidRPr="00606F6C">
        <w:rPr>
          <w:rFonts w:ascii="Times New Roman" w:eastAsia="Times New Roman" w:hAnsi="Times New Roman" w:cs="Times New Roman"/>
          <w:b/>
          <w:bCs/>
          <w:sz w:val="24"/>
          <w:szCs w:val="24"/>
          <w:lang w:val="en-GB" w:eastAsia="it-IT"/>
        </w:rPr>
        <w:t>Compare Outcomes Analytic (Methodological Description)</w:t>
      </w:r>
    </w:p>
    <w:p w14:paraId="43D15AA9" w14:textId="480AFE35" w:rsidR="001527D4" w:rsidRPr="00606F6C" w:rsidRDefault="001527D4" w:rsidP="00606F6C">
      <w:pPr>
        <w:spacing w:before="100" w:beforeAutospacing="1" w:after="100" w:afterAutospacing="1" w:line="480" w:lineRule="auto"/>
        <w:rPr>
          <w:rFonts w:ascii="Times New Roman" w:eastAsia="Times New Roman" w:hAnsi="Times New Roman" w:cs="Times New Roman"/>
          <w:sz w:val="24"/>
          <w:szCs w:val="24"/>
          <w:lang w:val="en-US"/>
        </w:rPr>
      </w:pPr>
      <w:r w:rsidRPr="00606F6C">
        <w:rPr>
          <w:rFonts w:ascii="Times New Roman" w:eastAsia="Times New Roman" w:hAnsi="Times New Roman" w:cs="Times New Roman"/>
          <w:sz w:val="24"/>
          <w:szCs w:val="24"/>
          <w:lang w:val="en-US"/>
        </w:rPr>
        <w:t>The Compare Outcomes analytic available within TriNetX supports four distinct types of analyses: Measure of Association, Survival Analysis, Number of Instances, and Laboratory Results Distribution. The first three approaches allow the optional setting to exclude patients who experienced the outcome prior to the start of the analysis window. This option is particularly relevant when evaluating outcomes for which prior occurrence would remove individuals from the population at risk (e.g., chronic conditions). If this option is not selected, all patients in the cohort are retained in the analysis, regardless of any prior history of the outcome. Conversely, when enabled, patients are excluded if the outcome is recorded before the beginning of the time window. This exclusion applies to any occurrence prior to the index event, as well as to events occurring between the index event and the start of the analysis window when the latter does not coincide with the index date.</w:t>
      </w:r>
      <w:bookmarkStart w:id="0" w:name="_GoBack"/>
      <w:bookmarkEnd w:id="0"/>
    </w:p>
    <w:p w14:paraId="518FD651" w14:textId="77777777" w:rsidR="001527D4" w:rsidRPr="00606F6C" w:rsidRDefault="001527D4" w:rsidP="00606F6C">
      <w:pPr>
        <w:spacing w:before="100" w:beforeAutospacing="1" w:after="100" w:afterAutospacing="1" w:line="480" w:lineRule="auto"/>
        <w:outlineLvl w:val="2"/>
        <w:rPr>
          <w:rFonts w:ascii="Times New Roman" w:eastAsia="Times New Roman" w:hAnsi="Times New Roman" w:cs="Times New Roman"/>
          <w:i/>
          <w:sz w:val="24"/>
          <w:szCs w:val="24"/>
          <w:u w:val="single"/>
          <w:lang w:val="en-US"/>
        </w:rPr>
      </w:pPr>
      <w:r w:rsidRPr="00606F6C">
        <w:rPr>
          <w:rFonts w:ascii="Times New Roman" w:eastAsia="Times New Roman" w:hAnsi="Times New Roman" w:cs="Times New Roman"/>
          <w:i/>
          <w:sz w:val="24"/>
          <w:szCs w:val="24"/>
          <w:u w:val="single"/>
          <w:lang w:val="en-US"/>
        </w:rPr>
        <w:t>Measure of Association Analysis</w:t>
      </w:r>
    </w:p>
    <w:p w14:paraId="161DC1DD" w14:textId="77777777" w:rsidR="001527D4" w:rsidRPr="00606F6C" w:rsidRDefault="001527D4" w:rsidP="00606F6C">
      <w:pPr>
        <w:spacing w:before="100" w:beforeAutospacing="1" w:after="100" w:afterAutospacing="1" w:line="480" w:lineRule="auto"/>
        <w:rPr>
          <w:rFonts w:ascii="Times New Roman" w:eastAsia="Times New Roman" w:hAnsi="Times New Roman" w:cs="Times New Roman"/>
          <w:sz w:val="24"/>
          <w:szCs w:val="24"/>
          <w:lang w:val="en-US"/>
        </w:rPr>
      </w:pPr>
      <w:r w:rsidRPr="00606F6C">
        <w:rPr>
          <w:rFonts w:ascii="Times New Roman" w:eastAsia="Times New Roman" w:hAnsi="Times New Roman" w:cs="Times New Roman"/>
          <w:sz w:val="24"/>
          <w:szCs w:val="24"/>
          <w:lang w:val="en-US"/>
        </w:rPr>
        <w:t>This analysis estimates and compares the proportion of patients experiencing the outcome across cohorts. Reported summary measures include: the total number of patients in each cohort (i.e., those meeting the query criteria), the number of patients with the outcome within the time window, and the corresponding risk (defined as the proportion of patients with the outcome). Additional comparative metrics include the risk difference, risk ratio, and odds ratio between cohorts. Results are visually represented through bar charts displaying outcome risk for each cohort.</w:t>
      </w:r>
    </w:p>
    <w:p w14:paraId="0EA2E5FF" w14:textId="77777777" w:rsidR="001527D4" w:rsidRPr="00606F6C" w:rsidRDefault="001527D4" w:rsidP="00606F6C">
      <w:pPr>
        <w:spacing w:before="100" w:beforeAutospacing="1" w:after="100" w:afterAutospacing="1" w:line="480" w:lineRule="auto"/>
        <w:outlineLvl w:val="2"/>
        <w:rPr>
          <w:rFonts w:ascii="Times New Roman" w:eastAsia="Times New Roman" w:hAnsi="Times New Roman" w:cs="Times New Roman"/>
          <w:i/>
          <w:sz w:val="24"/>
          <w:szCs w:val="24"/>
          <w:u w:val="single"/>
          <w:lang w:val="en-US"/>
        </w:rPr>
      </w:pPr>
      <w:r w:rsidRPr="00606F6C">
        <w:rPr>
          <w:rFonts w:ascii="Times New Roman" w:eastAsia="Times New Roman" w:hAnsi="Times New Roman" w:cs="Times New Roman"/>
          <w:i/>
          <w:sz w:val="24"/>
          <w:szCs w:val="24"/>
          <w:u w:val="single"/>
          <w:lang w:val="en-US"/>
        </w:rPr>
        <w:lastRenderedPageBreak/>
        <w:t>Survival Analysis</w:t>
      </w:r>
    </w:p>
    <w:p w14:paraId="2A5695C6" w14:textId="3954A6F8" w:rsidR="001527D4" w:rsidRPr="00606F6C" w:rsidRDefault="001527D4" w:rsidP="00606F6C">
      <w:pPr>
        <w:spacing w:before="100" w:beforeAutospacing="1" w:after="100" w:afterAutospacing="1" w:line="480" w:lineRule="auto"/>
        <w:rPr>
          <w:rFonts w:ascii="Times New Roman" w:eastAsia="Times New Roman" w:hAnsi="Times New Roman" w:cs="Times New Roman"/>
          <w:sz w:val="24"/>
          <w:szCs w:val="24"/>
          <w:lang w:val="en-US"/>
        </w:rPr>
      </w:pPr>
      <w:r w:rsidRPr="00606F6C">
        <w:rPr>
          <w:rFonts w:ascii="Times New Roman" w:eastAsia="Times New Roman" w:hAnsi="Times New Roman" w:cs="Times New Roman"/>
          <w:sz w:val="24"/>
          <w:szCs w:val="24"/>
          <w:lang w:val="en-US"/>
        </w:rPr>
        <w:t xml:space="preserve">Time-to-event analysis is conducted using the Kaplan-Meier estimator, which estimates the probability of remaining event-free over time (calculated at daily intervals). To appropriately handle incomplete follow-up, censoring is applied: patients are censored at the time of their last recorded observation. The output includes the number of patients in each cohort, the number experiencing the outcome, the median survival time (defined as the time at which survival probability falls below 50%; if this threshold is not reached, it is indicated accordingly), and the survival probability at the end of the observation window. Comparative statistics include the log-rank test, hazard ratio, and an assessment of the proportional </w:t>
      </w:r>
      <w:proofErr w:type="gramStart"/>
      <w:r w:rsidRPr="00606F6C">
        <w:rPr>
          <w:rFonts w:ascii="Times New Roman" w:eastAsia="Times New Roman" w:hAnsi="Times New Roman" w:cs="Times New Roman"/>
          <w:sz w:val="24"/>
          <w:szCs w:val="24"/>
          <w:lang w:val="en-US"/>
        </w:rPr>
        <w:t>hazards</w:t>
      </w:r>
      <w:proofErr w:type="gramEnd"/>
      <w:r w:rsidRPr="00606F6C">
        <w:rPr>
          <w:rFonts w:ascii="Times New Roman" w:eastAsia="Times New Roman" w:hAnsi="Times New Roman" w:cs="Times New Roman"/>
          <w:sz w:val="24"/>
          <w:szCs w:val="24"/>
          <w:lang w:val="en-US"/>
        </w:rPr>
        <w:t xml:space="preserve"> assumption.</w:t>
      </w:r>
    </w:p>
    <w:p w14:paraId="56BC95AF" w14:textId="77777777" w:rsidR="001527D4" w:rsidRPr="00606F6C" w:rsidRDefault="001527D4" w:rsidP="00606F6C">
      <w:pPr>
        <w:spacing w:before="100" w:beforeAutospacing="1" w:after="100" w:afterAutospacing="1" w:line="480" w:lineRule="auto"/>
        <w:outlineLvl w:val="2"/>
        <w:rPr>
          <w:rFonts w:ascii="Times New Roman" w:eastAsia="Times New Roman" w:hAnsi="Times New Roman" w:cs="Times New Roman"/>
          <w:i/>
          <w:sz w:val="24"/>
          <w:szCs w:val="24"/>
          <w:u w:val="single"/>
          <w:lang w:val="en-US"/>
        </w:rPr>
      </w:pPr>
      <w:r w:rsidRPr="00606F6C">
        <w:rPr>
          <w:rFonts w:ascii="Times New Roman" w:eastAsia="Times New Roman" w:hAnsi="Times New Roman" w:cs="Times New Roman"/>
          <w:i/>
          <w:sz w:val="24"/>
          <w:szCs w:val="24"/>
          <w:u w:val="single"/>
          <w:lang w:val="en-US"/>
        </w:rPr>
        <w:t>Number of Instances Analysis</w:t>
      </w:r>
    </w:p>
    <w:p w14:paraId="2A8DF738" w14:textId="712CAEE4" w:rsidR="001527D4" w:rsidRPr="00606F6C" w:rsidRDefault="001527D4" w:rsidP="00606F6C">
      <w:pPr>
        <w:spacing w:before="100" w:beforeAutospacing="1" w:after="100" w:afterAutospacing="1" w:line="480" w:lineRule="auto"/>
        <w:rPr>
          <w:rFonts w:ascii="Times New Roman" w:eastAsia="Times New Roman" w:hAnsi="Times New Roman" w:cs="Times New Roman"/>
          <w:sz w:val="24"/>
          <w:szCs w:val="24"/>
          <w:lang w:val="en-US"/>
        </w:rPr>
      </w:pPr>
      <w:r w:rsidRPr="00606F6C">
        <w:rPr>
          <w:rFonts w:ascii="Times New Roman" w:eastAsia="Times New Roman" w:hAnsi="Times New Roman" w:cs="Times New Roman"/>
          <w:sz w:val="24"/>
          <w:szCs w:val="24"/>
          <w:lang w:val="en-US"/>
        </w:rPr>
        <w:t>This analysis quantifies the frequency with which the outcome occurs during the time window. Two configurable parameters are available: inclusion or exclusion of patients with zero recorded instances, and the definition of what constitutes an “instance.” Excluding patients with zero instances removes them from calculations of mean, standard deviation, and median, and eliminates the zero-count category from the distribution histogram. Including them incorporates these patients into summary statistics and displays a corresponding bar in the histogram. The definition of an instance affects counting methodology. When “Date” is selected, each calendar day on which the outcome is recorded is counted as one instance. For example, if a patient records relevant events on three separate dates, these are counted as three instances. For outcomes spanning multiple days (e.g., inpatient encounters), only the start date is considered. Alternatively, when “Visit” is selected, all occurrences within a single visit are counted as a single instance, regardless of frequency during that visit.</w:t>
      </w:r>
    </w:p>
    <w:p w14:paraId="2351E867" w14:textId="77777777" w:rsidR="001527D4" w:rsidRPr="00606F6C" w:rsidRDefault="001527D4" w:rsidP="00606F6C">
      <w:pPr>
        <w:spacing w:before="100" w:beforeAutospacing="1" w:after="100" w:afterAutospacing="1" w:line="480" w:lineRule="auto"/>
        <w:rPr>
          <w:rFonts w:ascii="Times New Roman" w:eastAsia="Times New Roman" w:hAnsi="Times New Roman" w:cs="Times New Roman"/>
          <w:sz w:val="24"/>
          <w:szCs w:val="24"/>
          <w:lang w:val="en-US"/>
        </w:rPr>
      </w:pPr>
      <w:r w:rsidRPr="00606F6C">
        <w:rPr>
          <w:rFonts w:ascii="Times New Roman" w:eastAsia="Times New Roman" w:hAnsi="Times New Roman" w:cs="Times New Roman"/>
          <w:sz w:val="24"/>
          <w:szCs w:val="24"/>
          <w:lang w:val="en-US"/>
        </w:rPr>
        <w:t xml:space="preserve">Summary outputs include the total number of patients in the cohort, the number with at least one occurrence of the outcome, and descriptive statistics (mean, standard deviation, and median counts). </w:t>
      </w:r>
      <w:r w:rsidRPr="00606F6C">
        <w:rPr>
          <w:rFonts w:ascii="Times New Roman" w:eastAsia="Times New Roman" w:hAnsi="Times New Roman" w:cs="Times New Roman"/>
          <w:sz w:val="24"/>
          <w:szCs w:val="24"/>
          <w:lang w:val="en-US"/>
        </w:rPr>
        <w:lastRenderedPageBreak/>
        <w:t>When zero-instance patients are included, the median for patients with at least one instance is also reported. A t-test is provided to assess differences between cohorts.</w:t>
      </w:r>
    </w:p>
    <w:p w14:paraId="184D6EB8" w14:textId="77777777" w:rsidR="001527D4" w:rsidRPr="00606F6C" w:rsidRDefault="001527D4" w:rsidP="00606F6C">
      <w:pPr>
        <w:spacing w:before="100" w:beforeAutospacing="1" w:after="100" w:afterAutospacing="1" w:line="480" w:lineRule="auto"/>
        <w:outlineLvl w:val="2"/>
        <w:rPr>
          <w:rFonts w:ascii="Times New Roman" w:eastAsia="Times New Roman" w:hAnsi="Times New Roman" w:cs="Times New Roman"/>
          <w:i/>
          <w:sz w:val="24"/>
          <w:szCs w:val="24"/>
          <w:u w:val="single"/>
          <w:lang w:val="en-US"/>
        </w:rPr>
      </w:pPr>
      <w:r w:rsidRPr="00606F6C">
        <w:rPr>
          <w:rFonts w:ascii="Times New Roman" w:eastAsia="Times New Roman" w:hAnsi="Times New Roman" w:cs="Times New Roman"/>
          <w:i/>
          <w:sz w:val="24"/>
          <w:szCs w:val="24"/>
          <w:u w:val="single"/>
          <w:lang w:val="en-US"/>
        </w:rPr>
        <w:t>Laboratory Results Analysis</w:t>
      </w:r>
    </w:p>
    <w:p w14:paraId="46A8C8B9" w14:textId="0BD73CB1" w:rsidR="005A4005" w:rsidRPr="00606F6C" w:rsidRDefault="001527D4" w:rsidP="00606F6C">
      <w:pPr>
        <w:spacing w:before="100" w:beforeAutospacing="1" w:after="100" w:afterAutospacing="1" w:line="480" w:lineRule="auto"/>
        <w:rPr>
          <w:rFonts w:ascii="Times New Roman" w:eastAsia="Times New Roman" w:hAnsi="Times New Roman" w:cs="Times New Roman"/>
          <w:sz w:val="24"/>
          <w:szCs w:val="24"/>
          <w:lang w:val="en-US"/>
        </w:rPr>
      </w:pPr>
      <w:r w:rsidRPr="00606F6C">
        <w:rPr>
          <w:rFonts w:ascii="Times New Roman" w:eastAsia="Times New Roman" w:hAnsi="Times New Roman" w:cs="Times New Roman"/>
          <w:sz w:val="24"/>
          <w:szCs w:val="24"/>
          <w:lang w:val="en-US"/>
        </w:rPr>
        <w:t>Laboratory analyses are restricted to outcomes defined by laboratory measurements, and only the most recent value within the time window is considered. For numeric laboratory values, reported metrics include the number of patients in the cohort, the number with available results, and summary statistics (mean and standard deviation). A t-test is also performed to evaluate differences between cohorts.</w:t>
      </w:r>
      <w:r w:rsidR="00524439" w:rsidRPr="00606F6C">
        <w:rPr>
          <w:rFonts w:ascii="Times New Roman" w:eastAsia="Times New Roman" w:hAnsi="Times New Roman" w:cs="Times New Roman"/>
          <w:sz w:val="24"/>
          <w:szCs w:val="24"/>
          <w:lang w:val="en-US"/>
        </w:rPr>
        <w:t xml:space="preserve"> </w:t>
      </w:r>
      <w:r w:rsidRPr="00606F6C">
        <w:rPr>
          <w:rFonts w:ascii="Times New Roman" w:eastAsia="Times New Roman" w:hAnsi="Times New Roman" w:cs="Times New Roman"/>
          <w:sz w:val="24"/>
          <w:szCs w:val="24"/>
          <w:lang w:val="en-US"/>
        </w:rPr>
        <w:t>For categorical (non-numeric) laboratory results, counts are reported for negative, positive, and unknown categories. These are additionally presented as proportions in graphical form.</w:t>
      </w:r>
    </w:p>
    <w:p w14:paraId="09CB7F1F" w14:textId="717A8D48" w:rsidR="00641E3B" w:rsidRPr="00606F6C" w:rsidRDefault="007B2C12" w:rsidP="00606F6C">
      <w:pPr>
        <w:spacing w:line="480" w:lineRule="auto"/>
        <w:rPr>
          <w:rFonts w:ascii="Times New Roman" w:eastAsia="Times New Roman" w:hAnsi="Times New Roman" w:cs="Times New Roman"/>
          <w:b/>
          <w:i/>
          <w:sz w:val="24"/>
          <w:szCs w:val="24"/>
          <w:lang w:val="en-US"/>
        </w:rPr>
      </w:pPr>
      <w:r w:rsidRPr="00606F6C">
        <w:rPr>
          <w:rFonts w:ascii="Times New Roman" w:eastAsia="Times New Roman" w:hAnsi="Times New Roman" w:cs="Times New Roman"/>
          <w:b/>
          <w:i/>
          <w:sz w:val="24"/>
          <w:szCs w:val="24"/>
          <w:lang w:val="en-US"/>
        </w:rPr>
        <w:t>Competing Risk Function</w:t>
      </w:r>
    </w:p>
    <w:p w14:paraId="0DCE1D8E" w14:textId="77777777" w:rsidR="00555969" w:rsidRPr="00606F6C" w:rsidRDefault="00F67B56" w:rsidP="00606F6C">
      <w:pPr>
        <w:pStyle w:val="NormaleWeb"/>
        <w:shd w:val="clear" w:color="auto" w:fill="FEFEFE"/>
        <w:spacing w:line="480" w:lineRule="auto"/>
      </w:pPr>
      <w:r w:rsidRPr="00606F6C">
        <w:t>Competing risk is an event that precludes the possibility of the primary event of interest from occurring.</w:t>
      </w:r>
      <w:r w:rsidR="00555969" w:rsidRPr="00606F6C">
        <w:t xml:space="preserve"> The incorporation of competing risk methodology ensures that survival analyses accurately reflect the complex reality of clinical outcomes, where multiple endpoints may compete for occurrence within the same patient population. In a traditional survival analysis, the assumption is that there is only one “failure mode” or “death” where patients leave the cohort due to having some outcome. All other ways that a patient could be removed from the cohort are assumed to be “uninformative” or “administrative” – the patient moved away, changed medical providers, or had some unrelated event like a traffic accident that removed them from the study. The benefit of the Aalen-Johansen estimator is that all the estimated cumulative incidences are updated correctly when a patient leaves the cohort due to one of the competing outcomes.</w:t>
      </w:r>
    </w:p>
    <w:p w14:paraId="7724BECF" w14:textId="7EF04B79" w:rsidR="00555969" w:rsidRPr="00606F6C" w:rsidRDefault="00555969" w:rsidP="00606F6C">
      <w:pPr>
        <w:pStyle w:val="NormaleWeb"/>
        <w:shd w:val="clear" w:color="auto" w:fill="FEFEFE"/>
        <w:spacing w:line="480" w:lineRule="auto"/>
      </w:pPr>
      <w:r w:rsidRPr="00606F6C">
        <w:t>For a single outcome, the Aalen-Johansen estimator reduces to the Kaplan-Meier estimator and would give a cumulative incidence estimate equal to (1 – the Kaplan-Meier survival estimate).</w:t>
      </w:r>
      <w:r w:rsidR="00975DA0" w:rsidRPr="00606F6C">
        <w:t xml:space="preserve"> </w:t>
      </w:r>
      <w:r w:rsidRPr="00606F6C">
        <w:t xml:space="preserve">The </w:t>
      </w:r>
      <w:r w:rsidRPr="00606F6C">
        <w:lastRenderedPageBreak/>
        <w:t>Competing Risks analytics feature uses the R Survival library v3.2-3 [1] to calculate the Aalen-Johansen estimate of the cumulative incidence along with 95% confidence intervals.</w:t>
      </w:r>
    </w:p>
    <w:p w14:paraId="57B8F6F2" w14:textId="0CC31862" w:rsidR="00555969" w:rsidRPr="00606F6C" w:rsidRDefault="00484517" w:rsidP="00606F6C">
      <w:pPr>
        <w:pStyle w:val="NormaleWeb"/>
        <w:shd w:val="clear" w:color="auto" w:fill="FEFEFE"/>
        <w:spacing w:line="480" w:lineRule="auto"/>
      </w:pPr>
      <w:r w:rsidRPr="00606F6C">
        <w:t>Is given</w:t>
      </w:r>
      <w:r w:rsidR="00555969" w:rsidRPr="00606F6C">
        <w:t xml:space="preserve"> Survival a command of the form:</w:t>
      </w:r>
    </w:p>
    <w:p w14:paraId="6DE6838B" w14:textId="77777777" w:rsidR="00555969" w:rsidRPr="00606F6C" w:rsidRDefault="00555969" w:rsidP="00606F6C">
      <w:pPr>
        <w:pStyle w:val="NormaleWeb"/>
        <w:shd w:val="clear" w:color="auto" w:fill="FEFEFE"/>
        <w:spacing w:line="480" w:lineRule="auto"/>
      </w:pPr>
      <w:proofErr w:type="spellStart"/>
      <w:proofErr w:type="gramStart"/>
      <w:r w:rsidRPr="00606F6C">
        <w:rPr>
          <w:i/>
          <w:iCs/>
        </w:rPr>
        <w:t>survfit</w:t>
      </w:r>
      <w:proofErr w:type="spellEnd"/>
      <w:r w:rsidRPr="00606F6C">
        <w:rPr>
          <w:i/>
          <w:iCs/>
        </w:rPr>
        <w:t>(</w:t>
      </w:r>
      <w:proofErr w:type="spellStart"/>
      <w:proofErr w:type="gramEnd"/>
      <w:r w:rsidRPr="00606F6C">
        <w:rPr>
          <w:i/>
          <w:iCs/>
        </w:rPr>
        <w:t>Surv</w:t>
      </w:r>
      <w:proofErr w:type="spellEnd"/>
      <w:r w:rsidRPr="00606F6C">
        <w:rPr>
          <w:i/>
          <w:iCs/>
        </w:rPr>
        <w:t>(</w:t>
      </w:r>
      <w:proofErr w:type="spellStart"/>
      <w:r w:rsidRPr="00606F6C">
        <w:rPr>
          <w:i/>
          <w:iCs/>
        </w:rPr>
        <w:t>data$time</w:t>
      </w:r>
      <w:proofErr w:type="spellEnd"/>
      <w:r w:rsidRPr="00606F6C">
        <w:rPr>
          <w:i/>
          <w:iCs/>
        </w:rPr>
        <w:t xml:space="preserve">, </w:t>
      </w:r>
      <w:proofErr w:type="spellStart"/>
      <w:r w:rsidRPr="00606F6C">
        <w:rPr>
          <w:i/>
          <w:iCs/>
        </w:rPr>
        <w:t>data$events</w:t>
      </w:r>
      <w:proofErr w:type="spellEnd"/>
      <w:r w:rsidRPr="00606F6C">
        <w:rPr>
          <w:i/>
          <w:iCs/>
        </w:rPr>
        <w:t>)~1, weights=</w:t>
      </w:r>
      <w:proofErr w:type="spellStart"/>
      <w:r w:rsidRPr="00606F6C">
        <w:rPr>
          <w:i/>
          <w:iCs/>
        </w:rPr>
        <w:t>data$weights</w:t>
      </w:r>
      <w:proofErr w:type="spellEnd"/>
      <w:r w:rsidRPr="00606F6C">
        <w:rPr>
          <w:i/>
          <w:iCs/>
        </w:rPr>
        <w:t xml:space="preserve">, </w:t>
      </w:r>
      <w:proofErr w:type="spellStart"/>
      <w:r w:rsidRPr="00606F6C">
        <w:rPr>
          <w:i/>
          <w:iCs/>
        </w:rPr>
        <w:t>conf.type</w:t>
      </w:r>
      <w:proofErr w:type="spellEnd"/>
      <w:r w:rsidRPr="00606F6C">
        <w:rPr>
          <w:i/>
          <w:iCs/>
        </w:rPr>
        <w:t xml:space="preserve">=’log-log’, </w:t>
      </w:r>
      <w:proofErr w:type="spellStart"/>
      <w:r w:rsidRPr="00606F6C">
        <w:rPr>
          <w:i/>
          <w:iCs/>
        </w:rPr>
        <w:t>stype</w:t>
      </w:r>
      <w:proofErr w:type="spellEnd"/>
      <w:r w:rsidRPr="00606F6C">
        <w:rPr>
          <w:i/>
          <w:iCs/>
        </w:rPr>
        <w:t xml:space="preserve">=1, </w:t>
      </w:r>
      <w:proofErr w:type="spellStart"/>
      <w:r w:rsidRPr="00606F6C">
        <w:rPr>
          <w:i/>
          <w:iCs/>
        </w:rPr>
        <w:t>ctype</w:t>
      </w:r>
      <w:proofErr w:type="spellEnd"/>
      <w:r w:rsidRPr="00606F6C">
        <w:rPr>
          <w:i/>
          <w:iCs/>
        </w:rPr>
        <w:t>=2)</w:t>
      </w:r>
    </w:p>
    <w:p w14:paraId="3F515F56" w14:textId="0B2FCD64" w:rsidR="00555969" w:rsidRPr="00606F6C" w:rsidRDefault="00555969" w:rsidP="00606F6C">
      <w:pPr>
        <w:pStyle w:val="NormaleWeb"/>
        <w:shd w:val="clear" w:color="auto" w:fill="FEFEFE"/>
        <w:spacing w:line="480" w:lineRule="auto"/>
      </w:pPr>
      <w:r w:rsidRPr="00606F6C">
        <w:t>The type parameters indicate that we choose to use a direct Kaplan-Meier calculation of the survival curve (rather than using the Nelson-Aalen cumulative hazard) and the Fleming-Harrington correction for tied times. We also use the standard log-log transformation of the confidence intervals to avoid collisions with the probability interval endpoints (0 and 1).</w:t>
      </w:r>
    </w:p>
    <w:p w14:paraId="43E73F22" w14:textId="3FBB1264" w:rsidR="00975DA0" w:rsidRPr="00606F6C" w:rsidRDefault="00975DA0" w:rsidP="00606F6C">
      <w:pPr>
        <w:pStyle w:val="NormaleWeb"/>
        <w:shd w:val="clear" w:color="auto" w:fill="FEFEFE"/>
        <w:spacing w:line="480" w:lineRule="auto"/>
      </w:pPr>
      <w:r w:rsidRPr="00606F6C">
        <w:t xml:space="preserve">[1] </w:t>
      </w:r>
      <w:proofErr w:type="spellStart"/>
      <w:r w:rsidRPr="00606F6C">
        <w:t>Therneau</w:t>
      </w:r>
      <w:proofErr w:type="spellEnd"/>
      <w:r w:rsidRPr="00606F6C">
        <w:t xml:space="preserve"> T (2020). </w:t>
      </w:r>
      <w:r w:rsidRPr="00606F6C">
        <w:rPr>
          <w:i/>
          <w:iCs/>
        </w:rPr>
        <w:t>A Package for Survival Analysis in R</w:t>
      </w:r>
      <w:r w:rsidRPr="00606F6C">
        <w:t>. R package version 3.2-3, </w:t>
      </w:r>
      <w:hyperlink r:id="rId5" w:history="1">
        <w:r w:rsidRPr="00606F6C">
          <w:t>https://CRAN.R-project.org/package=survival</w:t>
        </w:r>
      </w:hyperlink>
      <w:r w:rsidRPr="00606F6C">
        <w:t>.</w:t>
      </w:r>
    </w:p>
    <w:p w14:paraId="058AF3B4" w14:textId="387AA8F1" w:rsidR="00F67B56" w:rsidRPr="00606F6C" w:rsidRDefault="00F67B56" w:rsidP="00606F6C">
      <w:pPr>
        <w:spacing w:line="480" w:lineRule="auto"/>
        <w:rPr>
          <w:rFonts w:ascii="Times New Roman" w:eastAsia="Times New Roman" w:hAnsi="Times New Roman" w:cs="Times New Roman"/>
          <w:sz w:val="24"/>
          <w:szCs w:val="24"/>
          <w:lang w:val="en-US"/>
        </w:rPr>
      </w:pPr>
    </w:p>
    <w:sectPr w:rsidR="00F67B56" w:rsidRPr="00606F6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65"/>
    <w:rsid w:val="00015C3B"/>
    <w:rsid w:val="000C3FD2"/>
    <w:rsid w:val="001527D4"/>
    <w:rsid w:val="001B62B0"/>
    <w:rsid w:val="003C6F77"/>
    <w:rsid w:val="003D24CC"/>
    <w:rsid w:val="00431285"/>
    <w:rsid w:val="0045520E"/>
    <w:rsid w:val="0046754E"/>
    <w:rsid w:val="00484517"/>
    <w:rsid w:val="004A4154"/>
    <w:rsid w:val="004B5942"/>
    <w:rsid w:val="00524439"/>
    <w:rsid w:val="00555969"/>
    <w:rsid w:val="00557CF2"/>
    <w:rsid w:val="005A4005"/>
    <w:rsid w:val="00603F97"/>
    <w:rsid w:val="00606F6C"/>
    <w:rsid w:val="00641E3B"/>
    <w:rsid w:val="00666AFE"/>
    <w:rsid w:val="006C2C5E"/>
    <w:rsid w:val="007B2C12"/>
    <w:rsid w:val="007F12DD"/>
    <w:rsid w:val="008B2202"/>
    <w:rsid w:val="008C701D"/>
    <w:rsid w:val="00975DA0"/>
    <w:rsid w:val="00A81AC0"/>
    <w:rsid w:val="00B75DE7"/>
    <w:rsid w:val="00BD23A5"/>
    <w:rsid w:val="00C13A69"/>
    <w:rsid w:val="00CA0011"/>
    <w:rsid w:val="00CD744A"/>
    <w:rsid w:val="00D14D66"/>
    <w:rsid w:val="00D23365"/>
    <w:rsid w:val="00D90002"/>
    <w:rsid w:val="00E1723D"/>
    <w:rsid w:val="00EB6239"/>
    <w:rsid w:val="00F45ED5"/>
    <w:rsid w:val="00F46D60"/>
    <w:rsid w:val="00F67B56"/>
    <w:rsid w:val="00FD36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111A0"/>
  <w15:chartTrackingRefBased/>
  <w15:docId w15:val="{4A39BD64-CCB1-495B-9E0A-5CF16B7A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641E3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Rimandocommento">
    <w:name w:val="annotation reference"/>
    <w:basedOn w:val="Carpredefinitoparagrafo"/>
    <w:uiPriority w:val="99"/>
    <w:semiHidden/>
    <w:unhideWhenUsed/>
    <w:rsid w:val="00641E3B"/>
    <w:rPr>
      <w:sz w:val="16"/>
      <w:szCs w:val="16"/>
    </w:rPr>
  </w:style>
  <w:style w:type="paragraph" w:styleId="Testocommento">
    <w:name w:val="annotation text"/>
    <w:basedOn w:val="Normale"/>
    <w:link w:val="TestocommentoCarattere"/>
    <w:uiPriority w:val="99"/>
    <w:semiHidden/>
    <w:unhideWhenUsed/>
    <w:rsid w:val="00641E3B"/>
    <w:pPr>
      <w:spacing w:line="240" w:lineRule="auto"/>
    </w:pPr>
    <w:rPr>
      <w:kern w:val="2"/>
      <w:sz w:val="20"/>
      <w:szCs w:val="20"/>
      <w14:ligatures w14:val="standardContextual"/>
    </w:rPr>
  </w:style>
  <w:style w:type="character" w:customStyle="1" w:styleId="TestocommentoCarattere">
    <w:name w:val="Testo commento Carattere"/>
    <w:basedOn w:val="Carpredefinitoparagrafo"/>
    <w:link w:val="Testocommento"/>
    <w:uiPriority w:val="99"/>
    <w:semiHidden/>
    <w:rsid w:val="00641E3B"/>
    <w:rPr>
      <w:kern w:val="2"/>
      <w:sz w:val="20"/>
      <w:szCs w:val="20"/>
      <w14:ligatures w14:val="standardContextual"/>
    </w:rPr>
  </w:style>
  <w:style w:type="character" w:styleId="Enfasicorsivo">
    <w:name w:val="Emphasis"/>
    <w:basedOn w:val="Carpredefinitoparagrafo"/>
    <w:uiPriority w:val="20"/>
    <w:qFormat/>
    <w:rsid w:val="00555969"/>
    <w:rPr>
      <w:i/>
      <w:iCs/>
    </w:rPr>
  </w:style>
  <w:style w:type="character" w:styleId="Collegamentoipertestuale">
    <w:name w:val="Hyperlink"/>
    <w:basedOn w:val="Carpredefinitoparagrafo"/>
    <w:uiPriority w:val="99"/>
    <w:semiHidden/>
    <w:unhideWhenUsed/>
    <w:rsid w:val="00555969"/>
    <w:rPr>
      <w:color w:val="0000FF"/>
      <w:u w:val="single"/>
    </w:rPr>
  </w:style>
  <w:style w:type="paragraph" w:styleId="Testofumetto">
    <w:name w:val="Balloon Text"/>
    <w:basedOn w:val="Normale"/>
    <w:link w:val="TestofumettoCarattere"/>
    <w:uiPriority w:val="99"/>
    <w:semiHidden/>
    <w:unhideWhenUsed/>
    <w:rsid w:val="004A415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A41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343854">
      <w:bodyDiv w:val="1"/>
      <w:marLeft w:val="0"/>
      <w:marRight w:val="0"/>
      <w:marTop w:val="0"/>
      <w:marBottom w:val="0"/>
      <w:divBdr>
        <w:top w:val="none" w:sz="0" w:space="0" w:color="auto"/>
        <w:left w:val="none" w:sz="0" w:space="0" w:color="auto"/>
        <w:bottom w:val="none" w:sz="0" w:space="0" w:color="auto"/>
        <w:right w:val="none" w:sz="0" w:space="0" w:color="auto"/>
      </w:divBdr>
    </w:div>
    <w:div w:id="421337826">
      <w:bodyDiv w:val="1"/>
      <w:marLeft w:val="0"/>
      <w:marRight w:val="0"/>
      <w:marTop w:val="0"/>
      <w:marBottom w:val="0"/>
      <w:divBdr>
        <w:top w:val="none" w:sz="0" w:space="0" w:color="auto"/>
        <w:left w:val="none" w:sz="0" w:space="0" w:color="auto"/>
        <w:bottom w:val="none" w:sz="0" w:space="0" w:color="auto"/>
        <w:right w:val="none" w:sz="0" w:space="0" w:color="auto"/>
      </w:divBdr>
    </w:div>
    <w:div w:id="604191803">
      <w:bodyDiv w:val="1"/>
      <w:marLeft w:val="0"/>
      <w:marRight w:val="0"/>
      <w:marTop w:val="0"/>
      <w:marBottom w:val="0"/>
      <w:divBdr>
        <w:top w:val="none" w:sz="0" w:space="0" w:color="auto"/>
        <w:left w:val="none" w:sz="0" w:space="0" w:color="auto"/>
        <w:bottom w:val="none" w:sz="0" w:space="0" w:color="auto"/>
        <w:right w:val="none" w:sz="0" w:space="0" w:color="auto"/>
      </w:divBdr>
    </w:div>
    <w:div w:id="646856144">
      <w:bodyDiv w:val="1"/>
      <w:marLeft w:val="0"/>
      <w:marRight w:val="0"/>
      <w:marTop w:val="0"/>
      <w:marBottom w:val="0"/>
      <w:divBdr>
        <w:top w:val="none" w:sz="0" w:space="0" w:color="auto"/>
        <w:left w:val="none" w:sz="0" w:space="0" w:color="auto"/>
        <w:bottom w:val="none" w:sz="0" w:space="0" w:color="auto"/>
        <w:right w:val="none" w:sz="0" w:space="0" w:color="auto"/>
      </w:divBdr>
    </w:div>
    <w:div w:id="752698818">
      <w:bodyDiv w:val="1"/>
      <w:marLeft w:val="0"/>
      <w:marRight w:val="0"/>
      <w:marTop w:val="0"/>
      <w:marBottom w:val="0"/>
      <w:divBdr>
        <w:top w:val="none" w:sz="0" w:space="0" w:color="auto"/>
        <w:left w:val="none" w:sz="0" w:space="0" w:color="auto"/>
        <w:bottom w:val="none" w:sz="0" w:space="0" w:color="auto"/>
        <w:right w:val="none" w:sz="0" w:space="0" w:color="auto"/>
      </w:divBdr>
    </w:div>
    <w:div w:id="808018422">
      <w:bodyDiv w:val="1"/>
      <w:marLeft w:val="0"/>
      <w:marRight w:val="0"/>
      <w:marTop w:val="0"/>
      <w:marBottom w:val="0"/>
      <w:divBdr>
        <w:top w:val="none" w:sz="0" w:space="0" w:color="auto"/>
        <w:left w:val="none" w:sz="0" w:space="0" w:color="auto"/>
        <w:bottom w:val="none" w:sz="0" w:space="0" w:color="auto"/>
        <w:right w:val="none" w:sz="0" w:space="0" w:color="auto"/>
      </w:divBdr>
    </w:div>
    <w:div w:id="901718953">
      <w:bodyDiv w:val="1"/>
      <w:marLeft w:val="0"/>
      <w:marRight w:val="0"/>
      <w:marTop w:val="0"/>
      <w:marBottom w:val="0"/>
      <w:divBdr>
        <w:top w:val="none" w:sz="0" w:space="0" w:color="auto"/>
        <w:left w:val="none" w:sz="0" w:space="0" w:color="auto"/>
        <w:bottom w:val="none" w:sz="0" w:space="0" w:color="auto"/>
        <w:right w:val="none" w:sz="0" w:space="0" w:color="auto"/>
      </w:divBdr>
    </w:div>
    <w:div w:id="1111319782">
      <w:bodyDiv w:val="1"/>
      <w:marLeft w:val="0"/>
      <w:marRight w:val="0"/>
      <w:marTop w:val="0"/>
      <w:marBottom w:val="0"/>
      <w:divBdr>
        <w:top w:val="none" w:sz="0" w:space="0" w:color="auto"/>
        <w:left w:val="none" w:sz="0" w:space="0" w:color="auto"/>
        <w:bottom w:val="none" w:sz="0" w:space="0" w:color="auto"/>
        <w:right w:val="none" w:sz="0" w:space="0" w:color="auto"/>
      </w:divBdr>
    </w:div>
    <w:div w:id="1270503377">
      <w:bodyDiv w:val="1"/>
      <w:marLeft w:val="0"/>
      <w:marRight w:val="0"/>
      <w:marTop w:val="0"/>
      <w:marBottom w:val="0"/>
      <w:divBdr>
        <w:top w:val="none" w:sz="0" w:space="0" w:color="auto"/>
        <w:left w:val="none" w:sz="0" w:space="0" w:color="auto"/>
        <w:bottom w:val="none" w:sz="0" w:space="0" w:color="auto"/>
        <w:right w:val="none" w:sz="0" w:space="0" w:color="auto"/>
      </w:divBdr>
    </w:div>
    <w:div w:id="1288664496">
      <w:bodyDiv w:val="1"/>
      <w:marLeft w:val="0"/>
      <w:marRight w:val="0"/>
      <w:marTop w:val="0"/>
      <w:marBottom w:val="0"/>
      <w:divBdr>
        <w:top w:val="none" w:sz="0" w:space="0" w:color="auto"/>
        <w:left w:val="none" w:sz="0" w:space="0" w:color="auto"/>
        <w:bottom w:val="none" w:sz="0" w:space="0" w:color="auto"/>
        <w:right w:val="none" w:sz="0" w:space="0" w:color="auto"/>
      </w:divBdr>
    </w:div>
    <w:div w:id="1416823462">
      <w:bodyDiv w:val="1"/>
      <w:marLeft w:val="0"/>
      <w:marRight w:val="0"/>
      <w:marTop w:val="0"/>
      <w:marBottom w:val="0"/>
      <w:divBdr>
        <w:top w:val="none" w:sz="0" w:space="0" w:color="auto"/>
        <w:left w:val="none" w:sz="0" w:space="0" w:color="auto"/>
        <w:bottom w:val="none" w:sz="0" w:space="0" w:color="auto"/>
        <w:right w:val="none" w:sz="0" w:space="0" w:color="auto"/>
      </w:divBdr>
    </w:div>
    <w:div w:id="1472793296">
      <w:bodyDiv w:val="1"/>
      <w:marLeft w:val="0"/>
      <w:marRight w:val="0"/>
      <w:marTop w:val="0"/>
      <w:marBottom w:val="0"/>
      <w:divBdr>
        <w:top w:val="none" w:sz="0" w:space="0" w:color="auto"/>
        <w:left w:val="none" w:sz="0" w:space="0" w:color="auto"/>
        <w:bottom w:val="none" w:sz="0" w:space="0" w:color="auto"/>
        <w:right w:val="none" w:sz="0" w:space="0" w:color="auto"/>
      </w:divBdr>
    </w:div>
    <w:div w:id="1520466385">
      <w:bodyDiv w:val="1"/>
      <w:marLeft w:val="0"/>
      <w:marRight w:val="0"/>
      <w:marTop w:val="0"/>
      <w:marBottom w:val="0"/>
      <w:divBdr>
        <w:top w:val="none" w:sz="0" w:space="0" w:color="auto"/>
        <w:left w:val="none" w:sz="0" w:space="0" w:color="auto"/>
        <w:bottom w:val="none" w:sz="0" w:space="0" w:color="auto"/>
        <w:right w:val="none" w:sz="0" w:space="0" w:color="auto"/>
      </w:divBdr>
    </w:div>
    <w:div w:id="1580014532">
      <w:bodyDiv w:val="1"/>
      <w:marLeft w:val="0"/>
      <w:marRight w:val="0"/>
      <w:marTop w:val="0"/>
      <w:marBottom w:val="0"/>
      <w:divBdr>
        <w:top w:val="none" w:sz="0" w:space="0" w:color="auto"/>
        <w:left w:val="none" w:sz="0" w:space="0" w:color="auto"/>
        <w:bottom w:val="none" w:sz="0" w:space="0" w:color="auto"/>
        <w:right w:val="none" w:sz="0" w:space="0" w:color="auto"/>
      </w:divBdr>
    </w:div>
    <w:div w:id="1723601544">
      <w:bodyDiv w:val="1"/>
      <w:marLeft w:val="0"/>
      <w:marRight w:val="0"/>
      <w:marTop w:val="0"/>
      <w:marBottom w:val="0"/>
      <w:divBdr>
        <w:top w:val="none" w:sz="0" w:space="0" w:color="auto"/>
        <w:left w:val="none" w:sz="0" w:space="0" w:color="auto"/>
        <w:bottom w:val="none" w:sz="0" w:space="0" w:color="auto"/>
        <w:right w:val="none" w:sz="0" w:space="0" w:color="auto"/>
      </w:divBdr>
    </w:div>
    <w:div w:id="214430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ran.r-project.org/package=survival" TargetMode="External"/><Relationship Id="rId4" Type="http://schemas.openxmlformats.org/officeDocument/2006/relationships/hyperlink" Target="https://doi.org/10.3389/fphar.2025.1516126"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2746</Words>
  <Characters>15654</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Riboni Gaia</dc:creator>
  <cp:keywords/>
  <dc:description/>
  <cp:lastModifiedBy>Passantino Andrea</cp:lastModifiedBy>
  <cp:revision>3</cp:revision>
  <dcterms:created xsi:type="dcterms:W3CDTF">2026-03-31T12:01:00Z</dcterms:created>
  <dcterms:modified xsi:type="dcterms:W3CDTF">2026-04-21T11:16:00Z</dcterms:modified>
</cp:coreProperties>
</file>