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6B0AF1" w14:textId="29B1313E" w:rsidR="00E81A99" w:rsidRPr="00AC4A34" w:rsidRDefault="00E81A99" w:rsidP="00E81A99">
      <w:pPr>
        <w:rPr>
          <w:rFonts w:asciiTheme="majorHAnsi" w:hAnsiTheme="majorHAnsi"/>
          <w:sz w:val="28"/>
          <w:szCs w:val="28"/>
        </w:rPr>
      </w:pPr>
      <w:r>
        <w:rPr>
          <w:rFonts w:asciiTheme="majorHAnsi" w:hAnsiTheme="majorHAnsi"/>
          <w:b/>
          <w:sz w:val="28"/>
          <w:szCs w:val="28"/>
        </w:rPr>
        <w:t xml:space="preserve">Figure Legends for Supplementary Figures </w:t>
      </w:r>
      <w:r w:rsidRPr="00AC4A34">
        <w:rPr>
          <w:rFonts w:asciiTheme="majorHAnsi" w:hAnsiTheme="majorHAnsi"/>
          <w:b/>
          <w:sz w:val="28"/>
          <w:szCs w:val="28"/>
        </w:rPr>
        <w:t xml:space="preserve">for </w:t>
      </w:r>
      <w:r w:rsidRPr="00AC4A34">
        <w:rPr>
          <w:rFonts w:asciiTheme="majorHAnsi" w:hAnsiTheme="majorHAnsi"/>
          <w:sz w:val="28"/>
          <w:szCs w:val="28"/>
        </w:rPr>
        <w:t xml:space="preserve">Comprehensive multi-cohort transcriptional meta-analysis of muscle diseases identifies a signature of disease severity </w:t>
      </w:r>
    </w:p>
    <w:p w14:paraId="0B8F725B" w14:textId="77777777" w:rsidR="00E81A99" w:rsidRDefault="00E81A99" w:rsidP="00E81A99"/>
    <w:p w14:paraId="1922C662" w14:textId="77777777" w:rsidR="00E81A99" w:rsidRPr="00C11010" w:rsidRDefault="00E81A99" w:rsidP="00E81A99">
      <w:pPr>
        <w:rPr>
          <w:rFonts w:ascii="Times New Roman" w:hAnsi="Times New Roman" w:cs="Times New Roman"/>
          <w:sz w:val="20"/>
          <w:szCs w:val="20"/>
        </w:rPr>
      </w:pPr>
      <w:r>
        <w:rPr>
          <w:rFonts w:ascii="Times New Roman" w:hAnsi="Times New Roman" w:cs="Times New Roman"/>
          <w:sz w:val="20"/>
          <w:szCs w:val="20"/>
        </w:rPr>
        <w:t>CJ</w:t>
      </w:r>
      <w:r w:rsidRPr="00C11010">
        <w:rPr>
          <w:rFonts w:ascii="Times New Roman" w:hAnsi="Times New Roman" w:cs="Times New Roman"/>
          <w:sz w:val="20"/>
          <w:szCs w:val="20"/>
        </w:rPr>
        <w:t xml:space="preserve"> Walsh</w:t>
      </w:r>
      <w:r w:rsidRPr="00C11010">
        <w:rPr>
          <w:rFonts w:ascii="Times New Roman" w:hAnsi="Times New Roman" w:cs="Times New Roman"/>
          <w:sz w:val="20"/>
          <w:szCs w:val="20"/>
          <w:vertAlign w:val="superscript"/>
        </w:rPr>
        <w:t>1</w:t>
      </w:r>
      <w:proofErr w:type="gramStart"/>
      <w:r w:rsidRPr="00C11010">
        <w:rPr>
          <w:rFonts w:ascii="Times New Roman" w:hAnsi="Times New Roman" w:cs="Times New Roman"/>
          <w:sz w:val="20"/>
          <w:szCs w:val="20"/>
          <w:vertAlign w:val="superscript"/>
        </w:rPr>
        <w:t>,2</w:t>
      </w:r>
      <w:proofErr w:type="gramEnd"/>
      <w:r>
        <w:rPr>
          <w:rFonts w:ascii="Times New Roman" w:hAnsi="Times New Roman" w:cs="Times New Roman"/>
          <w:sz w:val="20"/>
          <w:szCs w:val="20"/>
        </w:rPr>
        <w:t>, J</w:t>
      </w:r>
      <w:r w:rsidRPr="00C11010">
        <w:rPr>
          <w:rFonts w:ascii="Times New Roman" w:hAnsi="Times New Roman" w:cs="Times New Roman"/>
          <w:sz w:val="20"/>
          <w:szCs w:val="20"/>
        </w:rPr>
        <w:t xml:space="preserve"> Batt</w:t>
      </w:r>
      <w:r w:rsidRPr="00C11010">
        <w:rPr>
          <w:rFonts w:ascii="Times New Roman" w:hAnsi="Times New Roman" w:cs="Times New Roman"/>
          <w:sz w:val="20"/>
          <w:szCs w:val="20"/>
          <w:vertAlign w:val="superscript"/>
        </w:rPr>
        <w:t>1,2</w:t>
      </w:r>
      <w:r>
        <w:rPr>
          <w:rFonts w:ascii="Times New Roman" w:hAnsi="Times New Roman" w:cs="Times New Roman"/>
          <w:sz w:val="20"/>
          <w:szCs w:val="20"/>
        </w:rPr>
        <w:t>, M.</w:t>
      </w:r>
      <w:r w:rsidRPr="00C11010">
        <w:rPr>
          <w:rFonts w:ascii="Times New Roman" w:hAnsi="Times New Roman" w:cs="Times New Roman"/>
          <w:sz w:val="20"/>
          <w:szCs w:val="20"/>
        </w:rPr>
        <w:t>S. Herridge</w:t>
      </w:r>
      <w:r w:rsidRPr="00C11010">
        <w:rPr>
          <w:rFonts w:ascii="Times New Roman" w:hAnsi="Times New Roman" w:cs="Times New Roman"/>
          <w:sz w:val="20"/>
          <w:szCs w:val="20"/>
          <w:vertAlign w:val="superscript"/>
        </w:rPr>
        <w:t>4</w:t>
      </w:r>
      <w:r>
        <w:rPr>
          <w:rFonts w:ascii="Times New Roman" w:hAnsi="Times New Roman" w:cs="Times New Roman"/>
          <w:sz w:val="20"/>
          <w:szCs w:val="20"/>
        </w:rPr>
        <w:t>, S.</w:t>
      </w:r>
      <w:r w:rsidRPr="00C11010">
        <w:rPr>
          <w:rFonts w:ascii="Times New Roman" w:hAnsi="Times New Roman" w:cs="Times New Roman"/>
          <w:sz w:val="20"/>
          <w:szCs w:val="20"/>
        </w:rPr>
        <w:t xml:space="preserve"> Mathur</w:t>
      </w:r>
      <w:r w:rsidRPr="00C11010">
        <w:rPr>
          <w:rFonts w:ascii="Times New Roman" w:hAnsi="Times New Roman" w:cs="Times New Roman"/>
          <w:sz w:val="20"/>
          <w:szCs w:val="20"/>
          <w:vertAlign w:val="superscript"/>
        </w:rPr>
        <w:t>5</w:t>
      </w:r>
      <w:r>
        <w:rPr>
          <w:rFonts w:ascii="Times New Roman" w:hAnsi="Times New Roman" w:cs="Times New Roman"/>
          <w:sz w:val="20"/>
          <w:szCs w:val="20"/>
        </w:rPr>
        <w:t>, GD Bader</w:t>
      </w:r>
      <w:r w:rsidRPr="001F61AA">
        <w:rPr>
          <w:rFonts w:ascii="Times New Roman" w:hAnsi="Times New Roman" w:cs="Times New Roman"/>
          <w:sz w:val="20"/>
          <w:szCs w:val="20"/>
          <w:vertAlign w:val="superscript"/>
        </w:rPr>
        <w:t>6</w:t>
      </w:r>
      <w:r>
        <w:rPr>
          <w:rFonts w:ascii="Times New Roman" w:hAnsi="Times New Roman" w:cs="Times New Roman"/>
          <w:sz w:val="20"/>
          <w:szCs w:val="20"/>
        </w:rPr>
        <w:t>, P Hu</w:t>
      </w:r>
      <w:r w:rsidRPr="00C11010">
        <w:rPr>
          <w:rFonts w:ascii="Times New Roman" w:hAnsi="Times New Roman" w:cs="Times New Roman"/>
          <w:sz w:val="20"/>
          <w:szCs w:val="20"/>
          <w:vertAlign w:val="superscript"/>
        </w:rPr>
        <w:t>7</w:t>
      </w:r>
      <w:r w:rsidRPr="00C11010">
        <w:rPr>
          <w:rFonts w:ascii="Times New Roman" w:hAnsi="Times New Roman" w:cs="Times New Roman"/>
          <w:sz w:val="20"/>
          <w:szCs w:val="20"/>
        </w:rPr>
        <w:t xml:space="preserve">, </w:t>
      </w:r>
      <w:r>
        <w:rPr>
          <w:rFonts w:ascii="Times New Roman" w:hAnsi="Times New Roman" w:cs="Times New Roman"/>
          <w:sz w:val="20"/>
          <w:szCs w:val="20"/>
        </w:rPr>
        <w:t>P Khatri</w:t>
      </w:r>
      <w:r w:rsidRPr="003556BC">
        <w:rPr>
          <w:rFonts w:ascii="Times New Roman" w:hAnsi="Times New Roman" w:cs="Times New Roman"/>
          <w:sz w:val="20"/>
          <w:szCs w:val="20"/>
          <w:vertAlign w:val="superscript"/>
        </w:rPr>
        <w:t>8,9</w:t>
      </w:r>
      <w:r>
        <w:rPr>
          <w:rFonts w:ascii="Times New Roman" w:hAnsi="Times New Roman" w:cs="Times New Roman"/>
          <w:sz w:val="20"/>
          <w:szCs w:val="20"/>
        </w:rPr>
        <w:t>, and C</w:t>
      </w:r>
      <w:r w:rsidRPr="00C11010">
        <w:rPr>
          <w:rFonts w:ascii="Times New Roman" w:hAnsi="Times New Roman" w:cs="Times New Roman"/>
          <w:sz w:val="20"/>
          <w:szCs w:val="20"/>
        </w:rPr>
        <w:t>C. dos Santos</w:t>
      </w:r>
      <w:r w:rsidRPr="00C11010">
        <w:rPr>
          <w:rFonts w:ascii="Times New Roman" w:hAnsi="Times New Roman" w:cs="Times New Roman"/>
          <w:sz w:val="20"/>
          <w:szCs w:val="20"/>
          <w:vertAlign w:val="superscript"/>
        </w:rPr>
        <w:t xml:space="preserve">1,3    </w:t>
      </w:r>
      <w:r w:rsidRPr="00C11010">
        <w:rPr>
          <w:rFonts w:ascii="Times New Roman" w:hAnsi="Times New Roman" w:cs="Times New Roman"/>
          <w:sz w:val="20"/>
          <w:szCs w:val="20"/>
        </w:rPr>
        <w:t xml:space="preserve">Submitted on behalf of the MEND-ICU Group and Canadian Critical Care Translational Biology Group </w:t>
      </w:r>
    </w:p>
    <w:p w14:paraId="66214F5A" w14:textId="77777777" w:rsidR="00E81A99" w:rsidRDefault="00E81A99" w:rsidP="00E81A99">
      <w:pPr>
        <w:rPr>
          <w:rFonts w:asciiTheme="majorHAnsi" w:hAnsiTheme="majorHAnsi"/>
          <w:b/>
          <w:sz w:val="22"/>
          <w:szCs w:val="22"/>
        </w:rPr>
      </w:pPr>
    </w:p>
    <w:p w14:paraId="26EE20EA" w14:textId="77777777" w:rsidR="00E81A99" w:rsidRPr="00066F52" w:rsidRDefault="00E81A99" w:rsidP="00E81A99">
      <w:pPr>
        <w:rPr>
          <w:rFonts w:ascii="Times New Roman" w:hAnsi="Times New Roman" w:cs="Times New Roman"/>
          <w:sz w:val="18"/>
          <w:szCs w:val="18"/>
        </w:rPr>
      </w:pPr>
      <w:r w:rsidRPr="00066F52">
        <w:rPr>
          <w:rFonts w:ascii="Times New Roman" w:hAnsi="Times New Roman" w:cs="Times New Roman"/>
          <w:sz w:val="18"/>
          <w:szCs w:val="18"/>
        </w:rPr>
        <w:t xml:space="preserve">1. Keenan </w:t>
      </w:r>
      <w:r>
        <w:rPr>
          <w:rFonts w:ascii="Times New Roman" w:eastAsia="Times New Roman" w:hAnsi="Times New Roman" w:cs="Times New Roman"/>
          <w:sz w:val="18"/>
        </w:rPr>
        <w:t>Research Center for Biomedical Science,</w:t>
      </w:r>
      <w:r w:rsidRPr="00066F52" w:rsidDel="003A3202">
        <w:rPr>
          <w:rFonts w:ascii="Times New Roman" w:hAnsi="Times New Roman" w:cs="Times New Roman"/>
          <w:sz w:val="18"/>
          <w:szCs w:val="18"/>
        </w:rPr>
        <w:t xml:space="preserve"> </w:t>
      </w:r>
      <w:r w:rsidRPr="00066F52">
        <w:rPr>
          <w:rFonts w:ascii="Times New Roman" w:hAnsi="Times New Roman" w:cs="Times New Roman"/>
          <w:sz w:val="18"/>
          <w:szCs w:val="18"/>
        </w:rPr>
        <w:t xml:space="preserve">Saint Michael’s Hospital, Toronto, Ontario, Canada. </w:t>
      </w:r>
    </w:p>
    <w:p w14:paraId="18717618" w14:textId="77777777" w:rsidR="00E81A99" w:rsidRPr="00066F52" w:rsidRDefault="00E81A99" w:rsidP="00E81A99">
      <w:pPr>
        <w:rPr>
          <w:rFonts w:ascii="Times New Roman" w:hAnsi="Times New Roman" w:cs="Times New Roman"/>
          <w:sz w:val="18"/>
          <w:szCs w:val="18"/>
        </w:rPr>
      </w:pPr>
      <w:r w:rsidRPr="00066F52">
        <w:rPr>
          <w:rFonts w:ascii="Times New Roman" w:hAnsi="Times New Roman" w:cs="Times New Roman"/>
          <w:sz w:val="18"/>
          <w:szCs w:val="18"/>
        </w:rPr>
        <w:t xml:space="preserve">2. Institute of Medical Sciences and Department of Medicine, University of Toronto, Toronto, Ontario, Canada. </w:t>
      </w:r>
    </w:p>
    <w:p w14:paraId="53CC3C54" w14:textId="77777777" w:rsidR="00E81A99" w:rsidRPr="00066F52" w:rsidRDefault="00E81A99" w:rsidP="00E81A99">
      <w:pPr>
        <w:rPr>
          <w:rFonts w:ascii="Times New Roman" w:hAnsi="Times New Roman" w:cs="Times New Roman"/>
          <w:sz w:val="18"/>
          <w:szCs w:val="18"/>
        </w:rPr>
      </w:pPr>
      <w:r w:rsidRPr="00066F52">
        <w:rPr>
          <w:rFonts w:ascii="Times New Roman" w:hAnsi="Times New Roman" w:cs="Times New Roman"/>
          <w:sz w:val="18"/>
          <w:szCs w:val="18"/>
        </w:rPr>
        <w:t xml:space="preserve">3. Interdepartmental Division of Critical Care, University of Toronto, Toronto, Ontario, Canada </w:t>
      </w:r>
    </w:p>
    <w:p w14:paraId="5D33328A" w14:textId="77777777" w:rsidR="00E81A99" w:rsidRPr="00066F52" w:rsidRDefault="00E81A99" w:rsidP="00E81A99">
      <w:pPr>
        <w:rPr>
          <w:rFonts w:ascii="Times New Roman" w:hAnsi="Times New Roman" w:cs="Times New Roman"/>
          <w:sz w:val="18"/>
          <w:szCs w:val="18"/>
        </w:rPr>
      </w:pPr>
      <w:r w:rsidRPr="00066F52">
        <w:rPr>
          <w:rFonts w:ascii="Times New Roman" w:hAnsi="Times New Roman" w:cs="Times New Roman"/>
          <w:sz w:val="18"/>
          <w:szCs w:val="18"/>
        </w:rPr>
        <w:t>4. University Health Network, Interdepartmental Division of Critical Care, University of Toronto, Toronto, Ontario, Canada</w:t>
      </w:r>
    </w:p>
    <w:p w14:paraId="1026B1AD" w14:textId="77777777" w:rsidR="00E81A99" w:rsidRPr="00066F52" w:rsidRDefault="00E81A99" w:rsidP="00E81A99">
      <w:pPr>
        <w:rPr>
          <w:rFonts w:ascii="Times New Roman" w:hAnsi="Times New Roman" w:cs="Times New Roman"/>
          <w:sz w:val="18"/>
          <w:szCs w:val="18"/>
        </w:rPr>
      </w:pPr>
      <w:r w:rsidRPr="00066F52">
        <w:rPr>
          <w:rFonts w:ascii="Times New Roman" w:hAnsi="Times New Roman" w:cs="Times New Roman"/>
          <w:sz w:val="18"/>
          <w:szCs w:val="18"/>
        </w:rPr>
        <w:t>5. Department of Physical Therapy, University of Toronto, Toronto, Ontario, Canada</w:t>
      </w:r>
    </w:p>
    <w:p w14:paraId="377AEFA6" w14:textId="77777777" w:rsidR="00E81A99" w:rsidRPr="00066F52" w:rsidRDefault="00E81A99" w:rsidP="00E81A99">
      <w:pPr>
        <w:rPr>
          <w:rFonts w:ascii="Times New Roman" w:hAnsi="Times New Roman" w:cs="Times New Roman"/>
          <w:sz w:val="18"/>
          <w:szCs w:val="18"/>
        </w:rPr>
      </w:pPr>
      <w:r w:rsidRPr="00066F52">
        <w:rPr>
          <w:rFonts w:ascii="Times New Roman" w:hAnsi="Times New Roman" w:cs="Times New Roman"/>
          <w:sz w:val="18"/>
          <w:szCs w:val="18"/>
        </w:rPr>
        <w:t>6.  The Donnelly Center, University of Toronto, Toronto, Ontario, Canada</w:t>
      </w:r>
    </w:p>
    <w:p w14:paraId="024876D2" w14:textId="77777777" w:rsidR="00E81A99" w:rsidRPr="00066F52" w:rsidRDefault="00E81A99" w:rsidP="00E81A99">
      <w:pPr>
        <w:rPr>
          <w:rFonts w:ascii="Times New Roman" w:hAnsi="Times New Roman" w:cs="Times New Roman"/>
          <w:sz w:val="18"/>
          <w:szCs w:val="18"/>
        </w:rPr>
      </w:pPr>
      <w:r w:rsidRPr="00066F52">
        <w:rPr>
          <w:rFonts w:ascii="Times New Roman" w:hAnsi="Times New Roman" w:cs="Times New Roman"/>
          <w:sz w:val="18"/>
          <w:szCs w:val="18"/>
        </w:rPr>
        <w:t>7. Department of Biochemistry and Medical Genetics, University of Manitoba, Winnipeg, Manitoba, Canada</w:t>
      </w:r>
    </w:p>
    <w:p w14:paraId="3102FCA7" w14:textId="77777777" w:rsidR="00E81A99" w:rsidRDefault="00E81A99" w:rsidP="00E81A99">
      <w:pPr>
        <w:rPr>
          <w:rFonts w:ascii="Times New Roman" w:hAnsi="Times New Roman" w:cs="Times New Roman"/>
          <w:sz w:val="18"/>
          <w:szCs w:val="18"/>
        </w:rPr>
      </w:pPr>
      <w:r w:rsidRPr="00066F52">
        <w:rPr>
          <w:rFonts w:ascii="Times New Roman" w:hAnsi="Times New Roman" w:cs="Times New Roman"/>
          <w:sz w:val="18"/>
          <w:szCs w:val="18"/>
        </w:rPr>
        <w:t>8. Stanford Institute for Immunity, Transplantation and Infection (ITI), Stanford University School of Medicine, Stanford</w:t>
      </w:r>
      <w:proofErr w:type="gramStart"/>
      <w:r w:rsidRPr="00066F52">
        <w:rPr>
          <w:rFonts w:ascii="Times New Roman" w:hAnsi="Times New Roman" w:cs="Times New Roman"/>
          <w:sz w:val="18"/>
          <w:szCs w:val="18"/>
        </w:rPr>
        <w:t>, </w:t>
      </w:r>
      <w:proofErr w:type="gramEnd"/>
      <w:r w:rsidRPr="00066F52">
        <w:rPr>
          <w:rFonts w:ascii="Times New Roman" w:hAnsi="Times New Roman" w:cs="Times New Roman"/>
          <w:sz w:val="18"/>
          <w:szCs w:val="18"/>
        </w:rPr>
        <w:t xml:space="preserve">CA, USA </w:t>
      </w:r>
    </w:p>
    <w:p w14:paraId="5AA36C82" w14:textId="77777777" w:rsidR="00E81A99" w:rsidRPr="00066F52" w:rsidRDefault="00E81A99" w:rsidP="00E81A99">
      <w:pPr>
        <w:rPr>
          <w:rFonts w:ascii="Times New Roman" w:hAnsi="Times New Roman" w:cs="Times New Roman"/>
          <w:sz w:val="18"/>
          <w:szCs w:val="18"/>
        </w:rPr>
      </w:pPr>
      <w:r w:rsidRPr="00066F52">
        <w:rPr>
          <w:rFonts w:ascii="Times New Roman" w:hAnsi="Times New Roman" w:cs="Times New Roman"/>
          <w:sz w:val="18"/>
          <w:szCs w:val="18"/>
        </w:rPr>
        <w:t>9. Stanford Center for Biomedical Informatics Research (BMIR), Department of Medicine, Stanford University, Stanford, CA, USA</w:t>
      </w:r>
    </w:p>
    <w:p w14:paraId="106A604C" w14:textId="77777777" w:rsidR="00E81A99" w:rsidRDefault="00E81A99">
      <w:pPr>
        <w:rPr>
          <w:rFonts w:asciiTheme="majorHAnsi" w:hAnsiTheme="majorHAnsi"/>
          <w:b/>
        </w:rPr>
      </w:pPr>
    </w:p>
    <w:p w14:paraId="5BFD1056" w14:textId="77777777" w:rsidR="00E81A99" w:rsidRDefault="00E81A99">
      <w:pPr>
        <w:rPr>
          <w:rFonts w:asciiTheme="majorHAnsi" w:hAnsiTheme="majorHAnsi"/>
          <w:b/>
        </w:rPr>
      </w:pPr>
    </w:p>
    <w:p w14:paraId="57ED4841" w14:textId="76BC5858" w:rsidR="00526234" w:rsidRPr="00616B21" w:rsidRDefault="003623B8">
      <w:pPr>
        <w:rPr>
          <w:rFonts w:asciiTheme="majorHAnsi" w:hAnsiTheme="majorHAnsi"/>
        </w:rPr>
      </w:pPr>
      <w:r w:rsidRPr="00616B21">
        <w:rPr>
          <w:rFonts w:asciiTheme="majorHAnsi" w:hAnsiTheme="majorHAnsi"/>
          <w:b/>
        </w:rPr>
        <w:t>Supplementary Figure 1</w:t>
      </w:r>
      <w:r w:rsidRPr="00616B21">
        <w:rPr>
          <w:rFonts w:asciiTheme="majorHAnsi" w:hAnsiTheme="majorHAnsi"/>
        </w:rPr>
        <w:t xml:space="preserve">: Meta-analysis </w:t>
      </w:r>
      <w:r w:rsidR="001E64B5">
        <w:rPr>
          <w:rFonts w:asciiTheme="majorHAnsi" w:hAnsiTheme="majorHAnsi"/>
        </w:rPr>
        <w:t>workflow diagram (s</w:t>
      </w:r>
      <w:r w:rsidRPr="00616B21">
        <w:rPr>
          <w:rFonts w:asciiTheme="majorHAnsi" w:hAnsiTheme="majorHAnsi"/>
        </w:rPr>
        <w:t>ee Methods section for details</w:t>
      </w:r>
      <w:r w:rsidR="001E64B5">
        <w:rPr>
          <w:rFonts w:asciiTheme="majorHAnsi" w:hAnsiTheme="majorHAnsi"/>
        </w:rPr>
        <w:t>)</w:t>
      </w:r>
      <w:r w:rsidRPr="00616B21">
        <w:rPr>
          <w:rFonts w:asciiTheme="majorHAnsi" w:hAnsiTheme="majorHAnsi"/>
        </w:rPr>
        <w:t xml:space="preserve">.  </w:t>
      </w:r>
      <w:r w:rsidR="001E64B5">
        <w:rPr>
          <w:rFonts w:asciiTheme="majorHAnsi" w:hAnsiTheme="majorHAnsi"/>
        </w:rPr>
        <w:t xml:space="preserve"> GEO, Gene Expression Omnibus; </w:t>
      </w:r>
      <w:r w:rsidRPr="00616B21">
        <w:rPr>
          <w:rFonts w:asciiTheme="majorHAnsi" w:hAnsiTheme="majorHAnsi"/>
        </w:rPr>
        <w:t>FDR, False Discovery Rate</w:t>
      </w:r>
      <w:proofErr w:type="gramStart"/>
      <w:r w:rsidRPr="00616B21">
        <w:rPr>
          <w:rFonts w:asciiTheme="majorHAnsi" w:hAnsiTheme="majorHAnsi"/>
        </w:rPr>
        <w:t>;  AUC</w:t>
      </w:r>
      <w:proofErr w:type="gramEnd"/>
      <w:r w:rsidRPr="00616B21">
        <w:rPr>
          <w:rFonts w:asciiTheme="majorHAnsi" w:hAnsiTheme="majorHAnsi"/>
        </w:rPr>
        <w:t>, Area under the Curve.</w:t>
      </w:r>
    </w:p>
    <w:p w14:paraId="44F9D46F" w14:textId="77777777" w:rsidR="00526234" w:rsidRPr="00616B21" w:rsidRDefault="00526234">
      <w:pPr>
        <w:rPr>
          <w:rFonts w:asciiTheme="majorHAnsi" w:hAnsiTheme="majorHAnsi"/>
        </w:rPr>
      </w:pPr>
    </w:p>
    <w:p w14:paraId="3F57729A" w14:textId="5D9C21D5" w:rsidR="00D04320" w:rsidRPr="00616B21" w:rsidRDefault="00526234">
      <w:pPr>
        <w:rPr>
          <w:rFonts w:asciiTheme="majorHAnsi" w:hAnsiTheme="majorHAnsi"/>
        </w:rPr>
      </w:pPr>
      <w:r w:rsidRPr="00616B21">
        <w:rPr>
          <w:rFonts w:asciiTheme="majorHAnsi" w:hAnsiTheme="majorHAnsi"/>
          <w:b/>
        </w:rPr>
        <w:t>Supplementary Figure 2</w:t>
      </w:r>
      <w:r w:rsidRPr="00616B21">
        <w:rPr>
          <w:rFonts w:asciiTheme="majorHAnsi" w:hAnsiTheme="majorHAnsi"/>
        </w:rPr>
        <w:t xml:space="preserve">:  CMDM signature in cancer cachexia (GSE34111).  </w:t>
      </w:r>
      <w:r w:rsidR="009545E8">
        <w:rPr>
          <w:rFonts w:asciiTheme="majorHAnsi" w:hAnsiTheme="majorHAnsi"/>
        </w:rPr>
        <w:t>Violin p</w:t>
      </w:r>
      <w:r w:rsidRPr="00616B21">
        <w:rPr>
          <w:rFonts w:asciiTheme="majorHAnsi" w:hAnsiTheme="majorHAnsi"/>
        </w:rPr>
        <w:t xml:space="preserve">lots of A) CMDM z-scores (muscle disease severity score) </w:t>
      </w:r>
      <w:r w:rsidR="009545E8">
        <w:rPr>
          <w:rFonts w:asciiTheme="majorHAnsi" w:hAnsiTheme="majorHAnsi"/>
        </w:rPr>
        <w:t xml:space="preserve">for cancer cachexia </w:t>
      </w:r>
      <w:proofErr w:type="spellStart"/>
      <w:r w:rsidR="009545E8">
        <w:rPr>
          <w:rFonts w:asciiTheme="majorHAnsi" w:hAnsiTheme="majorHAnsi"/>
        </w:rPr>
        <w:t>vs</w:t>
      </w:r>
      <w:proofErr w:type="spellEnd"/>
      <w:r w:rsidR="009545E8">
        <w:rPr>
          <w:rFonts w:asciiTheme="majorHAnsi" w:hAnsiTheme="majorHAnsi"/>
        </w:rPr>
        <w:t xml:space="preserve"> controls,</w:t>
      </w:r>
      <w:r w:rsidRPr="00616B21">
        <w:rPr>
          <w:rFonts w:asciiTheme="majorHAnsi" w:hAnsiTheme="majorHAnsi"/>
        </w:rPr>
        <w:t xml:space="preserve"> B) CMDM z-scores </w:t>
      </w:r>
      <w:proofErr w:type="spellStart"/>
      <w:r w:rsidRPr="00616B21">
        <w:rPr>
          <w:rFonts w:asciiTheme="majorHAnsi" w:hAnsiTheme="majorHAnsi"/>
        </w:rPr>
        <w:t>vs</w:t>
      </w:r>
      <w:proofErr w:type="spellEnd"/>
      <w:r w:rsidRPr="00616B21">
        <w:rPr>
          <w:rFonts w:asciiTheme="majorHAnsi" w:hAnsiTheme="majorHAnsi"/>
        </w:rPr>
        <w:t xml:space="preserve"> quadriceps strength (% predicted).  </w:t>
      </w:r>
      <w:r w:rsidR="003623B8" w:rsidRPr="00616B21">
        <w:rPr>
          <w:rFonts w:asciiTheme="majorHAnsi" w:hAnsiTheme="majorHAnsi"/>
        </w:rPr>
        <w:t xml:space="preserve">  </w:t>
      </w:r>
    </w:p>
    <w:p w14:paraId="0D38117A" w14:textId="77777777" w:rsidR="00D93C16" w:rsidRPr="00616B21" w:rsidRDefault="00D93C16">
      <w:pPr>
        <w:rPr>
          <w:rFonts w:asciiTheme="majorHAnsi" w:hAnsiTheme="majorHAnsi"/>
        </w:rPr>
      </w:pPr>
    </w:p>
    <w:p w14:paraId="3B032CD8" w14:textId="0B9F7A48" w:rsidR="00D93C16" w:rsidRPr="00616B21" w:rsidRDefault="00D93C16">
      <w:pPr>
        <w:rPr>
          <w:rFonts w:asciiTheme="majorHAnsi" w:hAnsiTheme="majorHAnsi"/>
        </w:rPr>
      </w:pPr>
      <w:bookmarkStart w:id="0" w:name="_GoBack"/>
      <w:bookmarkEnd w:id="0"/>
      <w:r w:rsidRPr="00616B21">
        <w:rPr>
          <w:rFonts w:asciiTheme="majorHAnsi" w:hAnsiTheme="majorHAnsi"/>
          <w:b/>
        </w:rPr>
        <w:t>Supplementary Figure 3</w:t>
      </w:r>
      <w:r w:rsidRPr="00616B21">
        <w:rPr>
          <w:rFonts w:asciiTheme="majorHAnsi" w:hAnsiTheme="majorHAnsi"/>
        </w:rPr>
        <w:t>:  Functional enrichment reveals common pat</w:t>
      </w:r>
      <w:r w:rsidR="00A66763" w:rsidRPr="00616B21">
        <w:rPr>
          <w:rFonts w:asciiTheme="majorHAnsi" w:hAnsiTheme="majorHAnsi"/>
        </w:rPr>
        <w:t xml:space="preserve">hways in muscle disease.  </w:t>
      </w:r>
      <w:r w:rsidRPr="00616B21">
        <w:rPr>
          <w:rFonts w:asciiTheme="majorHAnsi" w:hAnsiTheme="majorHAnsi"/>
        </w:rPr>
        <w:t xml:space="preserve"> </w:t>
      </w:r>
      <w:proofErr w:type="spellStart"/>
      <w:r w:rsidRPr="00616B21">
        <w:rPr>
          <w:rFonts w:asciiTheme="majorHAnsi" w:hAnsiTheme="majorHAnsi"/>
        </w:rPr>
        <w:t>EnrichmentMap</w:t>
      </w:r>
      <w:proofErr w:type="spellEnd"/>
      <w:r w:rsidRPr="00616B21">
        <w:rPr>
          <w:rFonts w:asciiTheme="majorHAnsi" w:hAnsiTheme="majorHAnsi"/>
        </w:rPr>
        <w:t xml:space="preserve"> network for overlapping enriched Gene Ontology gene sets identified by GSEA.  Each node represents a significantly enriched gene set (FDR q-value &lt; 0.05); gene sets containing larger number of genes are proportionally larger.  </w:t>
      </w:r>
      <w:r w:rsidR="00173BF7" w:rsidRPr="00616B21">
        <w:rPr>
          <w:rFonts w:asciiTheme="majorHAnsi" w:hAnsiTheme="majorHAnsi"/>
        </w:rPr>
        <w:t xml:space="preserve"> Gene Sets downregulated in muscle disease compared to control shown in blue (top) and gene sets upregulated shown in red (bottom). </w:t>
      </w:r>
    </w:p>
    <w:p w14:paraId="21760188" w14:textId="77777777" w:rsidR="00173BF7" w:rsidRPr="00616B21" w:rsidRDefault="00173BF7">
      <w:pPr>
        <w:rPr>
          <w:rFonts w:asciiTheme="majorHAnsi" w:hAnsiTheme="majorHAnsi"/>
        </w:rPr>
      </w:pPr>
    </w:p>
    <w:p w14:paraId="5549785A" w14:textId="5E9E511E" w:rsidR="00194DAD" w:rsidRPr="00616B21" w:rsidRDefault="00194DAD" w:rsidP="00194DAD">
      <w:pPr>
        <w:rPr>
          <w:rFonts w:asciiTheme="majorHAnsi" w:hAnsiTheme="majorHAnsi"/>
        </w:rPr>
      </w:pPr>
      <w:r w:rsidRPr="00616B21">
        <w:rPr>
          <w:rFonts w:asciiTheme="majorHAnsi" w:hAnsiTheme="majorHAnsi"/>
          <w:b/>
        </w:rPr>
        <w:t>Supplementary Figure 4A</w:t>
      </w:r>
      <w:r w:rsidR="004D1DA4" w:rsidRPr="00616B21">
        <w:rPr>
          <w:rFonts w:asciiTheme="majorHAnsi" w:hAnsiTheme="majorHAnsi"/>
          <w:b/>
        </w:rPr>
        <w:t>-D</w:t>
      </w:r>
      <w:r w:rsidRPr="00616B21">
        <w:rPr>
          <w:rFonts w:asciiTheme="majorHAnsi" w:hAnsiTheme="majorHAnsi"/>
        </w:rPr>
        <w:t xml:space="preserve">: </w:t>
      </w:r>
      <w:r w:rsidR="00197E1D">
        <w:rPr>
          <w:rFonts w:asciiTheme="majorHAnsi" w:hAnsiTheme="majorHAnsi" w:cs="Arial"/>
        </w:rPr>
        <w:t xml:space="preserve"> </w:t>
      </w:r>
      <w:r w:rsidRPr="00616B21">
        <w:rPr>
          <w:rFonts w:asciiTheme="majorHAnsi" w:hAnsiTheme="majorHAnsi"/>
        </w:rPr>
        <w:t>Functional enrichment reveals common pat</w:t>
      </w:r>
      <w:r w:rsidR="00A66763" w:rsidRPr="00616B21">
        <w:rPr>
          <w:rFonts w:asciiTheme="majorHAnsi" w:hAnsiTheme="majorHAnsi"/>
        </w:rPr>
        <w:t xml:space="preserve">hways in </w:t>
      </w:r>
      <w:r w:rsidR="00197E1D">
        <w:rPr>
          <w:rFonts w:asciiTheme="majorHAnsi" w:hAnsiTheme="majorHAnsi"/>
        </w:rPr>
        <w:t>A) congenital muscle disease B</w:t>
      </w:r>
      <w:proofErr w:type="gramStart"/>
      <w:r w:rsidR="00197E1D">
        <w:rPr>
          <w:rFonts w:asciiTheme="majorHAnsi" w:hAnsiTheme="majorHAnsi"/>
        </w:rPr>
        <w:t>)  inflammatory</w:t>
      </w:r>
      <w:proofErr w:type="gramEnd"/>
      <w:r w:rsidR="00197E1D">
        <w:rPr>
          <w:rFonts w:asciiTheme="majorHAnsi" w:hAnsiTheme="majorHAnsi"/>
        </w:rPr>
        <w:t xml:space="preserve"> myopathies C) disuse and immobility  D)  ICU acquired weakness E) chronic systemic diseases</w:t>
      </w:r>
      <w:r w:rsidR="00A66763" w:rsidRPr="00616B21">
        <w:rPr>
          <w:rFonts w:asciiTheme="majorHAnsi" w:hAnsiTheme="majorHAnsi"/>
        </w:rPr>
        <w:t xml:space="preserve">.   </w:t>
      </w:r>
      <w:proofErr w:type="spellStart"/>
      <w:r w:rsidRPr="00616B21">
        <w:rPr>
          <w:rFonts w:asciiTheme="majorHAnsi" w:hAnsiTheme="majorHAnsi"/>
        </w:rPr>
        <w:t>EnrichmentMap</w:t>
      </w:r>
      <w:proofErr w:type="spellEnd"/>
      <w:r w:rsidRPr="00616B21">
        <w:rPr>
          <w:rFonts w:asciiTheme="majorHAnsi" w:hAnsiTheme="majorHAnsi"/>
        </w:rPr>
        <w:t xml:space="preserve"> network for overlapping enriched Gene Ontology gene sets identified by GSEA.  Each node represents a significantly enriched gene set (FDR q-value &lt; 0.05); gene sets containing larger number of genes are proportionally larger.   Gene Sets upregulated in muscle disease compared to control shown in red (top) and gene sets downregulated shown in blue (bottom). </w:t>
      </w:r>
    </w:p>
    <w:p w14:paraId="288AB466" w14:textId="77777777" w:rsidR="004D1DA4" w:rsidRPr="00616B21" w:rsidRDefault="004D1DA4" w:rsidP="00194DAD">
      <w:pPr>
        <w:rPr>
          <w:rFonts w:asciiTheme="majorHAnsi" w:hAnsiTheme="majorHAnsi" w:cs="Arial"/>
        </w:rPr>
      </w:pPr>
    </w:p>
    <w:p w14:paraId="0CB3B2FE" w14:textId="0DBAE694" w:rsidR="00684062" w:rsidRPr="00E81A99" w:rsidRDefault="004D1DA4">
      <w:pPr>
        <w:rPr>
          <w:rFonts w:asciiTheme="majorHAnsi" w:hAnsiTheme="majorHAnsi" w:cs="Arial"/>
        </w:rPr>
      </w:pPr>
      <w:r w:rsidRPr="00616B21">
        <w:rPr>
          <w:rFonts w:asciiTheme="majorHAnsi" w:hAnsiTheme="majorHAnsi" w:cs="Arial"/>
          <w:b/>
        </w:rPr>
        <w:t>Supplementary Figure 5</w:t>
      </w:r>
      <w:r w:rsidRPr="00616B21">
        <w:rPr>
          <w:rFonts w:asciiTheme="majorHAnsi" w:hAnsiTheme="majorHAnsi" w:cs="Arial"/>
        </w:rPr>
        <w:t xml:space="preserve">:  Bar graph of genes in the CMDM by subcellular localization.  </w:t>
      </w:r>
    </w:p>
    <w:sectPr w:rsidR="00684062" w:rsidRPr="00E81A99" w:rsidSect="0038322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3B8"/>
    <w:rsid w:val="000423DC"/>
    <w:rsid w:val="00173BF7"/>
    <w:rsid w:val="00194DAD"/>
    <w:rsid w:val="00197E1D"/>
    <w:rsid w:val="001E64B5"/>
    <w:rsid w:val="00340D58"/>
    <w:rsid w:val="003623B8"/>
    <w:rsid w:val="0038322F"/>
    <w:rsid w:val="004412AC"/>
    <w:rsid w:val="004D1DA4"/>
    <w:rsid w:val="00526234"/>
    <w:rsid w:val="005B23FF"/>
    <w:rsid w:val="00616B21"/>
    <w:rsid w:val="00684062"/>
    <w:rsid w:val="009545E8"/>
    <w:rsid w:val="00A66763"/>
    <w:rsid w:val="00BA7BA5"/>
    <w:rsid w:val="00C02EFB"/>
    <w:rsid w:val="00D04320"/>
    <w:rsid w:val="00D5006F"/>
    <w:rsid w:val="00D93C16"/>
    <w:rsid w:val="00E81A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4B451A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430</Words>
  <Characters>2451</Characters>
  <Application>Microsoft Macintosh Word</Application>
  <DocSecurity>0</DocSecurity>
  <Lines>20</Lines>
  <Paragraphs>5</Paragraphs>
  <ScaleCrop>false</ScaleCrop>
  <Company>Walsh and Hulme Medical Professional Services</Company>
  <LinksUpToDate>false</LinksUpToDate>
  <CharactersWithSpaces>2876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Walsh</dc:creator>
  <cp:keywords/>
  <dc:description/>
  <cp:lastModifiedBy>Chris  Walsh</cp:lastModifiedBy>
  <cp:revision>5</cp:revision>
  <dcterms:created xsi:type="dcterms:W3CDTF">2021-12-17T03:45:00Z</dcterms:created>
  <dcterms:modified xsi:type="dcterms:W3CDTF">2021-12-17T04:29:00Z</dcterms:modified>
</cp:coreProperties>
</file>