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2E882" w14:textId="71B65418" w:rsidR="00615D44" w:rsidRPr="00615D44" w:rsidRDefault="00615D44" w:rsidP="00615D44">
      <w:pPr>
        <w:rPr>
          <w:rFonts w:ascii="Palatino Linotype" w:hAnsi="Palatino Linotype"/>
          <w:b/>
          <w:bCs/>
          <w:sz w:val="30"/>
          <w:szCs w:val="30"/>
          <w:lang w:val="en-US"/>
        </w:rPr>
      </w:pPr>
      <w:r w:rsidRPr="00615D44">
        <w:rPr>
          <w:rFonts w:ascii="Palatino Linotype" w:hAnsi="Palatino Linotype"/>
          <w:b/>
          <w:bCs/>
          <w:sz w:val="30"/>
          <w:szCs w:val="30"/>
          <w:lang w:val="en-US"/>
        </w:rPr>
        <w:t>Supplementary Table S1. Structure of the T0 Data Collection Instrument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3"/>
        <w:gridCol w:w="2909"/>
        <w:gridCol w:w="3826"/>
      </w:tblGrid>
      <w:tr w:rsidR="00615D44" w:rsidRPr="00615D44" w14:paraId="129534A2" w14:textId="77777777" w:rsidTr="00615D4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DB5D45" w14:textId="77777777" w:rsidR="00615D44" w:rsidRPr="00615D44" w:rsidRDefault="00615D44" w:rsidP="00615D44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Domain</w:t>
            </w:r>
          </w:p>
        </w:tc>
        <w:tc>
          <w:tcPr>
            <w:tcW w:w="2879" w:type="dxa"/>
            <w:vAlign w:val="center"/>
            <w:hideMark/>
          </w:tcPr>
          <w:p w14:paraId="1396213F" w14:textId="77777777" w:rsidR="00615D44" w:rsidRPr="00615D44" w:rsidRDefault="00615D44" w:rsidP="00615D44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Subdomain</w:t>
            </w:r>
          </w:p>
        </w:tc>
        <w:tc>
          <w:tcPr>
            <w:tcW w:w="3781" w:type="dxa"/>
            <w:vAlign w:val="center"/>
            <w:hideMark/>
          </w:tcPr>
          <w:p w14:paraId="01862710" w14:textId="77777777" w:rsidR="00615D44" w:rsidRPr="00615D44" w:rsidRDefault="00615D44" w:rsidP="00615D44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Variables Collected</w:t>
            </w:r>
          </w:p>
        </w:tc>
      </w:tr>
      <w:tr w:rsidR="00615D44" w:rsidRPr="00615D44" w14:paraId="2ED38AB6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10D797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1. Demographic and Hospitalization Data</w:t>
            </w:r>
          </w:p>
        </w:tc>
        <w:tc>
          <w:tcPr>
            <w:tcW w:w="2879" w:type="dxa"/>
            <w:vAlign w:val="center"/>
            <w:hideMark/>
          </w:tcPr>
          <w:p w14:paraId="7E2B6553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Patient demographics</w:t>
            </w:r>
          </w:p>
        </w:tc>
        <w:tc>
          <w:tcPr>
            <w:tcW w:w="3781" w:type="dxa"/>
            <w:vAlign w:val="center"/>
            <w:hideMark/>
          </w:tcPr>
          <w:p w14:paraId="61DB22D1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Sex, age, weight, country of birth</w:t>
            </w:r>
          </w:p>
        </w:tc>
      </w:tr>
      <w:tr w:rsidR="00615D44" w:rsidRPr="00615D44" w14:paraId="25CDE612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7D3958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530D948C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Hospitalization details</w:t>
            </w:r>
          </w:p>
        </w:tc>
        <w:tc>
          <w:tcPr>
            <w:tcW w:w="3781" w:type="dxa"/>
            <w:vAlign w:val="center"/>
            <w:hideMark/>
          </w:tcPr>
          <w:p w14:paraId="4B08A5CF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Date of admission, hospital ward, reason for hospitalization, ICD code</w:t>
            </w:r>
          </w:p>
        </w:tc>
      </w:tr>
      <w:tr w:rsidR="00615D44" w:rsidRPr="00615D44" w14:paraId="5F068358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FFFB48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2. Family and Socio-Demographic Background</w:t>
            </w:r>
          </w:p>
        </w:tc>
        <w:tc>
          <w:tcPr>
            <w:tcW w:w="2879" w:type="dxa"/>
            <w:vAlign w:val="center"/>
            <w:hideMark/>
          </w:tcPr>
          <w:p w14:paraId="0557E296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Caregiver characteristics</w:t>
            </w:r>
          </w:p>
        </w:tc>
        <w:tc>
          <w:tcPr>
            <w:tcW w:w="3781" w:type="dxa"/>
            <w:vAlign w:val="center"/>
            <w:hideMark/>
          </w:tcPr>
          <w:p w14:paraId="179C3769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Primary caregiver</w:t>
            </w:r>
          </w:p>
        </w:tc>
      </w:tr>
      <w:tr w:rsidR="00615D44" w:rsidRPr="00615D44" w14:paraId="602CF346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E9BCC2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7CFB26A1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Parental background</w:t>
            </w:r>
          </w:p>
        </w:tc>
        <w:tc>
          <w:tcPr>
            <w:tcW w:w="3781" w:type="dxa"/>
            <w:vAlign w:val="center"/>
            <w:hideMark/>
          </w:tcPr>
          <w:p w14:paraId="4A05EB9E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Country of birth (mother/father), educational level, employment status</w:t>
            </w:r>
          </w:p>
        </w:tc>
      </w:tr>
      <w:tr w:rsidR="00615D44" w:rsidRPr="00615D44" w14:paraId="551133B4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7DAD55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6B6F54BE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Household structure</w:t>
            </w:r>
          </w:p>
        </w:tc>
        <w:tc>
          <w:tcPr>
            <w:tcW w:w="3781" w:type="dxa"/>
            <w:vAlign w:val="center"/>
            <w:hideMark/>
          </w:tcPr>
          <w:p w14:paraId="2912E613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Number of siblings, adoption/foster care status, residence in community facilities</w:t>
            </w:r>
          </w:p>
        </w:tc>
      </w:tr>
      <w:tr w:rsidR="00615D44" w:rsidRPr="00615D44" w14:paraId="49E4399C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F96134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3. Medical History</w:t>
            </w:r>
          </w:p>
        </w:tc>
        <w:tc>
          <w:tcPr>
            <w:tcW w:w="2879" w:type="dxa"/>
            <w:vAlign w:val="center"/>
            <w:hideMark/>
          </w:tcPr>
          <w:p w14:paraId="6D12AF13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Perinatal history</w:t>
            </w:r>
          </w:p>
        </w:tc>
        <w:tc>
          <w:tcPr>
            <w:tcW w:w="3781" w:type="dxa"/>
            <w:vAlign w:val="center"/>
            <w:hideMark/>
          </w:tcPr>
          <w:p w14:paraId="00D36C09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Gestational age</w:t>
            </w:r>
          </w:p>
        </w:tc>
      </w:tr>
      <w:tr w:rsidR="00615D44" w:rsidRPr="00615D44" w14:paraId="5983E45D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2F32F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61B82B63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Systemic condition</w:t>
            </w:r>
          </w:p>
        </w:tc>
        <w:tc>
          <w:tcPr>
            <w:tcW w:w="3781" w:type="dxa"/>
            <w:vAlign w:val="center"/>
            <w:hideMark/>
          </w:tcPr>
          <w:p w14:paraId="71656295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Main systemic diagnosis (ICD), year of diagnosis</w:t>
            </w:r>
          </w:p>
        </w:tc>
      </w:tr>
      <w:tr w:rsidR="00615D44" w:rsidRPr="00615D44" w14:paraId="457E3104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DCB5C1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35356B28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Comorbidities</w:t>
            </w:r>
          </w:p>
        </w:tc>
        <w:tc>
          <w:tcPr>
            <w:tcW w:w="3781" w:type="dxa"/>
            <w:vAlign w:val="center"/>
            <w:hideMark/>
          </w:tcPr>
          <w:p w14:paraId="5D5CA04A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Associated medical conditions</w:t>
            </w:r>
          </w:p>
        </w:tc>
      </w:tr>
      <w:tr w:rsidR="00615D44" w:rsidRPr="00615D44" w14:paraId="0964FCC6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2B4324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37BB8A01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Previous healthcare utilization</w:t>
            </w:r>
          </w:p>
        </w:tc>
        <w:tc>
          <w:tcPr>
            <w:tcW w:w="3781" w:type="dxa"/>
            <w:vAlign w:val="center"/>
            <w:hideMark/>
          </w:tcPr>
          <w:p w14:paraId="30AA1E9B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Previous hospitalizations, previous surgical procedures</w:t>
            </w:r>
          </w:p>
        </w:tc>
      </w:tr>
      <w:tr w:rsidR="00615D44" w:rsidRPr="00615D44" w14:paraId="3C275AA4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41F0F4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4. Pharmacological Therapy</w:t>
            </w:r>
          </w:p>
        </w:tc>
        <w:tc>
          <w:tcPr>
            <w:tcW w:w="2879" w:type="dxa"/>
            <w:vAlign w:val="center"/>
            <w:hideMark/>
          </w:tcPr>
          <w:p w14:paraId="36C57CE2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Current medications</w:t>
            </w:r>
          </w:p>
        </w:tc>
        <w:tc>
          <w:tcPr>
            <w:tcW w:w="3781" w:type="dxa"/>
            <w:vAlign w:val="center"/>
            <w:hideMark/>
          </w:tcPr>
          <w:p w14:paraId="5154C571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Active principles, formulation, daily frequency, duration</w:t>
            </w:r>
          </w:p>
        </w:tc>
      </w:tr>
      <w:tr w:rsidR="00615D44" w:rsidRPr="00615D44" w14:paraId="6267D787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CD1035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71F397CB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Oral health-related effects</w:t>
            </w:r>
          </w:p>
        </w:tc>
        <w:tc>
          <w:tcPr>
            <w:tcW w:w="3781" w:type="dxa"/>
            <w:vAlign w:val="center"/>
            <w:hideMark/>
          </w:tcPr>
          <w:p w14:paraId="29133F15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Reported oral side effects, oral health precautions</w:t>
            </w:r>
          </w:p>
        </w:tc>
      </w:tr>
      <w:tr w:rsidR="00615D44" w:rsidRPr="00615D44" w14:paraId="4687A6CB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C43A26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36F7910E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Previous therapies</w:t>
            </w:r>
          </w:p>
        </w:tc>
        <w:tc>
          <w:tcPr>
            <w:tcW w:w="3781" w:type="dxa"/>
            <w:vAlign w:val="center"/>
            <w:hideMark/>
          </w:tcPr>
          <w:p w14:paraId="5284AA57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Discontinued pharmacological treatments, ongoing rehabilitative therapies</w:t>
            </w:r>
          </w:p>
        </w:tc>
      </w:tr>
      <w:tr w:rsidR="00615D44" w:rsidRPr="00615D44" w14:paraId="57326369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1695C2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5. Dietary Habits</w:t>
            </w:r>
          </w:p>
        </w:tc>
        <w:tc>
          <w:tcPr>
            <w:tcW w:w="2879" w:type="dxa"/>
            <w:vAlign w:val="center"/>
            <w:hideMark/>
          </w:tcPr>
          <w:p w14:paraId="467C0F6A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Early feeding history</w:t>
            </w:r>
          </w:p>
        </w:tc>
        <w:tc>
          <w:tcPr>
            <w:tcW w:w="3781" w:type="dxa"/>
            <w:vAlign w:val="center"/>
            <w:hideMark/>
          </w:tcPr>
          <w:p w14:paraId="20682A7B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Type, modality, and duration of breastfeeding</w:t>
            </w:r>
          </w:p>
        </w:tc>
      </w:tr>
      <w:tr w:rsidR="00615D44" w:rsidRPr="00615D44" w14:paraId="461C297B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C8BDC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392E5329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Current feeding modality</w:t>
            </w:r>
          </w:p>
        </w:tc>
        <w:tc>
          <w:tcPr>
            <w:tcW w:w="3781" w:type="dxa"/>
            <w:vAlign w:val="center"/>
            <w:hideMark/>
          </w:tcPr>
          <w:p w14:paraId="41391660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Oral, enteral, or mixed feeding</w:t>
            </w:r>
          </w:p>
        </w:tc>
      </w:tr>
      <w:tr w:rsidR="00615D44" w:rsidRPr="00615D44" w14:paraId="1EDE603C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702DE6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079D9EB5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Daily dietary pattern</w:t>
            </w:r>
          </w:p>
        </w:tc>
        <w:tc>
          <w:tcPr>
            <w:tcW w:w="3781" w:type="dxa"/>
            <w:vAlign w:val="center"/>
            <w:hideMark/>
          </w:tcPr>
          <w:p w14:paraId="44DE4A8A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Number of meals per day</w:t>
            </w:r>
          </w:p>
        </w:tc>
      </w:tr>
      <w:tr w:rsidR="00615D44" w:rsidRPr="00615D44" w14:paraId="067EA404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1E97F1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34B7D098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Beverage consumption</w:t>
            </w:r>
          </w:p>
        </w:tc>
        <w:tc>
          <w:tcPr>
            <w:tcW w:w="3781" w:type="dxa"/>
            <w:vAlign w:val="center"/>
            <w:hideMark/>
          </w:tcPr>
          <w:p w14:paraId="0ACA1B1B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Water, milk, fruit juices, soft drinks, tea/herbal drinks</w:t>
            </w:r>
          </w:p>
        </w:tc>
      </w:tr>
      <w:tr w:rsidR="00615D44" w:rsidRPr="00615D44" w14:paraId="20B9D04E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66F2B0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5F791D7B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Cariogenic food intake</w:t>
            </w:r>
          </w:p>
        </w:tc>
        <w:tc>
          <w:tcPr>
            <w:tcW w:w="3781" w:type="dxa"/>
            <w:vAlign w:val="center"/>
            <w:hideMark/>
          </w:tcPr>
          <w:p w14:paraId="446CE5D4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Sugar, honey, candies, baked sweets, chocolate, others</w:t>
            </w:r>
          </w:p>
        </w:tc>
      </w:tr>
      <w:tr w:rsidR="00615D44" w:rsidRPr="00615D44" w14:paraId="334D29B5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91575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lastRenderedPageBreak/>
              <w:t>6. Oral Hygiene Practices</w:t>
            </w:r>
          </w:p>
        </w:tc>
        <w:tc>
          <w:tcPr>
            <w:tcW w:w="2879" w:type="dxa"/>
            <w:vAlign w:val="center"/>
            <w:hideMark/>
          </w:tcPr>
          <w:p w14:paraId="2738EA2B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Hygiene performance</w:t>
            </w:r>
          </w:p>
        </w:tc>
        <w:tc>
          <w:tcPr>
            <w:tcW w:w="3781" w:type="dxa"/>
            <w:vAlign w:val="center"/>
            <w:hideMark/>
          </w:tcPr>
          <w:p w14:paraId="4D7C4418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Frequency and daily distribution of oral hygiene practices</w:t>
            </w:r>
          </w:p>
        </w:tc>
      </w:tr>
      <w:tr w:rsidR="00615D44" w:rsidRPr="00615D44" w14:paraId="2497A7F2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5C831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3A1DC58F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Hygiene aids used</w:t>
            </w:r>
          </w:p>
        </w:tc>
        <w:tc>
          <w:tcPr>
            <w:tcW w:w="3781" w:type="dxa"/>
            <w:vAlign w:val="center"/>
            <w:hideMark/>
          </w:tcPr>
          <w:p w14:paraId="2330DCE9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Manual/electric toothbrush, fluoride/non-fluoride toothpaste, mouthrinses, gels, interdental aids</w:t>
            </w:r>
          </w:p>
        </w:tc>
      </w:tr>
      <w:tr w:rsidR="00615D44" w:rsidRPr="00615D44" w14:paraId="020D5FDF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12A576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0B6282B3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Supervision</w:t>
            </w:r>
          </w:p>
        </w:tc>
        <w:tc>
          <w:tcPr>
            <w:tcW w:w="3781" w:type="dxa"/>
            <w:vAlign w:val="center"/>
            <w:hideMark/>
          </w:tcPr>
          <w:p w14:paraId="5D3CD6E8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Performer of oral hygiene (child/caregiver)</w:t>
            </w:r>
          </w:p>
        </w:tc>
      </w:tr>
      <w:tr w:rsidR="00615D44" w:rsidRPr="00615D44" w14:paraId="778985C0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239C77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2F3672C0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Preventive awareness</w:t>
            </w:r>
          </w:p>
        </w:tc>
        <w:tc>
          <w:tcPr>
            <w:tcW w:w="3781" w:type="dxa"/>
            <w:vAlign w:val="center"/>
            <w:hideMark/>
          </w:tcPr>
          <w:p w14:paraId="56DD0159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Knowledge of fluoride use</w:t>
            </w:r>
          </w:p>
        </w:tc>
      </w:tr>
      <w:tr w:rsidR="00615D44" w:rsidRPr="00615D44" w14:paraId="490343DA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DD0F75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7. Dental History</w:t>
            </w:r>
          </w:p>
        </w:tc>
        <w:tc>
          <w:tcPr>
            <w:tcW w:w="2879" w:type="dxa"/>
            <w:vAlign w:val="center"/>
            <w:hideMark/>
          </w:tcPr>
          <w:p w14:paraId="48A6ED52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Dental attendance</w:t>
            </w:r>
          </w:p>
        </w:tc>
        <w:tc>
          <w:tcPr>
            <w:tcW w:w="3781" w:type="dxa"/>
            <w:vAlign w:val="center"/>
            <w:hideMark/>
          </w:tcPr>
          <w:p w14:paraId="46EB3955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Previous dental visits</w:t>
            </w:r>
          </w:p>
        </w:tc>
      </w:tr>
      <w:tr w:rsidR="00615D44" w:rsidRPr="00615D44" w14:paraId="6A83D23F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4ED119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73B869D2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Oral symptoms</w:t>
            </w:r>
          </w:p>
        </w:tc>
        <w:tc>
          <w:tcPr>
            <w:tcW w:w="3781" w:type="dxa"/>
            <w:vAlign w:val="center"/>
            <w:hideMark/>
          </w:tcPr>
          <w:p w14:paraId="04C090E8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Presence and type of oral pain</w:t>
            </w:r>
          </w:p>
        </w:tc>
      </w:tr>
      <w:tr w:rsidR="00615D44" w:rsidRPr="00615D44" w14:paraId="447F39BD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59D0B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640686E3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Orthodontic history</w:t>
            </w:r>
          </w:p>
        </w:tc>
        <w:tc>
          <w:tcPr>
            <w:tcW w:w="3781" w:type="dxa"/>
            <w:vAlign w:val="center"/>
            <w:hideMark/>
          </w:tcPr>
          <w:p w14:paraId="69718EC6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Current or previous orthodontic treatment</w:t>
            </w:r>
          </w:p>
        </w:tc>
      </w:tr>
      <w:tr w:rsidR="00615D44" w:rsidRPr="00615D44" w14:paraId="5EB6C120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D6F282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54223FD0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Oral habits</w:t>
            </w:r>
          </w:p>
        </w:tc>
        <w:tc>
          <w:tcPr>
            <w:tcW w:w="3781" w:type="dxa"/>
            <w:vAlign w:val="center"/>
            <w:hideMark/>
          </w:tcPr>
          <w:p w14:paraId="40F6FF8E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Oral breathing, digit sucking, pacifier use, onychophagia, others</w:t>
            </w:r>
          </w:p>
        </w:tc>
      </w:tr>
      <w:tr w:rsidR="00615D44" w:rsidRPr="00615D44" w14:paraId="550D8273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1BE0F6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5C920C44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Sleep-related conditions</w:t>
            </w:r>
          </w:p>
        </w:tc>
        <w:tc>
          <w:tcPr>
            <w:tcW w:w="3781" w:type="dxa"/>
            <w:vAlign w:val="center"/>
            <w:hideMark/>
          </w:tcPr>
          <w:p w14:paraId="69ED70CE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Snoring, sleep apnea</w:t>
            </w:r>
          </w:p>
        </w:tc>
      </w:tr>
      <w:tr w:rsidR="00615D44" w:rsidRPr="00615D44" w14:paraId="01A5DCE1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525A09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8. Intraoral Examination</w:t>
            </w:r>
          </w:p>
        </w:tc>
        <w:tc>
          <w:tcPr>
            <w:tcW w:w="2879" w:type="dxa"/>
            <w:vAlign w:val="center"/>
            <w:hideMark/>
          </w:tcPr>
          <w:p w14:paraId="2C54C018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Dentition status</w:t>
            </w:r>
          </w:p>
        </w:tc>
        <w:tc>
          <w:tcPr>
            <w:tcW w:w="3781" w:type="dxa"/>
            <w:vAlign w:val="center"/>
            <w:hideMark/>
          </w:tcPr>
          <w:p w14:paraId="4A5A34BC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Type of dentition, number of deciduous/permanent teeth</w:t>
            </w:r>
          </w:p>
        </w:tc>
      </w:tr>
      <w:tr w:rsidR="00615D44" w:rsidRPr="00615D44" w14:paraId="445F6E2C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174947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3F6302B5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Caries indices</w:t>
            </w:r>
          </w:p>
        </w:tc>
        <w:tc>
          <w:tcPr>
            <w:tcW w:w="3781" w:type="dxa"/>
            <w:vAlign w:val="center"/>
            <w:hideMark/>
          </w:tcPr>
          <w:p w14:paraId="546BBDDB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proofErr w:type="spellStart"/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dmft</w:t>
            </w:r>
            <w:proofErr w:type="spellEnd"/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/DMFT</w:t>
            </w:r>
          </w:p>
        </w:tc>
      </w:tr>
      <w:tr w:rsidR="00615D44" w:rsidRPr="00615D44" w14:paraId="04FEA6E9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12723E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0AB5695A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Periodontal indices</w:t>
            </w:r>
          </w:p>
        </w:tc>
        <w:tc>
          <w:tcPr>
            <w:tcW w:w="3781" w:type="dxa"/>
            <w:vAlign w:val="center"/>
            <w:hideMark/>
          </w:tcPr>
          <w:p w14:paraId="6C975757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Modified Gingival Index (MGI), Plaque Index (PI)</w:t>
            </w:r>
          </w:p>
        </w:tc>
      </w:tr>
      <w:tr w:rsidR="00615D44" w:rsidRPr="00615D44" w14:paraId="4ECC033A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55E753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52983B36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Dental anomalies</w:t>
            </w:r>
          </w:p>
        </w:tc>
        <w:tc>
          <w:tcPr>
            <w:tcW w:w="3781" w:type="dxa"/>
            <w:vAlign w:val="center"/>
            <w:hideMark/>
          </w:tcPr>
          <w:p w14:paraId="35245B36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Structural, numerical, positional, or chromatic alterations</w:t>
            </w:r>
          </w:p>
        </w:tc>
      </w:tr>
      <w:tr w:rsidR="00615D44" w:rsidRPr="00615D44" w14:paraId="3F6EE1DF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A4B565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60CF97B1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Oral mucosa</w:t>
            </w:r>
          </w:p>
        </w:tc>
        <w:tc>
          <w:tcPr>
            <w:tcW w:w="3781" w:type="dxa"/>
            <w:vAlign w:val="center"/>
            <w:hideMark/>
          </w:tcPr>
          <w:p w14:paraId="16FB3D64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Color, integrity, hydration status, presence of lesions</w:t>
            </w:r>
          </w:p>
        </w:tc>
      </w:tr>
      <w:tr w:rsidR="00615D44" w:rsidRPr="00615D44" w14:paraId="75D3FC86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DBF8DD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60E6E962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Other findings</w:t>
            </w:r>
          </w:p>
        </w:tc>
        <w:tc>
          <w:tcPr>
            <w:tcW w:w="3781" w:type="dxa"/>
            <w:vAlign w:val="center"/>
            <w:hideMark/>
          </w:tcPr>
          <w:p w14:paraId="15945029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Erosions, abrasions, abscesses, fistulae</w:t>
            </w:r>
          </w:p>
        </w:tc>
      </w:tr>
      <w:tr w:rsidR="00615D44" w:rsidRPr="00615D44" w14:paraId="1D7BF569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B9365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9. Extraoral Examination</w:t>
            </w:r>
          </w:p>
        </w:tc>
        <w:tc>
          <w:tcPr>
            <w:tcW w:w="2879" w:type="dxa"/>
            <w:vAlign w:val="center"/>
            <w:hideMark/>
          </w:tcPr>
          <w:p w14:paraId="65A26720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Functional assessment</w:t>
            </w:r>
          </w:p>
        </w:tc>
        <w:tc>
          <w:tcPr>
            <w:tcW w:w="3781" w:type="dxa"/>
            <w:vAlign w:val="center"/>
            <w:hideMark/>
          </w:tcPr>
          <w:p w14:paraId="225B23DF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Mouth opening pattern and range</w:t>
            </w:r>
          </w:p>
        </w:tc>
      </w:tr>
      <w:tr w:rsidR="00615D44" w:rsidRPr="00615D44" w14:paraId="331947F1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8276FD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879" w:type="dxa"/>
            <w:vAlign w:val="center"/>
            <w:hideMark/>
          </w:tcPr>
          <w:p w14:paraId="231BAA71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Pain assessment</w:t>
            </w:r>
          </w:p>
        </w:tc>
        <w:tc>
          <w:tcPr>
            <w:tcW w:w="3781" w:type="dxa"/>
            <w:vAlign w:val="center"/>
            <w:hideMark/>
          </w:tcPr>
          <w:p w14:paraId="7766856B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Presence of articular or muscular pain</w:t>
            </w:r>
          </w:p>
        </w:tc>
      </w:tr>
      <w:tr w:rsidR="00615D44" w:rsidRPr="00615D44" w14:paraId="5E65361D" w14:textId="77777777" w:rsidTr="00615D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E9BBF2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b/>
                <w:bCs/>
                <w:kern w:val="0"/>
                <w:lang w:val="en-US"/>
                <w14:ligatures w14:val="none"/>
              </w:rPr>
              <w:t>10. Salivary Assessment</w:t>
            </w:r>
          </w:p>
        </w:tc>
        <w:tc>
          <w:tcPr>
            <w:tcW w:w="2879" w:type="dxa"/>
            <w:vAlign w:val="center"/>
            <w:hideMark/>
          </w:tcPr>
          <w:p w14:paraId="00DC1320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Salivary parameters</w:t>
            </w:r>
          </w:p>
        </w:tc>
        <w:tc>
          <w:tcPr>
            <w:tcW w:w="3781" w:type="dxa"/>
            <w:vAlign w:val="center"/>
            <w:hideMark/>
          </w:tcPr>
          <w:p w14:paraId="15D66ECC" w14:textId="77777777" w:rsidR="00615D44" w:rsidRPr="00615D44" w:rsidRDefault="00615D44" w:rsidP="00615D44">
            <w:pPr>
              <w:spacing w:after="0" w:line="240" w:lineRule="auto"/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</w:pPr>
            <w:r w:rsidRPr="00615D44">
              <w:rPr>
                <w:rFonts w:ascii="Palatino Linotype" w:eastAsia="Times New Roman" w:hAnsi="Palatino Linotype" w:cs="Times New Roman"/>
                <w:kern w:val="0"/>
                <w:lang w:val="en-US"/>
                <w14:ligatures w14:val="none"/>
              </w:rPr>
              <w:t>Unstimulated salivary flow rate, buffering capacity (pH)</w:t>
            </w:r>
          </w:p>
        </w:tc>
      </w:tr>
    </w:tbl>
    <w:p w14:paraId="549D65C1" w14:textId="77777777" w:rsidR="00615D44" w:rsidRPr="00615D44" w:rsidRDefault="00615D44">
      <w:pPr>
        <w:rPr>
          <w:rFonts w:ascii="Palatino Linotype" w:hAnsi="Palatino Linotype"/>
          <w:lang w:val="en-US"/>
        </w:rPr>
      </w:pPr>
    </w:p>
    <w:p w14:paraId="0AABEA61" w14:textId="77777777" w:rsidR="00615D44" w:rsidRPr="00615D44" w:rsidRDefault="00615D44">
      <w:pPr>
        <w:rPr>
          <w:rFonts w:ascii="Palatino Linotype" w:hAnsi="Palatino Linotype"/>
          <w:lang w:val="en-US"/>
        </w:rPr>
      </w:pPr>
    </w:p>
    <w:p w14:paraId="62EDF5ED" w14:textId="77777777" w:rsidR="00615D44" w:rsidRPr="00615D44" w:rsidRDefault="00615D44">
      <w:pPr>
        <w:rPr>
          <w:rFonts w:ascii="Palatino Linotype" w:hAnsi="Palatino Linotype"/>
          <w:lang w:val="en-US"/>
        </w:rPr>
      </w:pPr>
    </w:p>
    <w:p w14:paraId="5043F1DD" w14:textId="77777777" w:rsidR="00615D44" w:rsidRPr="00615D44" w:rsidRDefault="00615D44">
      <w:pPr>
        <w:rPr>
          <w:rFonts w:ascii="Palatino Linotype" w:hAnsi="Palatino Linotype"/>
          <w:lang w:val="en-US"/>
        </w:rPr>
      </w:pPr>
    </w:p>
    <w:sectPr w:rsidR="00615D44" w:rsidRPr="00615D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hyphenationZone w:val="283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D44"/>
    <w:rsid w:val="00433304"/>
    <w:rsid w:val="0061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7B47FC"/>
  <w15:chartTrackingRefBased/>
  <w15:docId w15:val="{FFC80B50-9997-E949-8134-6D3318BF8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15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15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5D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15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15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15D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5D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15D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15D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5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15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5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15D4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15D4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15D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5D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15D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15D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15D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15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5D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5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15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15D4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15D4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15D4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15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15D4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15D44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615D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Romanelli</dc:creator>
  <cp:keywords/>
  <dc:description/>
  <cp:lastModifiedBy>Giulia Romanelli</cp:lastModifiedBy>
  <cp:revision>1</cp:revision>
  <dcterms:created xsi:type="dcterms:W3CDTF">2026-02-12T10:54:00Z</dcterms:created>
  <dcterms:modified xsi:type="dcterms:W3CDTF">2026-02-12T10:57:00Z</dcterms:modified>
</cp:coreProperties>
</file>