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A32239" w14:textId="77777777" w:rsidR="0010552B" w:rsidRDefault="0010552B">
      <w:pPr>
        <w:rPr>
          <w:rFonts w:ascii="Palatino Linotype" w:hAnsi="Palatino Linotype"/>
          <w:b/>
          <w:bCs/>
          <w:sz w:val="30"/>
          <w:szCs w:val="30"/>
          <w:lang w:val="en-US"/>
        </w:rPr>
      </w:pPr>
    </w:p>
    <w:p w14:paraId="2CBC6C53" w14:textId="56E5D181" w:rsidR="008D6B9A" w:rsidRPr="008D6B9A" w:rsidRDefault="008D6B9A">
      <w:pPr>
        <w:rPr>
          <w:rFonts w:ascii="Palatino Linotype" w:hAnsi="Palatino Linotype"/>
          <w:b/>
          <w:bCs/>
          <w:sz w:val="30"/>
          <w:szCs w:val="30"/>
          <w:lang w:val="en-US"/>
        </w:rPr>
      </w:pPr>
      <w:r w:rsidRPr="008D6B9A">
        <w:rPr>
          <w:rFonts w:ascii="Palatino Linotype" w:hAnsi="Palatino Linotype"/>
          <w:b/>
          <w:bCs/>
          <w:sz w:val="30"/>
          <w:szCs w:val="30"/>
          <w:lang w:val="en-US"/>
        </w:rPr>
        <w:t>Supplementary Table S2. Structure of the TD (Discharge) Data Collection Instrument</w:t>
      </w:r>
    </w:p>
    <w:p w14:paraId="03CDF594" w14:textId="77777777" w:rsidR="008D6B9A" w:rsidRPr="008D6B9A" w:rsidRDefault="008D6B9A">
      <w:pPr>
        <w:rPr>
          <w:rFonts w:ascii="Palatino Linotype" w:hAnsi="Palatino Linotype"/>
          <w:lang w:val="en-U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5"/>
        <w:gridCol w:w="2263"/>
        <w:gridCol w:w="4670"/>
      </w:tblGrid>
      <w:tr w:rsidR="008D6B9A" w:rsidRPr="008D6B9A" w14:paraId="0C3E07B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FB14E3" w14:textId="77777777" w:rsidR="008D6B9A" w:rsidRPr="008D6B9A" w:rsidRDefault="008D6B9A" w:rsidP="008D6B9A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Domain</w:t>
            </w:r>
          </w:p>
        </w:tc>
        <w:tc>
          <w:tcPr>
            <w:tcW w:w="0" w:type="auto"/>
            <w:vAlign w:val="center"/>
            <w:hideMark/>
          </w:tcPr>
          <w:p w14:paraId="685D14E4" w14:textId="77777777" w:rsidR="008D6B9A" w:rsidRPr="008D6B9A" w:rsidRDefault="008D6B9A" w:rsidP="008D6B9A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Subdomain</w:t>
            </w:r>
          </w:p>
        </w:tc>
        <w:tc>
          <w:tcPr>
            <w:tcW w:w="0" w:type="auto"/>
            <w:vAlign w:val="center"/>
            <w:hideMark/>
          </w:tcPr>
          <w:p w14:paraId="55F75328" w14:textId="77777777" w:rsidR="008D6B9A" w:rsidRPr="008D6B9A" w:rsidRDefault="008D6B9A" w:rsidP="008D6B9A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Variables Collected</w:t>
            </w:r>
          </w:p>
        </w:tc>
      </w:tr>
      <w:tr w:rsidR="008D6B9A" w:rsidRPr="0010552B" w14:paraId="73CE66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B9C2D4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1. Hospitalization Overview</w:t>
            </w:r>
          </w:p>
        </w:tc>
        <w:tc>
          <w:tcPr>
            <w:tcW w:w="0" w:type="auto"/>
            <w:vAlign w:val="center"/>
            <w:hideMark/>
          </w:tcPr>
          <w:p w14:paraId="6B741B53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Admission and discharge data</w:t>
            </w:r>
          </w:p>
        </w:tc>
        <w:tc>
          <w:tcPr>
            <w:tcW w:w="0" w:type="auto"/>
            <w:vAlign w:val="center"/>
            <w:hideMark/>
          </w:tcPr>
          <w:p w14:paraId="604936F6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Ward, admission date, discharge date, transfer status</w:t>
            </w:r>
          </w:p>
        </w:tc>
      </w:tr>
      <w:tr w:rsidR="008D6B9A" w:rsidRPr="008D6B9A" w14:paraId="507002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370670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FEE38E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Follow-up timepoints</w:t>
            </w:r>
          </w:p>
        </w:tc>
        <w:tc>
          <w:tcPr>
            <w:tcW w:w="0" w:type="auto"/>
            <w:vAlign w:val="center"/>
            <w:hideMark/>
          </w:tcPr>
          <w:p w14:paraId="726CBBDD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Dates of T0, intermediate assessments (T1–T&gt;3), and TD</w:t>
            </w:r>
          </w:p>
        </w:tc>
      </w:tr>
      <w:tr w:rsidR="008D6B9A" w:rsidRPr="008D6B9A" w14:paraId="1B290C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D59D0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3B6D82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Anthropometrics</w:t>
            </w:r>
          </w:p>
        </w:tc>
        <w:tc>
          <w:tcPr>
            <w:tcW w:w="0" w:type="auto"/>
            <w:vAlign w:val="center"/>
            <w:hideMark/>
          </w:tcPr>
          <w:p w14:paraId="65E4F21C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Weight at discharge</w:t>
            </w:r>
          </w:p>
        </w:tc>
      </w:tr>
      <w:tr w:rsidR="008D6B9A" w:rsidRPr="008D6B9A" w14:paraId="3740F3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DF5B52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2. Family Context During Hospitalization</w:t>
            </w:r>
          </w:p>
        </w:tc>
        <w:tc>
          <w:tcPr>
            <w:tcW w:w="0" w:type="auto"/>
            <w:vAlign w:val="center"/>
            <w:hideMark/>
          </w:tcPr>
          <w:p w14:paraId="63BF14E1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Caregiver presence</w:t>
            </w:r>
          </w:p>
        </w:tc>
        <w:tc>
          <w:tcPr>
            <w:tcW w:w="0" w:type="auto"/>
            <w:vAlign w:val="center"/>
            <w:hideMark/>
          </w:tcPr>
          <w:p w14:paraId="3490EF81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Caregiver(s) assisting the child during hospitalization (mother, father, healthcare staff, other)</w:t>
            </w:r>
          </w:p>
        </w:tc>
      </w:tr>
      <w:tr w:rsidR="008D6B9A" w:rsidRPr="008D6B9A" w14:paraId="7D18CC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D1A03F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3. Medical Course During Hospitalization</w:t>
            </w:r>
          </w:p>
        </w:tc>
        <w:tc>
          <w:tcPr>
            <w:tcW w:w="0" w:type="auto"/>
            <w:vAlign w:val="center"/>
            <w:hideMark/>
          </w:tcPr>
          <w:p w14:paraId="71FD6DA5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New diagnoses</w:t>
            </w:r>
          </w:p>
        </w:tc>
        <w:tc>
          <w:tcPr>
            <w:tcW w:w="0" w:type="auto"/>
            <w:vAlign w:val="center"/>
            <w:hideMark/>
          </w:tcPr>
          <w:p w14:paraId="22644E33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Pathologies diagnosed during hospitalization</w:t>
            </w:r>
          </w:p>
        </w:tc>
      </w:tr>
      <w:tr w:rsidR="008D6B9A" w:rsidRPr="008D6B9A" w14:paraId="25B5B1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72B903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307FD5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Interventions</w:t>
            </w:r>
          </w:p>
        </w:tc>
        <w:tc>
          <w:tcPr>
            <w:tcW w:w="0" w:type="auto"/>
            <w:vAlign w:val="center"/>
            <w:hideMark/>
          </w:tcPr>
          <w:p w14:paraId="4EA4DCC1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Surgical procedures performed during hospitalization</w:t>
            </w:r>
          </w:p>
        </w:tc>
      </w:tr>
      <w:tr w:rsidR="008D6B9A" w:rsidRPr="008D6B9A" w14:paraId="0F8214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72EF92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5D95AC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Therapies</w:t>
            </w:r>
          </w:p>
        </w:tc>
        <w:tc>
          <w:tcPr>
            <w:tcW w:w="0" w:type="auto"/>
            <w:vAlign w:val="center"/>
            <w:hideMark/>
          </w:tcPr>
          <w:p w14:paraId="1B43B4F6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Pharmacological or medical therapies introduced during hospitalization</w:t>
            </w:r>
          </w:p>
        </w:tc>
      </w:tr>
      <w:tr w:rsidR="008D6B9A" w:rsidRPr="0010552B" w14:paraId="2C8FC3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4C5E16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4. Dietary Habits During Hospitalization</w:t>
            </w:r>
          </w:p>
        </w:tc>
        <w:tc>
          <w:tcPr>
            <w:tcW w:w="0" w:type="auto"/>
            <w:vAlign w:val="center"/>
            <w:hideMark/>
          </w:tcPr>
          <w:p w14:paraId="68C228C3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Dietary modifications</w:t>
            </w:r>
          </w:p>
        </w:tc>
        <w:tc>
          <w:tcPr>
            <w:tcW w:w="0" w:type="auto"/>
            <w:vAlign w:val="center"/>
            <w:hideMark/>
          </w:tcPr>
          <w:p w14:paraId="7BA2B892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Changes in diet type, quantity, or type of liquids consumed</w:t>
            </w:r>
          </w:p>
        </w:tc>
      </w:tr>
      <w:tr w:rsidR="008D6B9A" w:rsidRPr="008D6B9A" w14:paraId="676F87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437FF1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9011C7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Feeding modality</w:t>
            </w:r>
          </w:p>
        </w:tc>
        <w:tc>
          <w:tcPr>
            <w:tcW w:w="0" w:type="auto"/>
            <w:vAlign w:val="center"/>
            <w:hideMark/>
          </w:tcPr>
          <w:p w14:paraId="3C06AEDF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Oral, enteral, or mixed feeding</w:t>
            </w:r>
          </w:p>
        </w:tc>
      </w:tr>
      <w:tr w:rsidR="008D6B9A" w:rsidRPr="008D6B9A" w14:paraId="2CF88A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BFD83C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D756E8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Meal frequency</w:t>
            </w:r>
          </w:p>
        </w:tc>
        <w:tc>
          <w:tcPr>
            <w:tcW w:w="0" w:type="auto"/>
            <w:vAlign w:val="center"/>
            <w:hideMark/>
          </w:tcPr>
          <w:p w14:paraId="2E2DC558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Number of meals per 24 hours</w:t>
            </w:r>
          </w:p>
        </w:tc>
      </w:tr>
      <w:tr w:rsidR="008D6B9A" w:rsidRPr="008D6B9A" w14:paraId="4E1A0E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DC8573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F88292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Beverage consumption</w:t>
            </w:r>
          </w:p>
        </w:tc>
        <w:tc>
          <w:tcPr>
            <w:tcW w:w="0" w:type="auto"/>
            <w:vAlign w:val="center"/>
            <w:hideMark/>
          </w:tcPr>
          <w:p w14:paraId="63B5BCD4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Water, milk, fruit juices, soft drinks, tea/herbal drinks</w:t>
            </w:r>
          </w:p>
        </w:tc>
      </w:tr>
      <w:tr w:rsidR="008D6B9A" w:rsidRPr="008D6B9A" w14:paraId="53C767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9D8851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837454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Cariogenic food intake</w:t>
            </w:r>
          </w:p>
        </w:tc>
        <w:tc>
          <w:tcPr>
            <w:tcW w:w="0" w:type="auto"/>
            <w:vAlign w:val="center"/>
            <w:hideMark/>
          </w:tcPr>
          <w:p w14:paraId="04127962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Sugar, honey, candies, baked sweets, chocolate, others</w:t>
            </w:r>
          </w:p>
        </w:tc>
      </w:tr>
      <w:tr w:rsidR="008D6B9A" w:rsidRPr="008D6B9A" w14:paraId="688E0A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D24EB0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217061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Nutritional counseling</w:t>
            </w:r>
          </w:p>
        </w:tc>
        <w:tc>
          <w:tcPr>
            <w:tcW w:w="0" w:type="auto"/>
            <w:vAlign w:val="center"/>
            <w:hideMark/>
          </w:tcPr>
          <w:p w14:paraId="5BE12D27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Dietary advice provided during hospitalization and at discharge</w:t>
            </w:r>
          </w:p>
        </w:tc>
      </w:tr>
      <w:tr w:rsidR="008D6B9A" w:rsidRPr="008D6B9A" w14:paraId="2D5841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463D87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5. Oral Hygiene Practices During Hospitalization</w:t>
            </w:r>
          </w:p>
        </w:tc>
        <w:tc>
          <w:tcPr>
            <w:tcW w:w="0" w:type="auto"/>
            <w:vAlign w:val="center"/>
            <w:hideMark/>
          </w:tcPr>
          <w:p w14:paraId="1DB3418E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Hygiene performance</w:t>
            </w:r>
          </w:p>
        </w:tc>
        <w:tc>
          <w:tcPr>
            <w:tcW w:w="0" w:type="auto"/>
            <w:vAlign w:val="center"/>
            <w:hideMark/>
          </w:tcPr>
          <w:p w14:paraId="00E6B271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Execution of oral hygiene maneuvers</w:t>
            </w:r>
          </w:p>
        </w:tc>
      </w:tr>
      <w:tr w:rsidR="008D6B9A" w:rsidRPr="008D6B9A" w14:paraId="2136F9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E75AF4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9906CA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Habit changes</w:t>
            </w:r>
          </w:p>
        </w:tc>
        <w:tc>
          <w:tcPr>
            <w:tcW w:w="0" w:type="auto"/>
            <w:vAlign w:val="center"/>
            <w:hideMark/>
          </w:tcPr>
          <w:p w14:paraId="4CA641CB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Variations in oral hygiene habits during hospitalization</w:t>
            </w:r>
          </w:p>
        </w:tc>
      </w:tr>
      <w:tr w:rsidR="008D6B9A" w:rsidRPr="008D6B9A" w14:paraId="0A809B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FF2F57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C7EEBA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Hygiene aids used</w:t>
            </w:r>
          </w:p>
        </w:tc>
        <w:tc>
          <w:tcPr>
            <w:tcW w:w="0" w:type="auto"/>
            <w:vAlign w:val="center"/>
            <w:hideMark/>
          </w:tcPr>
          <w:p w14:paraId="7D1E3267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Toothbrush (manual/electric), toothpaste (fluoridated/non-fluoridated), mouthrinses, gels, interdental aids</w:t>
            </w:r>
          </w:p>
        </w:tc>
      </w:tr>
      <w:tr w:rsidR="008D6B9A" w:rsidRPr="008D6B9A" w14:paraId="0F7780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FD6F2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45B8C3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Frequency and timing</w:t>
            </w:r>
          </w:p>
        </w:tc>
        <w:tc>
          <w:tcPr>
            <w:tcW w:w="0" w:type="auto"/>
            <w:vAlign w:val="center"/>
            <w:hideMark/>
          </w:tcPr>
          <w:p w14:paraId="6DCDE92E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Daily frequency and distribution of oral hygiene practices</w:t>
            </w:r>
          </w:p>
        </w:tc>
      </w:tr>
      <w:tr w:rsidR="008D6B9A" w:rsidRPr="008D6B9A" w14:paraId="3BCB5C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88780C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72593F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Supervision</w:t>
            </w:r>
          </w:p>
        </w:tc>
        <w:tc>
          <w:tcPr>
            <w:tcW w:w="0" w:type="auto"/>
            <w:vAlign w:val="center"/>
            <w:hideMark/>
          </w:tcPr>
          <w:p w14:paraId="79D6AD82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Performer of oral hygiene maneuvers (child/caregiver)</w:t>
            </w:r>
          </w:p>
        </w:tc>
      </w:tr>
      <w:tr w:rsidR="008D6B9A" w:rsidRPr="008D6B9A" w14:paraId="2433AA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A943BF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98994E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Preventive counseling</w:t>
            </w:r>
          </w:p>
        </w:tc>
        <w:tc>
          <w:tcPr>
            <w:tcW w:w="0" w:type="auto"/>
            <w:vAlign w:val="center"/>
            <w:hideMark/>
          </w:tcPr>
          <w:p w14:paraId="6C3E1189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Oral hygiene instructions provided during hospitalization and at discharge</w:t>
            </w:r>
          </w:p>
        </w:tc>
      </w:tr>
      <w:tr w:rsidR="008D6B9A" w:rsidRPr="008D6B9A" w14:paraId="56A64C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22F81A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6. Dental Events During Hospitalization</w:t>
            </w:r>
          </w:p>
        </w:tc>
        <w:tc>
          <w:tcPr>
            <w:tcW w:w="0" w:type="auto"/>
            <w:vAlign w:val="center"/>
            <w:hideMark/>
          </w:tcPr>
          <w:p w14:paraId="7194FA93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Dental consultation</w:t>
            </w:r>
          </w:p>
        </w:tc>
        <w:tc>
          <w:tcPr>
            <w:tcW w:w="0" w:type="auto"/>
            <w:vAlign w:val="center"/>
            <w:hideMark/>
          </w:tcPr>
          <w:p w14:paraId="7B5DC047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Dental visits performed during hospitalization</w:t>
            </w:r>
          </w:p>
        </w:tc>
      </w:tr>
      <w:tr w:rsidR="008D6B9A" w:rsidRPr="008D6B9A" w14:paraId="344F0E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DBE779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4BF8DB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Oral symptoms</w:t>
            </w:r>
          </w:p>
        </w:tc>
        <w:tc>
          <w:tcPr>
            <w:tcW w:w="0" w:type="auto"/>
            <w:vAlign w:val="center"/>
            <w:hideMark/>
          </w:tcPr>
          <w:p w14:paraId="5496B29D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Onset and type of oral pain</w:t>
            </w:r>
          </w:p>
        </w:tc>
      </w:tr>
      <w:tr w:rsidR="008D6B9A" w:rsidRPr="008D6B9A" w14:paraId="404737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F39E73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128F2C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Oral habits</w:t>
            </w:r>
          </w:p>
        </w:tc>
        <w:tc>
          <w:tcPr>
            <w:tcW w:w="0" w:type="auto"/>
            <w:vAlign w:val="center"/>
            <w:hideMark/>
          </w:tcPr>
          <w:p w14:paraId="3B0B6C51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Changes in parafunctional habits</w:t>
            </w:r>
          </w:p>
        </w:tc>
      </w:tr>
      <w:tr w:rsidR="008D6B9A" w:rsidRPr="008D6B9A" w14:paraId="474F62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4DA9D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E36000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Sleep-related variables</w:t>
            </w:r>
          </w:p>
        </w:tc>
        <w:tc>
          <w:tcPr>
            <w:tcW w:w="0" w:type="auto"/>
            <w:vAlign w:val="center"/>
            <w:hideMark/>
          </w:tcPr>
          <w:p w14:paraId="4CE6A4DC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Snoring, sleep apnea, polysomnography, CPAP use</w:t>
            </w:r>
          </w:p>
        </w:tc>
      </w:tr>
      <w:tr w:rsidR="008D6B9A" w:rsidRPr="008D6B9A" w14:paraId="36B8B7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95604C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9C1C06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Salivary changes</w:t>
            </w:r>
          </w:p>
        </w:tc>
        <w:tc>
          <w:tcPr>
            <w:tcW w:w="0" w:type="auto"/>
            <w:vAlign w:val="center"/>
            <w:hideMark/>
          </w:tcPr>
          <w:p w14:paraId="4BEBF8E8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Subjective variation in salivary flow</w:t>
            </w:r>
          </w:p>
        </w:tc>
      </w:tr>
      <w:tr w:rsidR="008D6B9A" w:rsidRPr="008D6B9A" w14:paraId="3D3415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5AB2FE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7. Intraoral Examination at Discharge</w:t>
            </w:r>
          </w:p>
        </w:tc>
        <w:tc>
          <w:tcPr>
            <w:tcW w:w="0" w:type="auto"/>
            <w:vAlign w:val="center"/>
            <w:hideMark/>
          </w:tcPr>
          <w:p w14:paraId="1D91A293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Global oral health status</w:t>
            </w:r>
          </w:p>
        </w:tc>
        <w:tc>
          <w:tcPr>
            <w:tcW w:w="0" w:type="auto"/>
            <w:vAlign w:val="center"/>
            <w:hideMark/>
          </w:tcPr>
          <w:p w14:paraId="7716B53E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Overall oral health assessment</w:t>
            </w:r>
          </w:p>
        </w:tc>
      </w:tr>
      <w:tr w:rsidR="008D6B9A" w:rsidRPr="008D6B9A" w14:paraId="3117EC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2B3F4E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284398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Therapy-related manifestations</w:t>
            </w:r>
          </w:p>
        </w:tc>
        <w:tc>
          <w:tcPr>
            <w:tcW w:w="0" w:type="auto"/>
            <w:vAlign w:val="center"/>
            <w:hideMark/>
          </w:tcPr>
          <w:p w14:paraId="43B5D0CC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Oral manifestations related to systemic disease or therapies</w:t>
            </w:r>
          </w:p>
        </w:tc>
      </w:tr>
      <w:tr w:rsidR="008D6B9A" w:rsidRPr="008D6B9A" w14:paraId="66DEAB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E7A4F1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AFA1A5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Dentition status</w:t>
            </w:r>
          </w:p>
        </w:tc>
        <w:tc>
          <w:tcPr>
            <w:tcW w:w="0" w:type="auto"/>
            <w:vAlign w:val="center"/>
            <w:hideMark/>
          </w:tcPr>
          <w:p w14:paraId="7ED90696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Type of dentition, number of deciduous/permanent teeth</w:t>
            </w:r>
          </w:p>
        </w:tc>
      </w:tr>
      <w:tr w:rsidR="008D6B9A" w:rsidRPr="008D6B9A" w14:paraId="6E3FD2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7620C7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D433EE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Caries indices</w:t>
            </w:r>
          </w:p>
        </w:tc>
        <w:tc>
          <w:tcPr>
            <w:tcW w:w="0" w:type="auto"/>
            <w:vAlign w:val="center"/>
            <w:hideMark/>
          </w:tcPr>
          <w:p w14:paraId="3CD90FCC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dmft/DMFT</w:t>
            </w:r>
          </w:p>
        </w:tc>
      </w:tr>
      <w:tr w:rsidR="008D6B9A" w:rsidRPr="008D6B9A" w14:paraId="382C0F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8A16C6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986858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Periodontal indices</w:t>
            </w:r>
          </w:p>
        </w:tc>
        <w:tc>
          <w:tcPr>
            <w:tcW w:w="0" w:type="auto"/>
            <w:vAlign w:val="center"/>
            <w:hideMark/>
          </w:tcPr>
          <w:p w14:paraId="76E7DD92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Modified Gingival Index (MGI), Plaque Index (PI)</w:t>
            </w:r>
          </w:p>
        </w:tc>
      </w:tr>
      <w:tr w:rsidR="008D6B9A" w:rsidRPr="008D6B9A" w14:paraId="43C28E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5E0C50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0B1C59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Dental anomalies</w:t>
            </w:r>
          </w:p>
        </w:tc>
        <w:tc>
          <w:tcPr>
            <w:tcW w:w="0" w:type="auto"/>
            <w:vAlign w:val="center"/>
            <w:hideMark/>
          </w:tcPr>
          <w:p w14:paraId="014B6085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Structural, numerical, positional, or chromatic alterations</w:t>
            </w:r>
          </w:p>
        </w:tc>
      </w:tr>
      <w:tr w:rsidR="008D6B9A" w:rsidRPr="008D6B9A" w14:paraId="0F99E3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D744F4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7D0992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Oral mucosa</w:t>
            </w:r>
          </w:p>
        </w:tc>
        <w:tc>
          <w:tcPr>
            <w:tcW w:w="0" w:type="auto"/>
            <w:vAlign w:val="center"/>
            <w:hideMark/>
          </w:tcPr>
          <w:p w14:paraId="41E52A70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Color, integrity, hydration, presence of lesions</w:t>
            </w:r>
          </w:p>
        </w:tc>
      </w:tr>
      <w:tr w:rsidR="008D6B9A" w:rsidRPr="008D6B9A" w14:paraId="3FB95E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A7634E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99600F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Other findings</w:t>
            </w:r>
          </w:p>
        </w:tc>
        <w:tc>
          <w:tcPr>
            <w:tcW w:w="0" w:type="auto"/>
            <w:vAlign w:val="center"/>
            <w:hideMark/>
          </w:tcPr>
          <w:p w14:paraId="4C06E62E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Erosions, abrasions, abscesses, fistulae</w:t>
            </w:r>
          </w:p>
        </w:tc>
      </w:tr>
      <w:tr w:rsidR="008D6B9A" w:rsidRPr="008D6B9A" w14:paraId="7B5271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6C6FDB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8. Extraoral Examination</w:t>
            </w:r>
          </w:p>
        </w:tc>
        <w:tc>
          <w:tcPr>
            <w:tcW w:w="0" w:type="auto"/>
            <w:vAlign w:val="center"/>
            <w:hideMark/>
          </w:tcPr>
          <w:p w14:paraId="6C0C0656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Functional assessment</w:t>
            </w:r>
          </w:p>
        </w:tc>
        <w:tc>
          <w:tcPr>
            <w:tcW w:w="0" w:type="auto"/>
            <w:vAlign w:val="center"/>
            <w:hideMark/>
          </w:tcPr>
          <w:p w14:paraId="245C1305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Mouth opening pattern and range</w:t>
            </w:r>
          </w:p>
        </w:tc>
      </w:tr>
      <w:tr w:rsidR="008D6B9A" w:rsidRPr="008D6B9A" w14:paraId="614750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D41916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D33715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Pain assessment</w:t>
            </w:r>
          </w:p>
        </w:tc>
        <w:tc>
          <w:tcPr>
            <w:tcW w:w="0" w:type="auto"/>
            <w:vAlign w:val="center"/>
            <w:hideMark/>
          </w:tcPr>
          <w:p w14:paraId="7CF51583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Presence of articular or muscular pain</w:t>
            </w:r>
          </w:p>
        </w:tc>
      </w:tr>
      <w:tr w:rsidR="008D6B9A" w:rsidRPr="008D6B9A" w14:paraId="45289F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EB1FB3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9. Salivary Assessment</w:t>
            </w:r>
          </w:p>
        </w:tc>
        <w:tc>
          <w:tcPr>
            <w:tcW w:w="0" w:type="auto"/>
            <w:vAlign w:val="center"/>
            <w:hideMark/>
          </w:tcPr>
          <w:p w14:paraId="622BD903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Salivary parameters</w:t>
            </w:r>
          </w:p>
        </w:tc>
        <w:tc>
          <w:tcPr>
            <w:tcW w:w="0" w:type="auto"/>
            <w:vAlign w:val="center"/>
            <w:hideMark/>
          </w:tcPr>
          <w:p w14:paraId="473130C4" w14:textId="77777777" w:rsidR="008D6B9A" w:rsidRPr="008D6B9A" w:rsidRDefault="008D6B9A" w:rsidP="008D6B9A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8D6B9A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Unstimulated salivary flow rate, buffering capacity (pH)</w:t>
            </w:r>
          </w:p>
        </w:tc>
      </w:tr>
    </w:tbl>
    <w:p w14:paraId="7AA42BD9" w14:textId="77777777" w:rsidR="008D6B9A" w:rsidRPr="008D6B9A" w:rsidRDefault="008D6B9A">
      <w:pPr>
        <w:rPr>
          <w:rFonts w:ascii="Palatino Linotype" w:hAnsi="Palatino Linotype"/>
          <w:lang w:val="en-US"/>
        </w:rPr>
      </w:pPr>
    </w:p>
    <w:sectPr w:rsidR="008D6B9A" w:rsidRPr="008D6B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hyphenationZone w:val="283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9A"/>
    <w:rsid w:val="0010552B"/>
    <w:rsid w:val="00433304"/>
    <w:rsid w:val="008D6B9A"/>
    <w:rsid w:val="00DA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99457E"/>
  <w15:chartTrackingRefBased/>
  <w15:docId w15:val="{BA6173A9-85C9-994A-BEA9-46808035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D6B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D6B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D6B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D6B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D6B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D6B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D6B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D6B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D6B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D6B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D6B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D6B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D6B9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D6B9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D6B9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D6B9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D6B9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D6B9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D6B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D6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D6B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D6B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D6B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D6B9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D6B9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D6B9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D6B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D6B9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D6B9A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8D6B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435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Romanelli</dc:creator>
  <cp:keywords/>
  <dc:description/>
  <cp:lastModifiedBy>Giulia Romanelli</cp:lastModifiedBy>
  <cp:revision>2</cp:revision>
  <dcterms:created xsi:type="dcterms:W3CDTF">2026-02-12T10:58:00Z</dcterms:created>
  <dcterms:modified xsi:type="dcterms:W3CDTF">2026-07-03T07:40:00Z</dcterms:modified>
</cp:coreProperties>
</file>