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BDE0" w14:textId="7A87594D" w:rsidR="00456B42" w:rsidRPr="002371A3" w:rsidRDefault="00456B42" w:rsidP="0099348E">
      <w:pPr>
        <w:pStyle w:val="FirstParagraph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501BFB">
        <w:rPr>
          <w:rFonts w:ascii="Arial" w:hAnsi="Arial" w:cs="Arial"/>
          <w:b/>
          <w:bCs/>
          <w:sz w:val="22"/>
          <w:szCs w:val="22"/>
        </w:rPr>
        <w:t xml:space="preserve">Table S1. </w:t>
      </w:r>
      <w:r w:rsidRPr="002371A3">
        <w:rPr>
          <w:rFonts w:ascii="Arial" w:hAnsi="Arial" w:cs="Arial"/>
          <w:sz w:val="22"/>
          <w:szCs w:val="22"/>
        </w:rPr>
        <w:t>FDR-significant correlations between circulating GDF15 and cardiovascular biomarkers in patients with T2DM.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718"/>
        <w:gridCol w:w="3148"/>
        <w:gridCol w:w="3150"/>
      </w:tblGrid>
      <w:tr w:rsidR="00456B42" w:rsidRPr="00456B42" w14:paraId="138BE234" w14:textId="77777777" w:rsidTr="0099348E">
        <w:trPr>
          <w:trHeight w:val="567"/>
        </w:trPr>
        <w:tc>
          <w:tcPr>
            <w:tcW w:w="1507" w:type="pct"/>
            <w:vAlign w:val="center"/>
            <w:hideMark/>
          </w:tcPr>
          <w:p w14:paraId="7F23A58B" w14:textId="77777777" w:rsidR="00456B42" w:rsidRPr="00456B42" w:rsidRDefault="00456B42" w:rsidP="009A5E8B">
            <w:pPr>
              <w:spacing w:before="100" w:after="10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456B42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Biomarker</w:t>
            </w:r>
          </w:p>
        </w:tc>
        <w:tc>
          <w:tcPr>
            <w:tcW w:w="1746" w:type="pct"/>
            <w:vAlign w:val="center"/>
            <w:hideMark/>
          </w:tcPr>
          <w:p w14:paraId="1592D00B" w14:textId="48A786A9" w:rsidR="00456B42" w:rsidRPr="00456B42" w:rsidRDefault="00456B42" w:rsidP="009A5E8B">
            <w:pPr>
              <w:spacing w:before="100" w:after="10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456B42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Spearman</w:t>
            </w:r>
            <w:r w:rsidR="00F05FD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 coefficient (rho)</w:t>
            </w:r>
          </w:p>
        </w:tc>
        <w:tc>
          <w:tcPr>
            <w:tcW w:w="1747" w:type="pct"/>
            <w:vAlign w:val="center"/>
            <w:hideMark/>
          </w:tcPr>
          <w:p w14:paraId="3C43E3ED" w14:textId="77777777" w:rsidR="00456B42" w:rsidRPr="00456B42" w:rsidRDefault="00456B42" w:rsidP="009A5E8B">
            <w:pPr>
              <w:spacing w:before="100" w:after="10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456B42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FDR </w:t>
            </w:r>
            <w:r w:rsidRPr="00456B4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ES"/>
              </w:rPr>
              <w:t>q</w:t>
            </w:r>
            <w:r w:rsidRPr="00456B42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-value</w:t>
            </w:r>
          </w:p>
        </w:tc>
      </w:tr>
      <w:tr w:rsidR="00456B42" w:rsidRPr="00456B42" w14:paraId="03645EB1" w14:textId="77777777" w:rsidTr="0099348E">
        <w:trPr>
          <w:trHeight w:val="567"/>
        </w:trPr>
        <w:tc>
          <w:tcPr>
            <w:tcW w:w="1507" w:type="pct"/>
            <w:vAlign w:val="center"/>
            <w:hideMark/>
          </w:tcPr>
          <w:p w14:paraId="787195F7" w14:textId="77777777" w:rsidR="00456B42" w:rsidRPr="00456B42" w:rsidRDefault="00456B42" w:rsidP="00456B42">
            <w:pPr>
              <w:spacing w:before="100" w:after="10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456B42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Myoglobin</w:t>
            </w:r>
          </w:p>
        </w:tc>
        <w:tc>
          <w:tcPr>
            <w:tcW w:w="1746" w:type="pct"/>
            <w:vAlign w:val="center"/>
            <w:hideMark/>
          </w:tcPr>
          <w:p w14:paraId="389323F6" w14:textId="77777777" w:rsidR="00456B42" w:rsidRPr="00456B42" w:rsidRDefault="00456B42" w:rsidP="00456B42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456B42">
              <w:rPr>
                <w:rFonts w:ascii="Arial" w:hAnsi="Arial" w:cs="Arial"/>
                <w:sz w:val="22"/>
                <w:szCs w:val="22"/>
                <w:lang w:val="es-ES"/>
              </w:rPr>
              <w:t>0.714</w:t>
            </w:r>
          </w:p>
        </w:tc>
        <w:tc>
          <w:tcPr>
            <w:tcW w:w="1747" w:type="pct"/>
            <w:vAlign w:val="center"/>
            <w:hideMark/>
          </w:tcPr>
          <w:p w14:paraId="7FD75853" w14:textId="77777777" w:rsidR="00456B42" w:rsidRPr="00456B42" w:rsidRDefault="00456B42" w:rsidP="00456B42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456B42">
              <w:rPr>
                <w:rFonts w:ascii="Arial" w:hAnsi="Arial" w:cs="Arial"/>
                <w:sz w:val="22"/>
                <w:szCs w:val="22"/>
                <w:lang w:val="es-ES"/>
              </w:rPr>
              <w:t>&lt;0.001</w:t>
            </w:r>
          </w:p>
        </w:tc>
      </w:tr>
      <w:tr w:rsidR="00456B42" w:rsidRPr="00456B42" w14:paraId="3BB637CC" w14:textId="77777777" w:rsidTr="0099348E">
        <w:trPr>
          <w:trHeight w:val="567"/>
        </w:trPr>
        <w:tc>
          <w:tcPr>
            <w:tcW w:w="1507" w:type="pct"/>
            <w:vAlign w:val="center"/>
            <w:hideMark/>
          </w:tcPr>
          <w:p w14:paraId="3C916D90" w14:textId="77777777" w:rsidR="00456B42" w:rsidRPr="00456B42" w:rsidRDefault="00456B42" w:rsidP="00456B42">
            <w:pPr>
              <w:spacing w:before="100" w:after="10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456B42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PECAM1</w:t>
            </w:r>
          </w:p>
        </w:tc>
        <w:tc>
          <w:tcPr>
            <w:tcW w:w="1746" w:type="pct"/>
            <w:vAlign w:val="center"/>
            <w:hideMark/>
          </w:tcPr>
          <w:p w14:paraId="32250F2C" w14:textId="77777777" w:rsidR="00456B42" w:rsidRPr="00456B42" w:rsidRDefault="00456B42" w:rsidP="00456B42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456B42">
              <w:rPr>
                <w:rFonts w:ascii="Arial" w:hAnsi="Arial" w:cs="Arial"/>
                <w:sz w:val="22"/>
                <w:szCs w:val="22"/>
                <w:lang w:val="es-ES"/>
              </w:rPr>
              <w:t>0.589</w:t>
            </w:r>
          </w:p>
        </w:tc>
        <w:tc>
          <w:tcPr>
            <w:tcW w:w="1747" w:type="pct"/>
            <w:vAlign w:val="center"/>
            <w:hideMark/>
          </w:tcPr>
          <w:p w14:paraId="52C3C700" w14:textId="77777777" w:rsidR="00456B42" w:rsidRPr="00456B42" w:rsidRDefault="00456B42" w:rsidP="00456B42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456B42">
              <w:rPr>
                <w:rFonts w:ascii="Arial" w:hAnsi="Arial" w:cs="Arial"/>
                <w:sz w:val="22"/>
                <w:szCs w:val="22"/>
                <w:lang w:val="es-ES"/>
              </w:rPr>
              <w:t>&lt;0.001</w:t>
            </w:r>
          </w:p>
        </w:tc>
      </w:tr>
      <w:tr w:rsidR="00456B42" w:rsidRPr="00456B42" w14:paraId="642FBB94" w14:textId="77777777" w:rsidTr="0099348E">
        <w:trPr>
          <w:trHeight w:val="567"/>
        </w:trPr>
        <w:tc>
          <w:tcPr>
            <w:tcW w:w="1507" w:type="pct"/>
            <w:vAlign w:val="center"/>
            <w:hideMark/>
          </w:tcPr>
          <w:p w14:paraId="58875D0F" w14:textId="77777777" w:rsidR="00456B42" w:rsidRPr="00456B42" w:rsidRDefault="00456B42" w:rsidP="00456B42">
            <w:pPr>
              <w:spacing w:before="100" w:after="10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456B42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D-dimer</w:t>
            </w:r>
          </w:p>
        </w:tc>
        <w:tc>
          <w:tcPr>
            <w:tcW w:w="1746" w:type="pct"/>
            <w:vAlign w:val="center"/>
            <w:hideMark/>
          </w:tcPr>
          <w:p w14:paraId="5C09DB05" w14:textId="77777777" w:rsidR="00456B42" w:rsidRPr="00456B42" w:rsidRDefault="00456B42" w:rsidP="00456B42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456B42">
              <w:rPr>
                <w:rFonts w:ascii="Arial" w:hAnsi="Arial" w:cs="Arial"/>
                <w:sz w:val="22"/>
                <w:szCs w:val="22"/>
                <w:lang w:val="es-ES"/>
              </w:rPr>
              <w:t>0.408</w:t>
            </w:r>
          </w:p>
        </w:tc>
        <w:tc>
          <w:tcPr>
            <w:tcW w:w="1747" w:type="pct"/>
            <w:vAlign w:val="center"/>
            <w:hideMark/>
          </w:tcPr>
          <w:p w14:paraId="01242F1A" w14:textId="77777777" w:rsidR="00456B42" w:rsidRPr="00456B42" w:rsidRDefault="00456B42" w:rsidP="00456B42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456B42">
              <w:rPr>
                <w:rFonts w:ascii="Arial" w:hAnsi="Arial" w:cs="Arial"/>
                <w:sz w:val="22"/>
                <w:szCs w:val="22"/>
                <w:lang w:val="es-ES"/>
              </w:rPr>
              <w:t>0.033</w:t>
            </w:r>
          </w:p>
        </w:tc>
      </w:tr>
    </w:tbl>
    <w:p w14:paraId="4BD96F47" w14:textId="54AB4EE4" w:rsidR="0099348E" w:rsidRPr="0099348E" w:rsidRDefault="0099348E" w:rsidP="0099348E">
      <w:pPr>
        <w:spacing w:line="240" w:lineRule="auto"/>
        <w:rPr>
          <w:rFonts w:ascii="Arial" w:hAnsi="Arial" w:cs="Arial"/>
          <w:sz w:val="20"/>
          <w:szCs w:val="20"/>
        </w:rPr>
      </w:pPr>
      <w:r w:rsidRPr="0099348E">
        <w:rPr>
          <w:rFonts w:ascii="Arial" w:hAnsi="Arial" w:cs="Arial"/>
          <w:sz w:val="20"/>
          <w:szCs w:val="20"/>
        </w:rPr>
        <w:t xml:space="preserve">Only associations that remained statistically significant after Benjamini–Hochberg correction are shown. An FDR-adjusted </w:t>
      </w:r>
      <w:r w:rsidRPr="0099348E">
        <w:rPr>
          <w:rFonts w:ascii="Arial" w:hAnsi="Arial" w:cs="Arial"/>
          <w:i/>
          <w:iCs/>
          <w:sz w:val="20"/>
          <w:szCs w:val="20"/>
        </w:rPr>
        <w:t>q</w:t>
      </w:r>
      <w:r w:rsidRPr="0099348E">
        <w:rPr>
          <w:rFonts w:ascii="Arial" w:hAnsi="Arial" w:cs="Arial"/>
          <w:sz w:val="20"/>
          <w:szCs w:val="20"/>
        </w:rPr>
        <w:t>-value &lt;0.05 was considered statistically significant.</w:t>
      </w:r>
    </w:p>
    <w:p w14:paraId="172C81D7" w14:textId="7311F61A" w:rsidR="00456B42" w:rsidRPr="0099348E" w:rsidRDefault="0099348E" w:rsidP="0099348E">
      <w:pPr>
        <w:spacing w:line="240" w:lineRule="auto"/>
        <w:rPr>
          <w:rFonts w:ascii="Arial" w:hAnsi="Arial" w:cs="Arial"/>
          <w:sz w:val="20"/>
          <w:szCs w:val="20"/>
        </w:rPr>
      </w:pPr>
      <w:r w:rsidRPr="0099348E">
        <w:rPr>
          <w:rFonts w:ascii="Arial" w:hAnsi="Arial" w:cs="Arial"/>
          <w:sz w:val="20"/>
          <w:szCs w:val="20"/>
        </w:rPr>
        <w:t>Abbreviations: FDR, false discovery rate; GDF15, growth differentiation factor 15; PECAM1, platelet endothelial cell adhesion molecule 1; T2DM, type 2 diabetes mellitus.</w:t>
      </w:r>
    </w:p>
    <w:sectPr w:rsidR="00456B42" w:rsidRPr="009934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42"/>
    <w:rsid w:val="002371A3"/>
    <w:rsid w:val="00316840"/>
    <w:rsid w:val="00456B42"/>
    <w:rsid w:val="00814925"/>
    <w:rsid w:val="00840260"/>
    <w:rsid w:val="00856760"/>
    <w:rsid w:val="008A2EE5"/>
    <w:rsid w:val="008F6F55"/>
    <w:rsid w:val="0099348E"/>
    <w:rsid w:val="009A5E8B"/>
    <w:rsid w:val="00B37210"/>
    <w:rsid w:val="00B64205"/>
    <w:rsid w:val="00CF1198"/>
    <w:rsid w:val="00D14AB1"/>
    <w:rsid w:val="00F0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3C0F"/>
  <w15:chartTrackingRefBased/>
  <w15:docId w15:val="{3EE14E0E-C947-4D00-A585-8D1DE671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before="100" w:beforeAutospacing="1" w:after="100" w:afterAutospacing="1"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56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6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6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6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6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6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6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6B42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6B42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6B4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6B4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6B4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6B4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6B42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6B4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6B42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6B4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6B42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456B42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56B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456B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56B4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456B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56B42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456B4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56B4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56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56B42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456B4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56B4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xtoindependiente"/>
    <w:next w:val="Textoindependiente"/>
    <w:qFormat/>
    <w:rsid w:val="00456B42"/>
    <w:pPr>
      <w:spacing w:before="180" w:beforeAutospacing="0" w:after="180" w:afterAutospacing="0" w:line="240" w:lineRule="auto"/>
      <w:jc w:val="left"/>
    </w:pPr>
    <w:rPr>
      <w:kern w:val="0"/>
      <w14:ligatures w14:val="non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56B4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56B4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492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Pavón Morón</dc:creator>
  <cp:keywords/>
  <dc:description/>
  <cp:lastModifiedBy>Francisco Javier Pavón Morón</cp:lastModifiedBy>
  <cp:revision>7</cp:revision>
  <dcterms:created xsi:type="dcterms:W3CDTF">2026-06-18T17:15:00Z</dcterms:created>
  <dcterms:modified xsi:type="dcterms:W3CDTF">2026-06-26T09:23:00Z</dcterms:modified>
</cp:coreProperties>
</file>