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34F504" w14:textId="54A17DC0" w:rsidR="00183A75" w:rsidRPr="00EA2BE2" w:rsidRDefault="00183A75" w:rsidP="004124C0">
      <w:pPr>
        <w:pStyle w:val="Title"/>
        <w:rPr>
          <w:rFonts w:cstheme="majorHAnsi"/>
          <w:sz w:val="52"/>
          <w:szCs w:val="52"/>
        </w:rPr>
      </w:pPr>
      <w:bookmarkStart w:id="0" w:name="_Toc8653190"/>
      <w:r>
        <w:rPr>
          <w:lang w:val="en-AU"/>
        </w:rPr>
        <w:t>Appendix</w:t>
      </w:r>
      <w:bookmarkEnd w:id="0"/>
      <w:r w:rsidR="00904B73">
        <w:rPr>
          <w:lang w:val="en-AU"/>
        </w:rPr>
        <w:t xml:space="preserve"> for </w:t>
      </w:r>
      <w:r w:rsidR="00D06ED5">
        <w:rPr>
          <w:lang w:val="en-US"/>
        </w:rPr>
        <w:t>“</w:t>
      </w:r>
      <w:r w:rsidR="00EA2BE2" w:rsidRPr="00EA2BE2">
        <w:rPr>
          <w:rFonts w:cstheme="majorHAnsi"/>
          <w:b/>
          <w:bCs/>
          <w:sz w:val="52"/>
          <w:szCs w:val="52"/>
        </w:rPr>
        <w:t>Comparing health gains, costs and cost-effectiveness of 100s of interventions in Australia and New Zealand</w:t>
      </w:r>
      <w:r w:rsidR="00F32F67">
        <w:rPr>
          <w:rFonts w:cstheme="majorHAnsi"/>
          <w:b/>
          <w:bCs/>
          <w:sz w:val="52"/>
          <w:szCs w:val="52"/>
        </w:rPr>
        <w:t>:</w:t>
      </w:r>
      <w:r w:rsidR="00EA2BE2" w:rsidRPr="00EA2BE2">
        <w:rPr>
          <w:rFonts w:cstheme="majorHAnsi"/>
          <w:b/>
          <w:bCs/>
          <w:sz w:val="52"/>
          <w:szCs w:val="52"/>
        </w:rPr>
        <w:t xml:space="preserve"> an online interactive league table</w:t>
      </w:r>
      <w:r w:rsidR="00D06ED5" w:rsidRPr="00EA2BE2">
        <w:rPr>
          <w:rFonts w:cstheme="majorHAnsi"/>
          <w:sz w:val="52"/>
          <w:szCs w:val="52"/>
          <w:lang w:val="en-AU"/>
        </w:rPr>
        <w:t>”</w:t>
      </w:r>
    </w:p>
    <w:p w14:paraId="42D35CF3" w14:textId="41A19B5D" w:rsidR="004124C0" w:rsidRDefault="004124C0" w:rsidP="004124C0">
      <w:pPr>
        <w:rPr>
          <w:lang w:val="en-AU"/>
        </w:rPr>
      </w:pPr>
    </w:p>
    <w:sdt>
      <w:sdtPr>
        <w:rPr>
          <w:rFonts w:asciiTheme="minorHAnsi" w:eastAsiaTheme="minorHAnsi" w:hAnsiTheme="minorHAnsi" w:cstheme="minorBidi"/>
          <w:color w:val="auto"/>
          <w:sz w:val="22"/>
          <w:szCs w:val="22"/>
          <w:lang w:val="en-NZ"/>
        </w:rPr>
        <w:id w:val="1267655548"/>
        <w:docPartObj>
          <w:docPartGallery w:val="Table of Contents"/>
          <w:docPartUnique/>
        </w:docPartObj>
      </w:sdtPr>
      <w:sdtEndPr>
        <w:rPr>
          <w:b/>
          <w:bCs/>
          <w:noProof/>
        </w:rPr>
      </w:sdtEndPr>
      <w:sdtContent>
        <w:p w14:paraId="25653D0E" w14:textId="5D0862EA" w:rsidR="004124C0" w:rsidRDefault="004124C0">
          <w:pPr>
            <w:pStyle w:val="TOCHeading"/>
          </w:pPr>
          <w:r>
            <w:t>Contents</w:t>
          </w:r>
        </w:p>
        <w:p w14:paraId="75D9A03B" w14:textId="44569A63" w:rsidR="00204445" w:rsidRDefault="004124C0">
          <w:pPr>
            <w:pStyle w:val="TOC1"/>
            <w:tabs>
              <w:tab w:val="right" w:leader="dot" w:pos="13948"/>
            </w:tabs>
            <w:rPr>
              <w:rFonts w:eastAsiaTheme="minorEastAsia"/>
              <w:noProof/>
              <w:sz w:val="24"/>
              <w:szCs w:val="24"/>
              <w:lang w:val="en-AU" w:eastAsia="en-GB"/>
            </w:rPr>
          </w:pPr>
          <w:r>
            <w:fldChar w:fldCharType="begin"/>
          </w:r>
          <w:r>
            <w:instrText xml:space="preserve"> TOC \o "1-3" \h \z \u </w:instrText>
          </w:r>
          <w:r>
            <w:fldChar w:fldCharType="separate"/>
          </w:r>
          <w:hyperlink w:anchor="_Toc72761541" w:history="1">
            <w:r w:rsidR="00204445" w:rsidRPr="00BD227A">
              <w:rPr>
                <w:rStyle w:val="Hyperlink"/>
                <w:noProof/>
                <w:lang w:val="en-AU"/>
              </w:rPr>
              <w:t>Literature review strategy for Australian peer-reviewed publications</w:t>
            </w:r>
            <w:r w:rsidR="00204445">
              <w:rPr>
                <w:noProof/>
                <w:webHidden/>
              </w:rPr>
              <w:tab/>
            </w:r>
            <w:r w:rsidR="00204445">
              <w:rPr>
                <w:noProof/>
                <w:webHidden/>
              </w:rPr>
              <w:fldChar w:fldCharType="begin"/>
            </w:r>
            <w:r w:rsidR="00204445">
              <w:rPr>
                <w:noProof/>
                <w:webHidden/>
              </w:rPr>
              <w:instrText xml:space="preserve"> PAGEREF _Toc72761541 \h </w:instrText>
            </w:r>
            <w:r w:rsidR="00204445">
              <w:rPr>
                <w:noProof/>
                <w:webHidden/>
              </w:rPr>
            </w:r>
            <w:r w:rsidR="00204445">
              <w:rPr>
                <w:noProof/>
                <w:webHidden/>
              </w:rPr>
              <w:fldChar w:fldCharType="separate"/>
            </w:r>
            <w:r w:rsidR="00204445">
              <w:rPr>
                <w:noProof/>
                <w:webHidden/>
              </w:rPr>
              <w:t>2</w:t>
            </w:r>
            <w:r w:rsidR="00204445">
              <w:rPr>
                <w:noProof/>
                <w:webHidden/>
              </w:rPr>
              <w:fldChar w:fldCharType="end"/>
            </w:r>
          </w:hyperlink>
        </w:p>
        <w:p w14:paraId="38E4FD42" w14:textId="2521B410" w:rsidR="00204445" w:rsidRDefault="006145EE">
          <w:pPr>
            <w:pStyle w:val="TOC1"/>
            <w:tabs>
              <w:tab w:val="right" w:leader="dot" w:pos="13948"/>
            </w:tabs>
            <w:rPr>
              <w:rFonts w:eastAsiaTheme="minorEastAsia"/>
              <w:noProof/>
              <w:sz w:val="24"/>
              <w:szCs w:val="24"/>
              <w:lang w:val="en-AU" w:eastAsia="en-GB"/>
            </w:rPr>
          </w:pPr>
          <w:hyperlink w:anchor="_Toc72761542" w:history="1">
            <w:r w:rsidR="00204445" w:rsidRPr="00BD227A">
              <w:rPr>
                <w:rStyle w:val="Hyperlink"/>
                <w:noProof/>
                <w:lang w:val="en-AU"/>
              </w:rPr>
              <w:t>Publications with at least one included evaluation in this study</w:t>
            </w:r>
            <w:r w:rsidR="00204445">
              <w:rPr>
                <w:noProof/>
                <w:webHidden/>
              </w:rPr>
              <w:tab/>
            </w:r>
            <w:r w:rsidR="00204445">
              <w:rPr>
                <w:noProof/>
                <w:webHidden/>
              </w:rPr>
              <w:fldChar w:fldCharType="begin"/>
            </w:r>
            <w:r w:rsidR="00204445">
              <w:rPr>
                <w:noProof/>
                <w:webHidden/>
              </w:rPr>
              <w:instrText xml:space="preserve"> PAGEREF _Toc72761542 \h </w:instrText>
            </w:r>
            <w:r w:rsidR="00204445">
              <w:rPr>
                <w:noProof/>
                <w:webHidden/>
              </w:rPr>
            </w:r>
            <w:r w:rsidR="00204445">
              <w:rPr>
                <w:noProof/>
                <w:webHidden/>
              </w:rPr>
              <w:fldChar w:fldCharType="separate"/>
            </w:r>
            <w:r w:rsidR="00204445">
              <w:rPr>
                <w:noProof/>
                <w:webHidden/>
              </w:rPr>
              <w:t>3</w:t>
            </w:r>
            <w:r w:rsidR="00204445">
              <w:rPr>
                <w:noProof/>
                <w:webHidden/>
              </w:rPr>
              <w:fldChar w:fldCharType="end"/>
            </w:r>
          </w:hyperlink>
        </w:p>
        <w:p w14:paraId="43D49056" w14:textId="59D746FE" w:rsidR="00204445" w:rsidRDefault="006145EE">
          <w:pPr>
            <w:pStyle w:val="TOC1"/>
            <w:tabs>
              <w:tab w:val="right" w:leader="dot" w:pos="13948"/>
            </w:tabs>
            <w:rPr>
              <w:rFonts w:eastAsiaTheme="minorEastAsia"/>
              <w:noProof/>
              <w:sz w:val="24"/>
              <w:szCs w:val="24"/>
              <w:lang w:val="en-AU" w:eastAsia="en-GB"/>
            </w:rPr>
          </w:pPr>
          <w:hyperlink w:anchor="_Toc72761543" w:history="1">
            <w:r w:rsidR="00204445" w:rsidRPr="00BD227A">
              <w:rPr>
                <w:rStyle w:val="Hyperlink"/>
                <w:noProof/>
              </w:rPr>
              <w:t>Supplementary figures</w:t>
            </w:r>
            <w:r w:rsidR="00204445">
              <w:rPr>
                <w:noProof/>
                <w:webHidden/>
              </w:rPr>
              <w:tab/>
            </w:r>
            <w:r w:rsidR="00204445">
              <w:rPr>
                <w:noProof/>
                <w:webHidden/>
              </w:rPr>
              <w:fldChar w:fldCharType="begin"/>
            </w:r>
            <w:r w:rsidR="00204445">
              <w:rPr>
                <w:noProof/>
                <w:webHidden/>
              </w:rPr>
              <w:instrText xml:space="preserve"> PAGEREF _Toc72761543 \h </w:instrText>
            </w:r>
            <w:r w:rsidR="00204445">
              <w:rPr>
                <w:noProof/>
                <w:webHidden/>
              </w:rPr>
            </w:r>
            <w:r w:rsidR="00204445">
              <w:rPr>
                <w:noProof/>
                <w:webHidden/>
              </w:rPr>
              <w:fldChar w:fldCharType="separate"/>
            </w:r>
            <w:r w:rsidR="00204445">
              <w:rPr>
                <w:noProof/>
                <w:webHidden/>
              </w:rPr>
              <w:t>9</w:t>
            </w:r>
            <w:r w:rsidR="00204445">
              <w:rPr>
                <w:noProof/>
                <w:webHidden/>
              </w:rPr>
              <w:fldChar w:fldCharType="end"/>
            </w:r>
          </w:hyperlink>
        </w:p>
        <w:p w14:paraId="4CB21865" w14:textId="356BB8D7" w:rsidR="00204445" w:rsidRDefault="006145EE">
          <w:pPr>
            <w:pStyle w:val="TOC1"/>
            <w:tabs>
              <w:tab w:val="right" w:leader="dot" w:pos="13948"/>
            </w:tabs>
            <w:rPr>
              <w:rFonts w:eastAsiaTheme="minorEastAsia"/>
              <w:noProof/>
              <w:sz w:val="24"/>
              <w:szCs w:val="24"/>
              <w:lang w:val="en-AU" w:eastAsia="en-GB"/>
            </w:rPr>
          </w:pPr>
          <w:hyperlink w:anchor="_Toc72761544" w:history="1">
            <w:r w:rsidR="00204445" w:rsidRPr="00BD227A">
              <w:rPr>
                <w:rStyle w:val="Hyperlink"/>
                <w:noProof/>
              </w:rPr>
              <w:t>Examples of (interactive) leagues tables that already exist</w:t>
            </w:r>
            <w:r w:rsidR="00204445">
              <w:rPr>
                <w:noProof/>
                <w:webHidden/>
              </w:rPr>
              <w:tab/>
            </w:r>
            <w:r w:rsidR="00204445">
              <w:rPr>
                <w:noProof/>
                <w:webHidden/>
              </w:rPr>
              <w:fldChar w:fldCharType="begin"/>
            </w:r>
            <w:r w:rsidR="00204445">
              <w:rPr>
                <w:noProof/>
                <w:webHidden/>
              </w:rPr>
              <w:instrText xml:space="preserve"> PAGEREF _Toc72761544 \h </w:instrText>
            </w:r>
            <w:r w:rsidR="00204445">
              <w:rPr>
                <w:noProof/>
                <w:webHidden/>
              </w:rPr>
            </w:r>
            <w:r w:rsidR="00204445">
              <w:rPr>
                <w:noProof/>
                <w:webHidden/>
              </w:rPr>
              <w:fldChar w:fldCharType="separate"/>
            </w:r>
            <w:r w:rsidR="00204445">
              <w:rPr>
                <w:noProof/>
                <w:webHidden/>
              </w:rPr>
              <w:t>10</w:t>
            </w:r>
            <w:r w:rsidR="00204445">
              <w:rPr>
                <w:noProof/>
                <w:webHidden/>
              </w:rPr>
              <w:fldChar w:fldCharType="end"/>
            </w:r>
          </w:hyperlink>
        </w:p>
        <w:p w14:paraId="675EBCC5" w14:textId="4C55A871" w:rsidR="00204445" w:rsidRDefault="006145EE">
          <w:pPr>
            <w:pStyle w:val="TOC1"/>
            <w:tabs>
              <w:tab w:val="right" w:leader="dot" w:pos="13948"/>
            </w:tabs>
            <w:rPr>
              <w:rFonts w:eastAsiaTheme="minorEastAsia"/>
              <w:noProof/>
              <w:sz w:val="24"/>
              <w:szCs w:val="24"/>
              <w:lang w:val="en-AU" w:eastAsia="en-GB"/>
            </w:rPr>
          </w:pPr>
          <w:hyperlink w:anchor="_Toc72761545" w:history="1">
            <w:r w:rsidR="00204445" w:rsidRPr="00BD227A">
              <w:rPr>
                <w:rStyle w:val="Hyperlink"/>
                <w:noProof/>
              </w:rPr>
              <w:t>References</w:t>
            </w:r>
            <w:r w:rsidR="00204445">
              <w:rPr>
                <w:noProof/>
                <w:webHidden/>
              </w:rPr>
              <w:tab/>
            </w:r>
            <w:r w:rsidR="00204445">
              <w:rPr>
                <w:noProof/>
                <w:webHidden/>
              </w:rPr>
              <w:fldChar w:fldCharType="begin"/>
            </w:r>
            <w:r w:rsidR="00204445">
              <w:rPr>
                <w:noProof/>
                <w:webHidden/>
              </w:rPr>
              <w:instrText xml:space="preserve"> PAGEREF _Toc72761545 \h </w:instrText>
            </w:r>
            <w:r w:rsidR="00204445">
              <w:rPr>
                <w:noProof/>
                <w:webHidden/>
              </w:rPr>
            </w:r>
            <w:r w:rsidR="00204445">
              <w:rPr>
                <w:noProof/>
                <w:webHidden/>
              </w:rPr>
              <w:fldChar w:fldCharType="separate"/>
            </w:r>
            <w:r w:rsidR="00204445">
              <w:rPr>
                <w:noProof/>
                <w:webHidden/>
              </w:rPr>
              <w:t>12</w:t>
            </w:r>
            <w:r w:rsidR="00204445">
              <w:rPr>
                <w:noProof/>
                <w:webHidden/>
              </w:rPr>
              <w:fldChar w:fldCharType="end"/>
            </w:r>
          </w:hyperlink>
        </w:p>
        <w:p w14:paraId="37E40419" w14:textId="387CC8DA" w:rsidR="004124C0" w:rsidRDefault="004124C0">
          <w:r>
            <w:rPr>
              <w:b/>
              <w:bCs/>
              <w:noProof/>
            </w:rPr>
            <w:fldChar w:fldCharType="end"/>
          </w:r>
        </w:p>
      </w:sdtContent>
    </w:sdt>
    <w:p w14:paraId="6FD20464" w14:textId="77777777" w:rsidR="004124C0" w:rsidRPr="004124C0" w:rsidRDefault="004124C0" w:rsidP="004124C0">
      <w:pPr>
        <w:rPr>
          <w:lang w:val="en-AU"/>
        </w:rPr>
      </w:pPr>
    </w:p>
    <w:p w14:paraId="645926E8" w14:textId="77777777" w:rsidR="00D06ED5" w:rsidRPr="00D06ED5" w:rsidRDefault="00D06ED5" w:rsidP="00D06ED5">
      <w:pPr>
        <w:rPr>
          <w:lang w:val="en-AU"/>
        </w:rPr>
      </w:pPr>
    </w:p>
    <w:p w14:paraId="6D6A90C3" w14:textId="77777777" w:rsidR="004124C0" w:rsidRDefault="004124C0">
      <w:pPr>
        <w:rPr>
          <w:rFonts w:asciiTheme="majorHAnsi" w:eastAsiaTheme="majorEastAsia" w:hAnsiTheme="majorHAnsi" w:cstheme="majorBidi"/>
          <w:color w:val="2E74B5" w:themeColor="accent1" w:themeShade="BF"/>
          <w:sz w:val="32"/>
          <w:szCs w:val="32"/>
          <w:lang w:val="en-AU"/>
        </w:rPr>
      </w:pPr>
      <w:bookmarkStart w:id="1" w:name="_Toc8653191"/>
      <w:r>
        <w:rPr>
          <w:lang w:val="en-AU"/>
        </w:rPr>
        <w:br w:type="page"/>
      </w:r>
    </w:p>
    <w:p w14:paraId="1581D231" w14:textId="2D994EA3" w:rsidR="00B252BB" w:rsidRDefault="00433A37" w:rsidP="004124C0">
      <w:pPr>
        <w:pStyle w:val="Heading1"/>
        <w:rPr>
          <w:lang w:val="en-AU"/>
        </w:rPr>
      </w:pPr>
      <w:bookmarkStart w:id="2" w:name="_Toc72761541"/>
      <w:r>
        <w:rPr>
          <w:lang w:val="en-AU"/>
        </w:rPr>
        <w:lastRenderedPageBreak/>
        <w:t xml:space="preserve">Literature review strategy for Australian </w:t>
      </w:r>
      <w:r w:rsidR="00B252BB">
        <w:rPr>
          <w:lang w:val="en-AU"/>
        </w:rPr>
        <w:t>peer</w:t>
      </w:r>
      <w:r w:rsidR="00D64BD3">
        <w:rPr>
          <w:lang w:val="en-AU"/>
        </w:rPr>
        <w:t>-</w:t>
      </w:r>
      <w:r w:rsidR="00B252BB">
        <w:rPr>
          <w:lang w:val="en-AU"/>
        </w:rPr>
        <w:t>reviewed publications</w:t>
      </w:r>
      <w:bookmarkEnd w:id="1"/>
      <w:bookmarkEnd w:id="2"/>
    </w:p>
    <w:p w14:paraId="161E9B7E" w14:textId="17C5450A" w:rsidR="00410D37" w:rsidRDefault="00410D37" w:rsidP="00410D37">
      <w:pPr>
        <w:rPr>
          <w:rFonts w:cstheme="minorHAnsi"/>
        </w:rPr>
      </w:pPr>
      <w:r>
        <w:rPr>
          <w:rFonts w:cstheme="minorHAnsi"/>
        </w:rPr>
        <w:t xml:space="preserve">The literature review started with the evaluations </w:t>
      </w:r>
      <w:r w:rsidR="005A6BE6">
        <w:rPr>
          <w:rFonts w:cstheme="minorHAnsi"/>
        </w:rPr>
        <w:t>documented in</w:t>
      </w:r>
      <w:r>
        <w:rPr>
          <w:rFonts w:cstheme="minorHAnsi"/>
        </w:rPr>
        <w:t xml:space="preserve"> the ACE-Prevention Report. If the evaluation was </w:t>
      </w:r>
      <w:r w:rsidRPr="00141900">
        <w:rPr>
          <w:rFonts w:cstheme="minorHAnsi"/>
        </w:rPr>
        <w:t>subsequent</w:t>
      </w:r>
      <w:r w:rsidR="001D7344">
        <w:rPr>
          <w:rFonts w:cstheme="minorHAnsi"/>
        </w:rPr>
        <w:t>ly</w:t>
      </w:r>
      <w:r w:rsidRPr="00141900">
        <w:rPr>
          <w:rFonts w:cstheme="minorHAnsi"/>
        </w:rPr>
        <w:t xml:space="preserve"> </w:t>
      </w:r>
      <w:r>
        <w:rPr>
          <w:rFonts w:cstheme="minorHAnsi"/>
        </w:rPr>
        <w:t xml:space="preserve">published as a </w:t>
      </w:r>
      <w:r w:rsidRPr="00141900">
        <w:rPr>
          <w:rFonts w:cstheme="minorHAnsi"/>
        </w:rPr>
        <w:t>journal article</w:t>
      </w:r>
      <w:r>
        <w:rPr>
          <w:rFonts w:cstheme="minorHAnsi"/>
        </w:rPr>
        <w:t xml:space="preserve">, the extracted data </w:t>
      </w:r>
      <w:r w:rsidR="005A6BE6">
        <w:rPr>
          <w:rFonts w:cstheme="minorHAnsi"/>
        </w:rPr>
        <w:t xml:space="preserve">were obtained directly from the original journal </w:t>
      </w:r>
      <w:r>
        <w:rPr>
          <w:rFonts w:cstheme="minorHAnsi"/>
        </w:rPr>
        <w:t>article</w:t>
      </w:r>
      <w:r w:rsidRPr="00141900">
        <w:rPr>
          <w:rFonts w:cstheme="minorHAnsi"/>
        </w:rPr>
        <w:t xml:space="preserve">– as occasionally data was updated.  </w:t>
      </w:r>
      <w:r w:rsidR="005A6BE6">
        <w:rPr>
          <w:rFonts w:cstheme="minorHAnsi"/>
        </w:rPr>
        <w:t xml:space="preserve">Evaluations based on journal articles published prior to 2010 were excluded. </w:t>
      </w:r>
      <w:r w:rsidRPr="00141900">
        <w:rPr>
          <w:rFonts w:cstheme="minorHAnsi"/>
        </w:rPr>
        <w:t>Otherwise we used the outputs published in the original Report.</w:t>
      </w:r>
      <w:r>
        <w:rPr>
          <w:rFonts w:cstheme="minorHAnsi"/>
        </w:rPr>
        <w:t xml:space="preserve"> The literature search on PUBMED was based on the study authorship, listed in the Report appendices. From 2</w:t>
      </w:r>
      <w:r w:rsidR="009810E9">
        <w:rPr>
          <w:rFonts w:cstheme="minorHAnsi"/>
        </w:rPr>
        <w:t>31</w:t>
      </w:r>
      <w:r>
        <w:rPr>
          <w:rFonts w:cstheme="minorHAnsi"/>
        </w:rPr>
        <w:t xml:space="preserve"> evaluations originally published in the ACE-Prevention Report and analysed for this study, </w:t>
      </w:r>
      <w:r w:rsidR="008A50EE">
        <w:rPr>
          <w:rFonts w:cstheme="minorHAnsi"/>
        </w:rPr>
        <w:t>94</w:t>
      </w:r>
      <w:r>
        <w:rPr>
          <w:rFonts w:cstheme="minorHAnsi"/>
        </w:rPr>
        <w:t xml:space="preserve"> were published in </w:t>
      </w:r>
      <w:r w:rsidR="008A50EE">
        <w:rPr>
          <w:rFonts w:cstheme="minorHAnsi"/>
        </w:rPr>
        <w:t xml:space="preserve">subsequent </w:t>
      </w:r>
      <w:r>
        <w:rPr>
          <w:rFonts w:cstheme="minorHAnsi"/>
        </w:rPr>
        <w:t>peer-reviewed journals</w:t>
      </w:r>
      <w:r w:rsidR="008A50EE">
        <w:rPr>
          <w:rFonts w:cstheme="minorHAnsi"/>
        </w:rPr>
        <w:t xml:space="preserve"> (Figure 1 in main paper)</w:t>
      </w:r>
      <w:r>
        <w:rPr>
          <w:rFonts w:cstheme="minorHAnsi"/>
        </w:rPr>
        <w:t xml:space="preserve">. </w:t>
      </w:r>
    </w:p>
    <w:p w14:paraId="2F3FFB2E" w14:textId="77777777" w:rsidR="00410D37" w:rsidRDefault="00410D37" w:rsidP="00410D37">
      <w:pPr>
        <w:rPr>
          <w:rFonts w:cstheme="minorHAnsi"/>
        </w:rPr>
      </w:pPr>
      <w:r w:rsidRPr="009C4D90">
        <w:rPr>
          <w:rFonts w:cstheme="minorHAnsi"/>
        </w:rPr>
        <w:t>Evaluations not included in the ACE-Prevention Report, but subsequently published in peer reviewed journal up to and including 2018, using ACE methodology (and often including authors of the original Report)</w:t>
      </w:r>
      <w:r>
        <w:rPr>
          <w:rFonts w:cstheme="minorHAnsi"/>
        </w:rPr>
        <w:t xml:space="preserve"> were also included following the research by authorship and a third search.</w:t>
      </w:r>
    </w:p>
    <w:p w14:paraId="4493D559" w14:textId="3B2663C4" w:rsidR="00410D37" w:rsidRPr="00316E66" w:rsidRDefault="00410D37" w:rsidP="00410D37">
      <w:r>
        <w:rPr>
          <w:rFonts w:cstheme="minorHAnsi"/>
        </w:rPr>
        <w:t xml:space="preserve">We used </w:t>
      </w:r>
      <w:r w:rsidR="002B1AF0">
        <w:rPr>
          <w:rFonts w:cstheme="minorHAnsi"/>
        </w:rPr>
        <w:t>a</w:t>
      </w:r>
      <w:r>
        <w:rPr>
          <w:rFonts w:cstheme="minorHAnsi"/>
        </w:rPr>
        <w:t xml:space="preserve"> third search to capture Australian evaluations not using the ACE-Prevention methodology, </w:t>
      </w:r>
      <w:r w:rsidRPr="00316E66">
        <w:t>based on the PUBMED the strategy</w:t>
      </w:r>
      <w:r>
        <w:t xml:space="preserve"> for articles published from 2010</w:t>
      </w:r>
      <w:r w:rsidRPr="00316E66">
        <w:t xml:space="preserve">: </w:t>
      </w:r>
    </w:p>
    <w:p w14:paraId="766C95AA" w14:textId="6EAAB67E" w:rsidR="00410D37" w:rsidRDefault="00410D37" w:rsidP="00410D37">
      <w:pPr>
        <w:pStyle w:val="Default"/>
        <w:ind w:left="720"/>
        <w:rPr>
          <w:rFonts w:asciiTheme="minorHAnsi" w:hAnsiTheme="minorHAnsi" w:cstheme="minorHAnsi"/>
          <w:i/>
          <w:sz w:val="22"/>
          <w:szCs w:val="22"/>
        </w:rPr>
      </w:pPr>
      <w:r w:rsidRPr="00ED047F">
        <w:rPr>
          <w:rFonts w:asciiTheme="minorHAnsi" w:hAnsiTheme="minorHAnsi" w:cstheme="minorHAnsi"/>
          <w:i/>
          <w:sz w:val="22"/>
          <w:szCs w:val="22"/>
        </w:rPr>
        <w:t>(QALY$ or HALY or DALY or quality adjusted life year* or disability adjusted life year*)</w:t>
      </w:r>
      <w:r w:rsidRPr="00ED047F">
        <w:rPr>
          <w:rFonts w:asciiTheme="minorHAnsi" w:hAnsiTheme="minorHAnsi" w:cstheme="minorHAnsi"/>
          <w:i/>
          <w:sz w:val="22"/>
          <w:szCs w:val="22"/>
        </w:rPr>
        <w:br/>
        <w:t xml:space="preserve"> AND</w:t>
      </w:r>
      <w:r w:rsidRPr="00ED047F">
        <w:rPr>
          <w:rFonts w:asciiTheme="minorHAnsi" w:hAnsiTheme="minorHAnsi" w:cstheme="minorHAnsi"/>
          <w:i/>
          <w:sz w:val="22"/>
          <w:szCs w:val="22"/>
        </w:rPr>
        <w:br/>
        <w:t xml:space="preserve"> ((cost and effectiveness and analysis) or cost effective* or (cost and utility and analysis) or cost utility or cost benefit$ or (economic and evaluation) or economic evaluation)</w:t>
      </w:r>
      <w:r w:rsidRPr="00ED047F">
        <w:rPr>
          <w:rFonts w:asciiTheme="minorHAnsi" w:hAnsiTheme="minorHAnsi" w:cstheme="minorHAnsi"/>
          <w:i/>
          <w:sz w:val="22"/>
          <w:szCs w:val="22"/>
        </w:rPr>
        <w:br/>
        <w:t xml:space="preserve"> AND</w:t>
      </w:r>
      <w:r w:rsidRPr="00ED047F">
        <w:rPr>
          <w:rFonts w:asciiTheme="minorHAnsi" w:hAnsiTheme="minorHAnsi" w:cstheme="minorHAnsi"/>
          <w:i/>
          <w:sz w:val="22"/>
          <w:szCs w:val="22"/>
        </w:rPr>
        <w:br/>
        <w:t xml:space="preserve"> Australia*</w:t>
      </w:r>
      <w:r w:rsidR="00A23BB3">
        <w:rPr>
          <w:rFonts w:asciiTheme="minorHAnsi" w:hAnsiTheme="minorHAnsi" w:cstheme="minorHAnsi"/>
          <w:i/>
          <w:sz w:val="22"/>
          <w:szCs w:val="22"/>
        </w:rPr>
        <w:t xml:space="preserve"> or </w:t>
      </w:r>
      <w:r w:rsidR="004C1A26" w:rsidRPr="004C1A26">
        <w:rPr>
          <w:rFonts w:asciiTheme="minorHAnsi" w:hAnsiTheme="minorHAnsi" w:cstheme="minorHAnsi"/>
          <w:i/>
          <w:sz w:val="22"/>
          <w:szCs w:val="22"/>
        </w:rPr>
        <w:t>New Zealand</w:t>
      </w:r>
      <w:r w:rsidR="004C1A26">
        <w:rPr>
          <w:rFonts w:asciiTheme="minorHAnsi" w:hAnsiTheme="minorHAnsi" w:cstheme="minorHAnsi"/>
          <w:i/>
          <w:sz w:val="22"/>
          <w:szCs w:val="22"/>
        </w:rPr>
        <w:t>.</w:t>
      </w:r>
    </w:p>
    <w:p w14:paraId="2627E35B" w14:textId="77777777" w:rsidR="004C1A26" w:rsidRPr="004C1A26" w:rsidRDefault="004C1A26" w:rsidP="004C1A26">
      <w:pPr>
        <w:pStyle w:val="Default"/>
        <w:rPr>
          <w:rFonts w:asciiTheme="minorHAnsi" w:hAnsiTheme="minorHAnsi" w:cstheme="minorHAnsi"/>
          <w:i/>
          <w:sz w:val="22"/>
          <w:szCs w:val="22"/>
        </w:rPr>
      </w:pPr>
    </w:p>
    <w:p w14:paraId="3EB68EE6" w14:textId="2001D534" w:rsidR="00410D37" w:rsidRDefault="00410D37" w:rsidP="00410D37">
      <w:r w:rsidRPr="00316E66">
        <w:t>From the initial search</w:t>
      </w:r>
      <w:r>
        <w:t>, 704 abstracts were read, and 172 potential articles identified for full text review</w:t>
      </w:r>
      <w:r w:rsidR="00C817DD">
        <w:t>.  D</w:t>
      </w:r>
      <w:r>
        <w:t xml:space="preserve">ata </w:t>
      </w:r>
      <w:r w:rsidR="00AD71B6">
        <w:t xml:space="preserve">were </w:t>
      </w:r>
      <w:r>
        <w:t>extracted from 2</w:t>
      </w:r>
      <w:r w:rsidR="00075722">
        <w:t>3</w:t>
      </w:r>
      <w:r>
        <w:t xml:space="preserve"> articles using ACE-Prevention methodology </w:t>
      </w:r>
      <w:r w:rsidR="00AD71B6">
        <w:t xml:space="preserve">and </w:t>
      </w:r>
      <w:r>
        <w:t>incorporate</w:t>
      </w:r>
      <w:r w:rsidR="00D2453F">
        <w:t>d in</w:t>
      </w:r>
      <w:r>
        <w:t>to the ANZ-HILT (7</w:t>
      </w:r>
      <w:r w:rsidR="00075722">
        <w:t>2</w:t>
      </w:r>
      <w:r>
        <w:t xml:space="preserve"> evaluations</w:t>
      </w:r>
      <w:r w:rsidR="00AD71B6">
        <w:t>)</w:t>
      </w:r>
      <w:r w:rsidR="00C817DD">
        <w:t xml:space="preserve">. </w:t>
      </w:r>
      <w:r w:rsidR="00075722">
        <w:t>(</w:t>
      </w:r>
      <w:r w:rsidR="00C817DD">
        <w:t>Additional</w:t>
      </w:r>
      <w:r w:rsidR="00075722">
        <w:t xml:space="preserve"> </w:t>
      </w:r>
      <w:r w:rsidRPr="00A45F21">
        <w:t xml:space="preserve">articles </w:t>
      </w:r>
      <w:r w:rsidR="00A45F21" w:rsidRPr="00A45F21">
        <w:t xml:space="preserve">and </w:t>
      </w:r>
      <w:r w:rsidRPr="00A45F21">
        <w:t>evaluations not using the</w:t>
      </w:r>
      <w:r w:rsidR="00C817DD" w:rsidRPr="00A45F21">
        <w:t xml:space="preserve"> ACE</w:t>
      </w:r>
      <w:r w:rsidRPr="00A45F21">
        <w:t xml:space="preserve"> methodology</w:t>
      </w:r>
      <w:r w:rsidR="00C817DD" w:rsidRPr="00A45F21">
        <w:t xml:space="preserve"> were </w:t>
      </w:r>
      <w:r w:rsidR="009563A1" w:rsidRPr="00A45F21">
        <w:t>eligible and included in ANZ-HILT</w:t>
      </w:r>
      <w:r w:rsidRPr="00A45F21">
        <w:t xml:space="preserve">, but not </w:t>
      </w:r>
      <w:r w:rsidR="009563A1" w:rsidRPr="00A45F21">
        <w:t xml:space="preserve">included in </w:t>
      </w:r>
      <w:r w:rsidRPr="00A45F21">
        <w:t>this study.</w:t>
      </w:r>
      <w:r w:rsidR="00A45F21" w:rsidRPr="00A45F21">
        <w:t>)</w:t>
      </w:r>
      <w:r>
        <w:t xml:space="preserve"> </w:t>
      </w:r>
    </w:p>
    <w:p w14:paraId="7C94D602" w14:textId="1F2CE5A2" w:rsidR="00410D37" w:rsidRPr="00316E66" w:rsidRDefault="00410D37" w:rsidP="00410D37">
      <w:r>
        <w:t>A report published in December 2018 (</w:t>
      </w:r>
      <w:r w:rsidRPr="00BA0D32">
        <w:rPr>
          <w:rFonts w:cstheme="minorHAnsi"/>
        </w:rPr>
        <w:t>Assessing Cost-Effectiveness of Obesity Prevention Policies in Australia</w:t>
      </w:r>
      <w:r>
        <w:rPr>
          <w:rFonts w:cstheme="minorHAnsi"/>
        </w:rPr>
        <w:t xml:space="preserve">) was also included adding 15 </w:t>
      </w:r>
      <w:r w:rsidR="001D7344">
        <w:rPr>
          <w:rFonts w:cstheme="minorHAnsi"/>
        </w:rPr>
        <w:t xml:space="preserve">more </w:t>
      </w:r>
      <w:r>
        <w:rPr>
          <w:rFonts w:cstheme="minorHAnsi"/>
        </w:rPr>
        <w:t>evaluations</w:t>
      </w:r>
      <w:r w:rsidRPr="004B3D61">
        <w:rPr>
          <w:rFonts w:cstheme="minorHAnsi"/>
        </w:rPr>
        <w:t xml:space="preserve"> </w:t>
      </w:r>
      <w:r w:rsidRPr="009C4D90">
        <w:rPr>
          <w:rFonts w:cstheme="minorHAnsi"/>
        </w:rPr>
        <w:t>(</w:t>
      </w:r>
      <w:r>
        <w:rPr>
          <w:rFonts w:cstheme="minorHAnsi"/>
        </w:rPr>
        <w:fldChar w:fldCharType="begin"/>
      </w:r>
      <w:r>
        <w:rPr>
          <w:rFonts w:cstheme="minorHAnsi"/>
        </w:rPr>
        <w:instrText xml:space="preserve"> REF _Ref536715470 \h </w:instrText>
      </w:r>
      <w:r>
        <w:rPr>
          <w:rFonts w:cstheme="minorHAnsi"/>
        </w:rPr>
      </w:r>
      <w:r>
        <w:rPr>
          <w:rFonts w:cstheme="minorHAnsi"/>
        </w:rPr>
        <w:fldChar w:fldCharType="separate"/>
      </w:r>
      <w:r>
        <w:t xml:space="preserve">Figure </w:t>
      </w:r>
      <w:r>
        <w:rPr>
          <w:noProof/>
        </w:rPr>
        <w:t>1</w:t>
      </w:r>
      <w:r>
        <w:rPr>
          <w:rFonts w:cstheme="minorHAnsi"/>
        </w:rPr>
        <w:fldChar w:fldCharType="end"/>
      </w:r>
      <w:r w:rsidRPr="009C4D90">
        <w:rPr>
          <w:rFonts w:cstheme="minorHAnsi"/>
        </w:rPr>
        <w:t>).</w:t>
      </w:r>
    </w:p>
    <w:p w14:paraId="74E2FD5D" w14:textId="63568431" w:rsidR="004124C0" w:rsidRDefault="00410D37" w:rsidP="00410D37">
      <w:pPr>
        <w:rPr>
          <w:rFonts w:cstheme="minorHAnsi"/>
        </w:rPr>
      </w:pPr>
      <w:r>
        <w:rPr>
          <w:rFonts w:cstheme="minorHAnsi"/>
        </w:rPr>
        <w:t xml:space="preserve">A list of included publications is provided </w:t>
      </w:r>
      <w:r w:rsidR="009B534C">
        <w:rPr>
          <w:rFonts w:cstheme="minorHAnsi"/>
        </w:rPr>
        <w:t>below</w:t>
      </w:r>
      <w:r>
        <w:rPr>
          <w:rFonts w:cstheme="minorHAnsi"/>
        </w:rPr>
        <w:t>.</w:t>
      </w:r>
    </w:p>
    <w:p w14:paraId="091A3A53" w14:textId="77777777" w:rsidR="004124C0" w:rsidRDefault="004124C0">
      <w:pPr>
        <w:rPr>
          <w:rFonts w:cstheme="minorHAnsi"/>
        </w:rPr>
      </w:pPr>
      <w:r>
        <w:rPr>
          <w:rFonts w:cstheme="minorHAnsi"/>
        </w:rPr>
        <w:br w:type="page"/>
      </w:r>
    </w:p>
    <w:p w14:paraId="603A6B17" w14:textId="5008FA55" w:rsidR="00C53A16" w:rsidRDefault="00C53A16" w:rsidP="00A47BA7">
      <w:pPr>
        <w:pStyle w:val="Heading1"/>
        <w:rPr>
          <w:lang w:val="en-AU"/>
        </w:rPr>
      </w:pPr>
      <w:bookmarkStart w:id="3" w:name="_Publications_with_at"/>
      <w:bookmarkStart w:id="4" w:name="_Toc8653192"/>
      <w:bookmarkStart w:id="5" w:name="_Toc72761542"/>
      <w:bookmarkEnd w:id="3"/>
      <w:r w:rsidRPr="00C53A16">
        <w:rPr>
          <w:lang w:val="en-AU"/>
        </w:rPr>
        <w:lastRenderedPageBreak/>
        <w:t xml:space="preserve">Publications with at least one included evaluation in this </w:t>
      </w:r>
      <w:bookmarkEnd w:id="4"/>
      <w:r w:rsidR="0080592C">
        <w:rPr>
          <w:lang w:val="en-AU"/>
        </w:rPr>
        <w:t>study</w:t>
      </w:r>
      <w:bookmarkEnd w:id="5"/>
    </w:p>
    <w:p w14:paraId="207D705B" w14:textId="0B30B725" w:rsidR="00390A0D" w:rsidRDefault="00390A0D" w:rsidP="003E2959">
      <w:pPr>
        <w:pStyle w:val="Caption"/>
      </w:pPr>
    </w:p>
    <w:tbl>
      <w:tblPr>
        <w:tblStyle w:val="TableGrid"/>
        <w:tblW w:w="0" w:type="auto"/>
        <w:tblLook w:val="04A0" w:firstRow="1" w:lastRow="0" w:firstColumn="1" w:lastColumn="0" w:noHBand="0" w:noVBand="1"/>
      </w:tblPr>
      <w:tblGrid>
        <w:gridCol w:w="9016"/>
      </w:tblGrid>
      <w:tr w:rsidR="00390A0D" w14:paraId="0469E4A2" w14:textId="77777777" w:rsidTr="00390A0D">
        <w:tc>
          <w:tcPr>
            <w:tcW w:w="9016" w:type="dxa"/>
          </w:tcPr>
          <w:p w14:paraId="7C05C52A" w14:textId="14E9185C" w:rsidR="00390A0D" w:rsidRPr="006311C6" w:rsidRDefault="00390A0D" w:rsidP="00305301">
            <w:pPr>
              <w:spacing w:before="120" w:after="120"/>
              <w:rPr>
                <w:rFonts w:asciiTheme="minorHAnsi" w:hAnsiTheme="minorHAnsi" w:cstheme="minorHAnsi"/>
                <w:i/>
              </w:rPr>
            </w:pPr>
            <w:r w:rsidRPr="006311C6">
              <w:rPr>
                <w:rFonts w:asciiTheme="minorHAnsi" w:hAnsiTheme="minorHAnsi" w:cstheme="minorHAnsi"/>
                <w:i/>
              </w:rPr>
              <w:t>A</w:t>
            </w:r>
            <w:r w:rsidR="00D64BD3" w:rsidRPr="006311C6">
              <w:rPr>
                <w:rFonts w:asciiTheme="minorHAnsi" w:hAnsiTheme="minorHAnsi" w:cstheme="minorHAnsi"/>
                <w:i/>
              </w:rPr>
              <w:t>CE-</w:t>
            </w:r>
            <w:r w:rsidRPr="006311C6">
              <w:rPr>
                <w:rFonts w:asciiTheme="minorHAnsi" w:hAnsiTheme="minorHAnsi" w:cstheme="minorHAnsi"/>
                <w:i/>
              </w:rPr>
              <w:t>Prevention Report as primary source</w:t>
            </w:r>
          </w:p>
        </w:tc>
      </w:tr>
      <w:tr w:rsidR="00390A0D" w14:paraId="32BAD99B" w14:textId="77777777" w:rsidTr="00390A0D">
        <w:tc>
          <w:tcPr>
            <w:tcW w:w="9016" w:type="dxa"/>
          </w:tcPr>
          <w:p w14:paraId="6D74BE71" w14:textId="1540C21F" w:rsidR="00390A0D" w:rsidRPr="006311C6" w:rsidRDefault="00553BE8" w:rsidP="00305301">
            <w:pPr>
              <w:autoSpaceDE w:val="0"/>
              <w:autoSpaceDN w:val="0"/>
              <w:adjustRightInd w:val="0"/>
              <w:spacing w:before="120" w:after="240"/>
              <w:ind w:left="720" w:hanging="720"/>
              <w:rPr>
                <w:rFonts w:asciiTheme="minorHAnsi" w:hAnsiTheme="minorHAnsi" w:cstheme="minorHAnsi"/>
                <w:lang w:val="en-US"/>
              </w:rPr>
            </w:pPr>
            <w:r w:rsidRPr="007F4BFF">
              <w:rPr>
                <w:rFonts w:ascii="Calibri" w:hAnsi="Calibri" w:cstheme="minorHAnsi"/>
                <w:lang w:val="en-US"/>
              </w:rPr>
              <w:t xml:space="preserve">Vos T, Carter R, </w:t>
            </w:r>
            <w:proofErr w:type="spellStart"/>
            <w:r w:rsidRPr="007F4BFF">
              <w:rPr>
                <w:rFonts w:ascii="Calibri" w:hAnsi="Calibri" w:cstheme="minorHAnsi"/>
                <w:lang w:val="en-US"/>
              </w:rPr>
              <w:t>Barendregt</w:t>
            </w:r>
            <w:proofErr w:type="spellEnd"/>
            <w:r w:rsidRPr="007F4BFF">
              <w:rPr>
                <w:rFonts w:ascii="Calibri" w:hAnsi="Calibri" w:cstheme="minorHAnsi"/>
                <w:lang w:val="en-US"/>
              </w:rPr>
              <w:t xml:space="preserve"> J, et al. </w:t>
            </w:r>
            <w:r w:rsidRPr="006311C6">
              <w:rPr>
                <w:rFonts w:asciiTheme="minorHAnsi" w:hAnsiTheme="minorHAnsi" w:cstheme="minorHAnsi"/>
                <w:lang w:val="en-US"/>
              </w:rPr>
              <w:t>Assessing Cost-Effectiveness in the Prevention (Ace-Prevention): Final Report: University of Queensland and Deakin University, 2010.</w:t>
            </w:r>
          </w:p>
        </w:tc>
      </w:tr>
      <w:tr w:rsidR="00390A0D" w14:paraId="7EB637FE" w14:textId="77777777" w:rsidTr="00390A0D">
        <w:tc>
          <w:tcPr>
            <w:tcW w:w="9016" w:type="dxa"/>
          </w:tcPr>
          <w:p w14:paraId="453AE028" w14:textId="7D770423" w:rsidR="00390A0D" w:rsidRPr="006311C6" w:rsidRDefault="00390A0D" w:rsidP="00305301">
            <w:pPr>
              <w:spacing w:before="120" w:after="120"/>
              <w:rPr>
                <w:rFonts w:asciiTheme="minorHAnsi" w:hAnsiTheme="minorHAnsi" w:cstheme="minorHAnsi"/>
                <w:i/>
              </w:rPr>
            </w:pPr>
            <w:r w:rsidRPr="006311C6">
              <w:rPr>
                <w:rFonts w:asciiTheme="minorHAnsi" w:hAnsiTheme="minorHAnsi" w:cstheme="minorHAnsi"/>
                <w:i/>
              </w:rPr>
              <w:t>Initially in ACE-Prevention Report, but subsequently published in a peer reviewed journal article that was used as primary source</w:t>
            </w:r>
            <w:r w:rsidR="00470F82">
              <w:rPr>
                <w:rFonts w:asciiTheme="minorHAnsi" w:hAnsiTheme="minorHAnsi" w:cstheme="minorHAnsi"/>
                <w:i/>
              </w:rPr>
              <w:t xml:space="preserve"> (between </w:t>
            </w:r>
            <w:r w:rsidR="00161A3D">
              <w:rPr>
                <w:rFonts w:asciiTheme="minorHAnsi" w:hAnsiTheme="minorHAnsi" w:cstheme="minorHAnsi"/>
                <w:i/>
              </w:rPr>
              <w:t xml:space="preserve">2010 </w:t>
            </w:r>
            <w:r w:rsidR="00470F82">
              <w:rPr>
                <w:rFonts w:asciiTheme="minorHAnsi" w:hAnsiTheme="minorHAnsi" w:cstheme="minorHAnsi"/>
                <w:i/>
              </w:rPr>
              <w:t>and 2014)</w:t>
            </w:r>
          </w:p>
        </w:tc>
      </w:tr>
      <w:tr w:rsidR="003B7C68" w14:paraId="1D05E116" w14:textId="77777777" w:rsidTr="00390A0D">
        <w:tc>
          <w:tcPr>
            <w:tcW w:w="9016" w:type="dxa"/>
          </w:tcPr>
          <w:p w14:paraId="45971099" w14:textId="77777777" w:rsidR="003B7C68" w:rsidRPr="006311C6" w:rsidRDefault="003B7C68" w:rsidP="00305301">
            <w:pPr>
              <w:pStyle w:val="EndNoteBibliography"/>
              <w:spacing w:before="120"/>
              <w:ind w:left="720" w:hanging="720"/>
              <w:rPr>
                <w:rFonts w:asciiTheme="minorHAnsi" w:hAnsiTheme="minorHAnsi" w:cstheme="minorHAnsi"/>
              </w:rPr>
            </w:pPr>
            <w:r w:rsidRPr="006311C6">
              <w:rPr>
                <w:rFonts w:asciiTheme="minorHAnsi" w:hAnsiTheme="minorHAnsi" w:cstheme="minorHAnsi"/>
              </w:rPr>
              <w:t xml:space="preserve">Byrnes JM, Cobiac LJ, Doran CM, et al. Cost-effectiveness of volumetric alcohol taxation in Australia. </w:t>
            </w:r>
            <w:r w:rsidRPr="006311C6">
              <w:rPr>
                <w:rFonts w:asciiTheme="minorHAnsi" w:hAnsiTheme="minorHAnsi" w:cstheme="minorHAnsi"/>
                <w:i/>
              </w:rPr>
              <w:t>The Medical journal of Australia</w:t>
            </w:r>
            <w:r w:rsidRPr="006311C6">
              <w:rPr>
                <w:rFonts w:asciiTheme="minorHAnsi" w:hAnsiTheme="minorHAnsi" w:cstheme="minorHAnsi"/>
              </w:rPr>
              <w:t xml:space="preserve"> 2010;192(8):439-43. [published Online First: 2010/04/21]</w:t>
            </w:r>
          </w:p>
          <w:p w14:paraId="4F64A26F" w14:textId="77777777" w:rsidR="003B7C68" w:rsidRPr="006311C6" w:rsidRDefault="003B7C68" w:rsidP="003B7C68">
            <w:pPr>
              <w:pStyle w:val="EndNoteBibliography"/>
              <w:ind w:left="720" w:hanging="720"/>
              <w:rPr>
                <w:rFonts w:asciiTheme="minorHAnsi" w:hAnsiTheme="minorHAnsi" w:cstheme="minorHAnsi"/>
              </w:rPr>
            </w:pPr>
            <w:r w:rsidRPr="006311C6">
              <w:rPr>
                <w:rFonts w:asciiTheme="minorHAnsi" w:hAnsiTheme="minorHAnsi" w:cstheme="minorHAnsi"/>
              </w:rPr>
              <w:t xml:space="preserve">Cobiac LJ, Magnus A, Barendregt JJ, et al. Improving the cost-effectiveness of cardiovascular disease prevention in Australia: a modelling study. </w:t>
            </w:r>
            <w:r w:rsidRPr="006311C6">
              <w:rPr>
                <w:rFonts w:asciiTheme="minorHAnsi" w:hAnsiTheme="minorHAnsi" w:cstheme="minorHAnsi"/>
                <w:i/>
              </w:rPr>
              <w:t>BMC public health</w:t>
            </w:r>
            <w:r w:rsidRPr="006311C6">
              <w:rPr>
                <w:rFonts w:asciiTheme="minorHAnsi" w:hAnsiTheme="minorHAnsi" w:cstheme="minorHAnsi"/>
              </w:rPr>
              <w:t xml:space="preserve"> 2012;12:398.</w:t>
            </w:r>
          </w:p>
          <w:p w14:paraId="62B868E5" w14:textId="77777777" w:rsidR="003B7C68" w:rsidRPr="006311C6" w:rsidRDefault="003B7C68" w:rsidP="003B7C68">
            <w:pPr>
              <w:pStyle w:val="EndNoteBibliography"/>
              <w:ind w:left="720" w:hanging="720"/>
              <w:rPr>
                <w:rFonts w:asciiTheme="minorHAnsi" w:hAnsiTheme="minorHAnsi" w:cstheme="minorHAnsi"/>
              </w:rPr>
            </w:pPr>
            <w:r w:rsidRPr="006311C6">
              <w:rPr>
                <w:rFonts w:asciiTheme="minorHAnsi" w:hAnsiTheme="minorHAnsi" w:cstheme="minorHAnsi"/>
              </w:rPr>
              <w:t xml:space="preserve">Cobiac LJ, Vos T. Cost-effectiveness of extending the coverage of water supply fluoridation for the prevention of dental caries in Australia. </w:t>
            </w:r>
            <w:r w:rsidRPr="006311C6">
              <w:rPr>
                <w:rFonts w:asciiTheme="minorHAnsi" w:hAnsiTheme="minorHAnsi" w:cstheme="minorHAnsi"/>
                <w:i/>
              </w:rPr>
              <w:t>Community Dentistry &amp; Oral Epidemiology</w:t>
            </w:r>
            <w:r w:rsidRPr="006311C6">
              <w:rPr>
                <w:rFonts w:asciiTheme="minorHAnsi" w:hAnsiTheme="minorHAnsi" w:cstheme="minorHAnsi"/>
              </w:rPr>
              <w:t xml:space="preserve"> 2012;40(4):369-76.</w:t>
            </w:r>
          </w:p>
          <w:p w14:paraId="3C469E84" w14:textId="77777777" w:rsidR="003B7C68" w:rsidRPr="006311C6" w:rsidRDefault="003B7C68" w:rsidP="003B7C68">
            <w:pPr>
              <w:pStyle w:val="EndNoteBibliography"/>
              <w:ind w:left="720" w:hanging="720"/>
              <w:rPr>
                <w:rFonts w:asciiTheme="minorHAnsi" w:hAnsiTheme="minorHAnsi" w:cstheme="minorHAnsi"/>
              </w:rPr>
            </w:pPr>
            <w:r w:rsidRPr="006311C6">
              <w:rPr>
                <w:rFonts w:asciiTheme="minorHAnsi" w:hAnsiTheme="minorHAnsi" w:cstheme="minorHAnsi"/>
                <w:lang w:val="en-AU"/>
              </w:rPr>
              <w:t xml:space="preserve">Cobiac LJ, Vos T, Veerman JL. </w:t>
            </w:r>
            <w:r w:rsidRPr="006311C6">
              <w:rPr>
                <w:rFonts w:asciiTheme="minorHAnsi" w:hAnsiTheme="minorHAnsi" w:cstheme="minorHAnsi"/>
              </w:rPr>
              <w:t xml:space="preserve">Cost-effectiveness of interventions to promote fruit and vegetable consumption. </w:t>
            </w:r>
            <w:r w:rsidRPr="006311C6">
              <w:rPr>
                <w:rFonts w:asciiTheme="minorHAnsi" w:hAnsiTheme="minorHAnsi" w:cstheme="minorHAnsi"/>
                <w:i/>
              </w:rPr>
              <w:t>PLoS ONE [Electronic Resource]</w:t>
            </w:r>
            <w:r w:rsidRPr="006311C6">
              <w:rPr>
                <w:rFonts w:asciiTheme="minorHAnsi" w:hAnsiTheme="minorHAnsi" w:cstheme="minorHAnsi"/>
              </w:rPr>
              <w:t xml:space="preserve"> 2010;5(11):e14148.</w:t>
            </w:r>
          </w:p>
          <w:p w14:paraId="7C3C0D1C" w14:textId="77777777" w:rsidR="003B7C68" w:rsidRPr="006311C6" w:rsidRDefault="003B7C68" w:rsidP="003B7C68">
            <w:pPr>
              <w:pStyle w:val="EndNoteBibliography"/>
              <w:ind w:left="720" w:hanging="720"/>
              <w:rPr>
                <w:rFonts w:asciiTheme="minorHAnsi" w:hAnsiTheme="minorHAnsi" w:cstheme="minorHAnsi"/>
              </w:rPr>
            </w:pPr>
            <w:r w:rsidRPr="006311C6">
              <w:rPr>
                <w:rFonts w:asciiTheme="minorHAnsi" w:hAnsiTheme="minorHAnsi" w:cstheme="minorHAnsi"/>
                <w:lang w:val="en-AU"/>
              </w:rPr>
              <w:t xml:space="preserve">Cobiac LJ, Vos T, Veerman JL. </w:t>
            </w:r>
            <w:r w:rsidRPr="006311C6">
              <w:rPr>
                <w:rFonts w:asciiTheme="minorHAnsi" w:hAnsiTheme="minorHAnsi" w:cstheme="minorHAnsi"/>
              </w:rPr>
              <w:t xml:space="preserve">Cost-effectiveness of interventions to reduce dietary salt intake. </w:t>
            </w:r>
            <w:r w:rsidRPr="006311C6">
              <w:rPr>
                <w:rFonts w:asciiTheme="minorHAnsi" w:hAnsiTheme="minorHAnsi" w:cstheme="minorHAnsi"/>
                <w:i/>
              </w:rPr>
              <w:t>Heart (British Cardiac Society)</w:t>
            </w:r>
            <w:r w:rsidRPr="006311C6">
              <w:rPr>
                <w:rFonts w:asciiTheme="minorHAnsi" w:hAnsiTheme="minorHAnsi" w:cstheme="minorHAnsi"/>
              </w:rPr>
              <w:t xml:space="preserve"> 2010;96(23):1920-5.</w:t>
            </w:r>
          </w:p>
          <w:p w14:paraId="26CFDF3D" w14:textId="77777777" w:rsidR="003B7C68" w:rsidRPr="006311C6" w:rsidRDefault="003B7C68" w:rsidP="003B7C68">
            <w:pPr>
              <w:pStyle w:val="EndNoteBibliography"/>
              <w:ind w:left="720" w:hanging="720"/>
              <w:rPr>
                <w:rFonts w:asciiTheme="minorHAnsi" w:hAnsiTheme="minorHAnsi" w:cstheme="minorHAnsi"/>
              </w:rPr>
            </w:pPr>
            <w:r w:rsidRPr="006311C6">
              <w:rPr>
                <w:rFonts w:asciiTheme="minorHAnsi" w:hAnsiTheme="minorHAnsi" w:cstheme="minorHAnsi"/>
              </w:rPr>
              <w:t xml:space="preserve">Cobiac L, Vos T, Veerman L. Cost-effectiveness of Weight Watchers and the Lighten Up to a Healthy Lifestyle program. </w:t>
            </w:r>
            <w:r w:rsidRPr="006311C6">
              <w:rPr>
                <w:rFonts w:asciiTheme="minorHAnsi" w:hAnsiTheme="minorHAnsi" w:cstheme="minorHAnsi"/>
                <w:i/>
              </w:rPr>
              <w:t>Australian &amp; New Zealand Journal of Public Health</w:t>
            </w:r>
            <w:r w:rsidRPr="006311C6">
              <w:rPr>
                <w:rFonts w:asciiTheme="minorHAnsi" w:hAnsiTheme="minorHAnsi" w:cstheme="minorHAnsi"/>
              </w:rPr>
              <w:t xml:space="preserve"> 2010;34(3):240-7.</w:t>
            </w:r>
          </w:p>
          <w:p w14:paraId="03EE18D6" w14:textId="77777777" w:rsidR="003B7C68" w:rsidRPr="006311C6" w:rsidRDefault="003B7C68" w:rsidP="003B7C68">
            <w:pPr>
              <w:pStyle w:val="EndNoteBibliography"/>
              <w:ind w:left="720" w:hanging="720"/>
              <w:rPr>
                <w:rFonts w:asciiTheme="minorHAnsi" w:hAnsiTheme="minorHAnsi" w:cstheme="minorHAnsi"/>
              </w:rPr>
            </w:pPr>
            <w:r w:rsidRPr="006311C6">
              <w:rPr>
                <w:rFonts w:asciiTheme="minorHAnsi" w:hAnsiTheme="minorHAnsi" w:cstheme="minorHAnsi"/>
              </w:rPr>
              <w:t xml:space="preserve">Forster M, Veerman JL, Barendregt JJ, et al. Cost-effectiveness of diet and exercise interventions to reduce overweight and obesity. </w:t>
            </w:r>
            <w:r w:rsidRPr="006311C6">
              <w:rPr>
                <w:rFonts w:asciiTheme="minorHAnsi" w:hAnsiTheme="minorHAnsi" w:cstheme="minorHAnsi"/>
                <w:i/>
              </w:rPr>
              <w:t>International Journal of Obesity</w:t>
            </w:r>
            <w:r w:rsidRPr="006311C6">
              <w:rPr>
                <w:rFonts w:asciiTheme="minorHAnsi" w:hAnsiTheme="minorHAnsi" w:cstheme="minorHAnsi"/>
              </w:rPr>
              <w:t xml:space="preserve"> 2011;35(8):1071-8.</w:t>
            </w:r>
          </w:p>
          <w:p w14:paraId="603B7D84" w14:textId="77777777" w:rsidR="003B7C68" w:rsidRPr="006311C6" w:rsidRDefault="003B7C68" w:rsidP="003B7C68">
            <w:pPr>
              <w:pStyle w:val="EndNoteBibliography"/>
              <w:ind w:left="720" w:hanging="720"/>
              <w:rPr>
                <w:rFonts w:asciiTheme="minorHAnsi" w:hAnsiTheme="minorHAnsi" w:cstheme="minorHAnsi"/>
              </w:rPr>
            </w:pPr>
            <w:r w:rsidRPr="006311C6">
              <w:rPr>
                <w:rFonts w:asciiTheme="minorHAnsi" w:hAnsiTheme="minorHAnsi" w:cstheme="minorHAnsi"/>
              </w:rPr>
              <w:t xml:space="preserve">Higashi H, Barendregt JJ. Cost-effectiveness of total hip and knee replacements for the Australian population with osteoarthritis: discrete-event simulation model. </w:t>
            </w:r>
            <w:r w:rsidRPr="006311C6">
              <w:rPr>
                <w:rFonts w:asciiTheme="minorHAnsi" w:hAnsiTheme="minorHAnsi" w:cstheme="minorHAnsi"/>
                <w:i/>
              </w:rPr>
              <w:t>PloS one</w:t>
            </w:r>
            <w:r w:rsidRPr="006311C6">
              <w:rPr>
                <w:rFonts w:asciiTheme="minorHAnsi" w:hAnsiTheme="minorHAnsi" w:cstheme="minorHAnsi"/>
              </w:rPr>
              <w:t xml:space="preserve"> 2011;6(9):e25403. doi: 10.1371/journal.pone.0025403 [published Online First: 2011/10/04]</w:t>
            </w:r>
          </w:p>
          <w:p w14:paraId="654B1E7F" w14:textId="77777777" w:rsidR="003B7C68" w:rsidRPr="006311C6" w:rsidRDefault="003B7C68" w:rsidP="003B7C68">
            <w:pPr>
              <w:pStyle w:val="EndNoteBibliography"/>
              <w:ind w:left="720" w:hanging="720"/>
              <w:rPr>
                <w:rFonts w:asciiTheme="minorHAnsi" w:hAnsiTheme="minorHAnsi" w:cstheme="minorHAnsi"/>
              </w:rPr>
            </w:pPr>
            <w:r w:rsidRPr="006311C6">
              <w:rPr>
                <w:rFonts w:asciiTheme="minorHAnsi" w:hAnsiTheme="minorHAnsi" w:cstheme="minorHAnsi"/>
                <w:lang w:val="en-AU"/>
              </w:rPr>
              <w:t xml:space="preserve">Mihalopoulos C, Vos T, Pirkis J, et al. </w:t>
            </w:r>
            <w:r w:rsidRPr="006311C6">
              <w:rPr>
                <w:rFonts w:asciiTheme="minorHAnsi" w:hAnsiTheme="minorHAnsi" w:cstheme="minorHAnsi"/>
              </w:rPr>
              <w:t xml:space="preserve">The population cost-effectiveness of interventions designed to prevent childhood depression. </w:t>
            </w:r>
            <w:r w:rsidRPr="006311C6">
              <w:rPr>
                <w:rFonts w:asciiTheme="minorHAnsi" w:hAnsiTheme="minorHAnsi" w:cstheme="minorHAnsi"/>
                <w:i/>
              </w:rPr>
              <w:t>Pediatrics</w:t>
            </w:r>
            <w:r w:rsidRPr="006311C6">
              <w:rPr>
                <w:rFonts w:asciiTheme="minorHAnsi" w:hAnsiTheme="minorHAnsi" w:cstheme="minorHAnsi"/>
              </w:rPr>
              <w:t xml:space="preserve"> 2012;129(3):e723-30. doi: 10.1542/peds.2011-1823 [published Online First: 2012/02/09]</w:t>
            </w:r>
          </w:p>
          <w:p w14:paraId="0DDDDD69" w14:textId="77777777" w:rsidR="003B7C68" w:rsidRPr="006311C6" w:rsidRDefault="003B7C68" w:rsidP="003B7C68">
            <w:pPr>
              <w:pStyle w:val="EndNoteBibliography"/>
              <w:ind w:left="720" w:hanging="720"/>
              <w:rPr>
                <w:rFonts w:asciiTheme="minorHAnsi" w:hAnsiTheme="minorHAnsi" w:cstheme="minorHAnsi"/>
              </w:rPr>
            </w:pPr>
            <w:r w:rsidRPr="006311C6">
              <w:rPr>
                <w:rFonts w:asciiTheme="minorHAnsi" w:hAnsiTheme="minorHAnsi" w:cstheme="minorHAnsi"/>
              </w:rPr>
              <w:t xml:space="preserve">Mogasale V, Barendregt J. Cost-effectiveness of influenza vaccination of people aged 50-64 years in Australia: results are inconclusive. </w:t>
            </w:r>
            <w:r w:rsidRPr="006311C6">
              <w:rPr>
                <w:rFonts w:asciiTheme="minorHAnsi" w:hAnsiTheme="minorHAnsi" w:cstheme="minorHAnsi"/>
                <w:i/>
              </w:rPr>
              <w:t>Australian and New Zealand journal of public health</w:t>
            </w:r>
            <w:r w:rsidRPr="006311C6">
              <w:rPr>
                <w:rFonts w:asciiTheme="minorHAnsi" w:hAnsiTheme="minorHAnsi" w:cstheme="minorHAnsi"/>
              </w:rPr>
              <w:t xml:space="preserve"> 2011;35(2):180-6. doi: 10.1111/j.1753-6405.2010.00639.x [published Online First: 2011/04/06]</w:t>
            </w:r>
          </w:p>
          <w:p w14:paraId="1383AE82" w14:textId="77777777" w:rsidR="003B7C68" w:rsidRPr="006311C6" w:rsidRDefault="003B7C68" w:rsidP="003B7C68">
            <w:pPr>
              <w:pStyle w:val="EndNoteBibliography"/>
              <w:ind w:left="720" w:hanging="720"/>
              <w:rPr>
                <w:rFonts w:asciiTheme="minorHAnsi" w:hAnsiTheme="minorHAnsi" w:cstheme="minorHAnsi"/>
              </w:rPr>
            </w:pPr>
            <w:r w:rsidRPr="006311C6">
              <w:rPr>
                <w:rFonts w:asciiTheme="minorHAnsi" w:hAnsiTheme="minorHAnsi" w:cstheme="minorHAnsi"/>
              </w:rPr>
              <w:lastRenderedPageBreak/>
              <w:t xml:space="preserve">Mogasale V, Vos T. Cost-effectiveness of asthma clinic approach in the management of chronic asthma in Australia. </w:t>
            </w:r>
            <w:r w:rsidRPr="006311C6">
              <w:rPr>
                <w:rFonts w:asciiTheme="minorHAnsi" w:hAnsiTheme="minorHAnsi" w:cstheme="minorHAnsi"/>
                <w:i/>
              </w:rPr>
              <w:t>Australian and New Zealand journal of public health</w:t>
            </w:r>
            <w:r w:rsidRPr="006311C6">
              <w:rPr>
                <w:rFonts w:asciiTheme="minorHAnsi" w:hAnsiTheme="minorHAnsi" w:cstheme="minorHAnsi"/>
              </w:rPr>
              <w:t xml:space="preserve"> 2013;37(3):205-10. doi: 10.1111/1753-6405.12060 [published Online First: 2013/06/05]</w:t>
            </w:r>
          </w:p>
          <w:p w14:paraId="019645D5" w14:textId="77777777" w:rsidR="00A921E7" w:rsidRDefault="003B7C68" w:rsidP="003B7C68">
            <w:pPr>
              <w:pStyle w:val="EndNoteBibliography"/>
              <w:ind w:left="720" w:hanging="720"/>
              <w:rPr>
                <w:rFonts w:asciiTheme="minorHAnsi" w:hAnsiTheme="minorHAnsi" w:cstheme="minorHAnsi"/>
              </w:rPr>
            </w:pPr>
            <w:r w:rsidRPr="006311C6">
              <w:rPr>
                <w:rFonts w:asciiTheme="minorHAnsi" w:hAnsiTheme="minorHAnsi" w:cstheme="minorHAnsi"/>
                <w:lang w:val="pt-BR"/>
              </w:rPr>
              <w:t xml:space="preserve">Ong KS, Carter R, Vos T, et al. </w:t>
            </w:r>
            <w:r w:rsidRPr="006311C6">
              <w:rPr>
                <w:rFonts w:asciiTheme="minorHAnsi" w:hAnsiTheme="minorHAnsi" w:cstheme="minorHAnsi"/>
              </w:rPr>
              <w:t xml:space="preserve">Cost-effectiveness of interventions to prevent cardiovascular disease in Australia's indigenous population. </w:t>
            </w:r>
            <w:r w:rsidRPr="006311C6">
              <w:rPr>
                <w:rFonts w:asciiTheme="minorHAnsi" w:hAnsiTheme="minorHAnsi" w:cstheme="minorHAnsi"/>
                <w:i/>
              </w:rPr>
              <w:t>Heart, lung &amp; circulation</w:t>
            </w:r>
            <w:r w:rsidRPr="006311C6">
              <w:rPr>
                <w:rFonts w:asciiTheme="minorHAnsi" w:hAnsiTheme="minorHAnsi" w:cstheme="minorHAnsi"/>
              </w:rPr>
              <w:t xml:space="preserve"> 2014;23(5):414-21. doi: 10.1016/j.hlc.2013.10.084 [published Online First: 2013/11/21]</w:t>
            </w:r>
          </w:p>
          <w:p w14:paraId="3DCA6EE5" w14:textId="3F46EED8" w:rsidR="003B7C68" w:rsidRPr="006311C6" w:rsidRDefault="00A921E7" w:rsidP="003B7C68">
            <w:pPr>
              <w:pStyle w:val="EndNoteBibliography"/>
              <w:ind w:left="720" w:hanging="720"/>
              <w:rPr>
                <w:rFonts w:asciiTheme="minorHAnsi" w:hAnsiTheme="minorHAnsi" w:cstheme="minorHAnsi"/>
              </w:rPr>
            </w:pPr>
            <w:r w:rsidRPr="00A921E7">
              <w:rPr>
                <w:rFonts w:asciiTheme="minorHAnsi" w:hAnsiTheme="minorHAnsi" w:cstheme="minorHAnsi"/>
              </w:rPr>
              <w:t>Sacks</w:t>
            </w:r>
            <w:r w:rsidR="00F64FB0">
              <w:rPr>
                <w:rFonts w:asciiTheme="minorHAnsi" w:hAnsiTheme="minorHAnsi" w:cstheme="minorHAnsi"/>
              </w:rPr>
              <w:t xml:space="preserve"> G</w:t>
            </w:r>
            <w:r w:rsidRPr="00A921E7">
              <w:rPr>
                <w:rFonts w:asciiTheme="minorHAnsi" w:hAnsiTheme="minorHAnsi" w:cstheme="minorHAnsi"/>
              </w:rPr>
              <w:t>, Veerman</w:t>
            </w:r>
            <w:r w:rsidR="00F64FB0">
              <w:rPr>
                <w:rFonts w:asciiTheme="minorHAnsi" w:hAnsiTheme="minorHAnsi" w:cstheme="minorHAnsi"/>
              </w:rPr>
              <w:t xml:space="preserve"> JL</w:t>
            </w:r>
            <w:r w:rsidRPr="00A921E7">
              <w:rPr>
                <w:rFonts w:asciiTheme="minorHAnsi" w:hAnsiTheme="minorHAnsi" w:cstheme="minorHAnsi"/>
              </w:rPr>
              <w:t>, Moodie</w:t>
            </w:r>
            <w:r w:rsidR="00F64FB0">
              <w:rPr>
                <w:rFonts w:asciiTheme="minorHAnsi" w:hAnsiTheme="minorHAnsi" w:cstheme="minorHAnsi"/>
              </w:rPr>
              <w:t xml:space="preserve"> M</w:t>
            </w:r>
            <w:r w:rsidR="001A5533">
              <w:rPr>
                <w:rFonts w:asciiTheme="minorHAnsi" w:hAnsiTheme="minorHAnsi" w:cstheme="minorHAnsi"/>
              </w:rPr>
              <w:t>,</w:t>
            </w:r>
            <w:r w:rsidRPr="00A921E7">
              <w:rPr>
                <w:rFonts w:asciiTheme="minorHAnsi" w:hAnsiTheme="minorHAnsi" w:cstheme="minorHAnsi"/>
              </w:rPr>
              <w:t xml:space="preserve"> Swinburn</w:t>
            </w:r>
            <w:r w:rsidR="001A5533">
              <w:rPr>
                <w:rFonts w:asciiTheme="minorHAnsi" w:hAnsiTheme="minorHAnsi" w:cstheme="minorHAnsi"/>
              </w:rPr>
              <w:t xml:space="preserve"> B.</w:t>
            </w:r>
            <w:r w:rsidR="001A5533">
              <w:t xml:space="preserve"> ‘Traffic-light’ nutrition labelling and ‘junk-food’ tax: a modelled comparison of cost-effectiveness for obesity prevention.</w:t>
            </w:r>
            <w:r w:rsidR="00FB372C">
              <w:rPr>
                <w:rFonts w:ascii="Arial" w:hAnsi="Arial" w:cs="Arial"/>
                <w:color w:val="000000"/>
                <w:sz w:val="17"/>
                <w:szCs w:val="17"/>
                <w:shd w:val="clear" w:color="auto" w:fill="FFFFFF"/>
              </w:rPr>
              <w:t xml:space="preserve"> </w:t>
            </w:r>
            <w:hyperlink r:id="rId11" w:tooltip="International journal of obesity (2005)." w:history="1">
              <w:r w:rsidR="00FB372C">
                <w:rPr>
                  <w:rStyle w:val="Hyperlink"/>
                  <w:rFonts w:ascii="Arial" w:hAnsi="Arial" w:cs="Arial"/>
                  <w:color w:val="660066"/>
                  <w:sz w:val="17"/>
                  <w:szCs w:val="17"/>
                  <w:shd w:val="clear" w:color="auto" w:fill="FFFFFF"/>
                </w:rPr>
                <w:t>Int J Obes (Lond).</w:t>
              </w:r>
            </w:hyperlink>
            <w:r w:rsidR="00FB372C">
              <w:rPr>
                <w:rFonts w:ascii="Arial" w:hAnsi="Arial" w:cs="Arial"/>
                <w:color w:val="000000"/>
                <w:sz w:val="17"/>
                <w:szCs w:val="17"/>
                <w:shd w:val="clear" w:color="auto" w:fill="FFFFFF"/>
              </w:rPr>
              <w:t> 2011 Jul;35(7):1001-9. doi: 10.1038/ijo.2010.228. Epub 2010 Nov 16.</w:t>
            </w:r>
          </w:p>
          <w:p w14:paraId="2F8F06D5" w14:textId="61FDC96B" w:rsidR="00C3731D" w:rsidRPr="008E43C5" w:rsidRDefault="00C3731D" w:rsidP="008E43C5">
            <w:pPr>
              <w:spacing w:after="240"/>
              <w:ind w:left="732" w:hanging="709"/>
              <w:rPr>
                <w:rFonts w:asciiTheme="minorHAnsi" w:hAnsiTheme="minorHAnsi" w:cstheme="minorHAnsi"/>
              </w:rPr>
            </w:pPr>
            <w:proofErr w:type="spellStart"/>
            <w:r w:rsidRPr="008E43C5">
              <w:rPr>
                <w:rFonts w:asciiTheme="minorHAnsi" w:hAnsiTheme="minorHAnsi" w:cstheme="minorHAnsi"/>
                <w:color w:val="303030"/>
                <w:shd w:val="clear" w:color="auto" w:fill="FFFFFF"/>
              </w:rPr>
              <w:t>Veerman</w:t>
            </w:r>
            <w:proofErr w:type="spellEnd"/>
            <w:r w:rsidRPr="008E43C5">
              <w:rPr>
                <w:rFonts w:asciiTheme="minorHAnsi" w:hAnsiTheme="minorHAnsi" w:cstheme="minorHAnsi"/>
                <w:color w:val="303030"/>
                <w:shd w:val="clear" w:color="auto" w:fill="FFFFFF"/>
              </w:rPr>
              <w:t xml:space="preserve"> JL, </w:t>
            </w:r>
            <w:proofErr w:type="spellStart"/>
            <w:r w:rsidRPr="008E43C5">
              <w:rPr>
                <w:rFonts w:asciiTheme="minorHAnsi" w:hAnsiTheme="minorHAnsi" w:cstheme="minorHAnsi"/>
                <w:color w:val="303030"/>
                <w:shd w:val="clear" w:color="auto" w:fill="FFFFFF"/>
              </w:rPr>
              <w:t>Barendregt</w:t>
            </w:r>
            <w:proofErr w:type="spellEnd"/>
            <w:r w:rsidRPr="008E43C5">
              <w:rPr>
                <w:rFonts w:asciiTheme="minorHAnsi" w:hAnsiTheme="minorHAnsi" w:cstheme="minorHAnsi"/>
                <w:color w:val="303030"/>
                <w:shd w:val="clear" w:color="auto" w:fill="FFFFFF"/>
              </w:rPr>
              <w:t xml:space="preserve"> JJ, Forster M, Vos T. Cost-effectiveness of pharmacotherapy to reduce obesity. </w:t>
            </w:r>
            <w:proofErr w:type="spellStart"/>
            <w:r w:rsidRPr="008E43C5">
              <w:rPr>
                <w:rFonts w:asciiTheme="minorHAnsi" w:hAnsiTheme="minorHAnsi" w:cstheme="minorHAnsi"/>
                <w:i/>
                <w:iCs/>
                <w:color w:val="303030"/>
                <w:shd w:val="clear" w:color="auto" w:fill="FFFFFF"/>
              </w:rPr>
              <w:t>PLoS</w:t>
            </w:r>
            <w:proofErr w:type="spellEnd"/>
            <w:r w:rsidRPr="008E43C5">
              <w:rPr>
                <w:rFonts w:asciiTheme="minorHAnsi" w:hAnsiTheme="minorHAnsi" w:cstheme="minorHAnsi"/>
                <w:i/>
                <w:iCs/>
                <w:color w:val="303030"/>
                <w:shd w:val="clear" w:color="auto" w:fill="FFFFFF"/>
              </w:rPr>
              <w:t xml:space="preserve"> One</w:t>
            </w:r>
            <w:r w:rsidRPr="008E43C5">
              <w:rPr>
                <w:rFonts w:asciiTheme="minorHAnsi" w:hAnsiTheme="minorHAnsi" w:cstheme="minorHAnsi"/>
                <w:color w:val="303030"/>
                <w:shd w:val="clear" w:color="auto" w:fill="FFFFFF"/>
              </w:rPr>
              <w:t>.</w:t>
            </w:r>
            <w:r w:rsidR="00976B85">
              <w:rPr>
                <w:rFonts w:asciiTheme="minorHAnsi" w:hAnsiTheme="minorHAnsi" w:cstheme="minorHAnsi"/>
                <w:color w:val="303030"/>
                <w:shd w:val="clear" w:color="auto" w:fill="FFFFFF"/>
              </w:rPr>
              <w:t>2011</w:t>
            </w:r>
            <w:r w:rsidRPr="008E43C5">
              <w:rPr>
                <w:rFonts w:asciiTheme="minorHAnsi" w:hAnsiTheme="minorHAnsi" w:cstheme="minorHAnsi"/>
                <w:color w:val="303030"/>
                <w:shd w:val="clear" w:color="auto" w:fill="FFFFFF"/>
              </w:rPr>
              <w:t xml:space="preserve"> ;6(10</w:t>
            </w:r>
            <w:proofErr w:type="gramStart"/>
            <w:r w:rsidRPr="008E43C5">
              <w:rPr>
                <w:rFonts w:asciiTheme="minorHAnsi" w:hAnsiTheme="minorHAnsi" w:cstheme="minorHAnsi"/>
                <w:color w:val="303030"/>
                <w:shd w:val="clear" w:color="auto" w:fill="FFFFFF"/>
              </w:rPr>
              <w:t>):e</w:t>
            </w:r>
            <w:proofErr w:type="gramEnd"/>
            <w:r w:rsidRPr="008E43C5">
              <w:rPr>
                <w:rFonts w:asciiTheme="minorHAnsi" w:hAnsiTheme="minorHAnsi" w:cstheme="minorHAnsi"/>
                <w:color w:val="303030"/>
                <w:shd w:val="clear" w:color="auto" w:fill="FFFFFF"/>
              </w:rPr>
              <w:t xml:space="preserve">26051. </w:t>
            </w:r>
            <w:proofErr w:type="gramStart"/>
            <w:r w:rsidRPr="008E43C5">
              <w:rPr>
                <w:rFonts w:asciiTheme="minorHAnsi" w:hAnsiTheme="minorHAnsi" w:cstheme="minorHAnsi"/>
                <w:color w:val="303030"/>
                <w:shd w:val="clear" w:color="auto" w:fill="FFFFFF"/>
              </w:rPr>
              <w:t>doi:10.1371/journal.pone</w:t>
            </w:r>
            <w:proofErr w:type="gramEnd"/>
            <w:r w:rsidRPr="008E43C5">
              <w:rPr>
                <w:rFonts w:asciiTheme="minorHAnsi" w:hAnsiTheme="minorHAnsi" w:cstheme="minorHAnsi"/>
                <w:color w:val="303030"/>
                <w:shd w:val="clear" w:color="auto" w:fill="FFFFFF"/>
              </w:rPr>
              <w:t>.0026051</w:t>
            </w:r>
          </w:p>
        </w:tc>
      </w:tr>
      <w:tr w:rsidR="003B7C68" w14:paraId="5448C24D" w14:textId="77777777" w:rsidTr="00390A0D">
        <w:tc>
          <w:tcPr>
            <w:tcW w:w="9016" w:type="dxa"/>
          </w:tcPr>
          <w:p w14:paraId="0598DC51" w14:textId="53662D18" w:rsidR="003B7C68" w:rsidRPr="006311C6" w:rsidRDefault="003B7C68" w:rsidP="00305301">
            <w:pPr>
              <w:spacing w:before="120" w:after="120"/>
              <w:rPr>
                <w:rFonts w:asciiTheme="minorHAnsi" w:hAnsiTheme="minorHAnsi" w:cstheme="minorHAnsi"/>
                <w:i/>
              </w:rPr>
            </w:pPr>
            <w:r w:rsidRPr="006311C6">
              <w:rPr>
                <w:rFonts w:asciiTheme="minorHAnsi" w:hAnsiTheme="minorHAnsi" w:cstheme="minorHAnsi"/>
                <w:i/>
              </w:rPr>
              <w:lastRenderedPageBreak/>
              <w:t>ACE methodology evaluation, not in ACE-Prevention Report, published in a peer reviewed journal 2010-18 inclusive</w:t>
            </w:r>
          </w:p>
        </w:tc>
      </w:tr>
      <w:tr w:rsidR="00BA0D32" w14:paraId="35FFD01F" w14:textId="77777777" w:rsidTr="00390A0D">
        <w:tc>
          <w:tcPr>
            <w:tcW w:w="9016" w:type="dxa"/>
          </w:tcPr>
          <w:p w14:paraId="5C9F1F27" w14:textId="77777777" w:rsidR="00BA0D32" w:rsidRPr="00BA0D32" w:rsidRDefault="00BA0D32" w:rsidP="00305301">
            <w:pPr>
              <w:pStyle w:val="EndNoteBibliography"/>
              <w:spacing w:before="120"/>
              <w:ind w:left="720" w:hanging="720"/>
              <w:rPr>
                <w:rFonts w:asciiTheme="minorHAnsi" w:hAnsiTheme="minorHAnsi" w:cstheme="minorHAnsi"/>
              </w:rPr>
            </w:pPr>
            <w:r w:rsidRPr="00BA0D32">
              <w:rPr>
                <w:rFonts w:asciiTheme="minorHAnsi" w:hAnsiTheme="minorHAnsi" w:cstheme="minorHAnsi"/>
              </w:rPr>
              <w:t>Ananthapavan J, Sacks G, Brown V, et al. Assessing Cost-Effectiveness of Obesity Prevention Policies in Australia 2018 (ACE-Obesity Policy). Melbourne: Deakin University, 2018.</w:t>
            </w:r>
          </w:p>
          <w:p w14:paraId="5F7AFE85" w14:textId="77777777" w:rsidR="00BA0D32" w:rsidRPr="00BA0D32" w:rsidRDefault="00BA0D32" w:rsidP="00BA0D32">
            <w:pPr>
              <w:pStyle w:val="EndNoteBibliography"/>
              <w:ind w:left="720" w:hanging="720"/>
              <w:rPr>
                <w:rFonts w:asciiTheme="minorHAnsi" w:hAnsiTheme="minorHAnsi" w:cstheme="minorHAnsi"/>
              </w:rPr>
            </w:pPr>
            <w:r w:rsidRPr="00BA0D32">
              <w:rPr>
                <w:rFonts w:asciiTheme="minorHAnsi" w:hAnsiTheme="minorHAnsi" w:cstheme="minorHAnsi"/>
              </w:rPr>
              <w:t xml:space="preserve">Ananthapavan J, Moodie M, Haby M, et al. Assessing cost-effectiveness in obesity: laparoscopic adjustable gastric banding for severely obese adolescents. </w:t>
            </w:r>
            <w:r w:rsidRPr="00BA0D32">
              <w:rPr>
                <w:rFonts w:asciiTheme="minorHAnsi" w:hAnsiTheme="minorHAnsi" w:cstheme="minorHAnsi"/>
                <w:i/>
              </w:rPr>
              <w:t>Surgery for Obesity &amp; Related Diseases</w:t>
            </w:r>
            <w:r w:rsidRPr="00BA0D32">
              <w:rPr>
                <w:rFonts w:asciiTheme="minorHAnsi" w:hAnsiTheme="minorHAnsi" w:cstheme="minorHAnsi"/>
              </w:rPr>
              <w:t xml:space="preserve"> 2010;6(4):377-85.</w:t>
            </w:r>
          </w:p>
          <w:p w14:paraId="0C832EFA" w14:textId="77777777" w:rsidR="00BA0D32" w:rsidRPr="00BA0D32" w:rsidRDefault="00BA0D32" w:rsidP="00BA0D32">
            <w:pPr>
              <w:pStyle w:val="EndNoteBibliography"/>
              <w:ind w:left="720" w:hanging="720"/>
              <w:rPr>
                <w:rFonts w:asciiTheme="minorHAnsi" w:hAnsiTheme="minorHAnsi" w:cstheme="minorHAnsi"/>
              </w:rPr>
            </w:pPr>
            <w:r w:rsidRPr="00BA0D32">
              <w:rPr>
                <w:rFonts w:asciiTheme="minorHAnsi" w:hAnsiTheme="minorHAnsi" w:cstheme="minorHAnsi"/>
              </w:rPr>
              <w:t xml:space="preserve">Brown V, Moodie M, Cobiac L, et al. Obesity-related health impacts of active transport policies in Australia - a policy review and health impact modelling study. </w:t>
            </w:r>
            <w:r w:rsidRPr="00BA0D32">
              <w:rPr>
                <w:rFonts w:asciiTheme="minorHAnsi" w:hAnsiTheme="minorHAnsi" w:cstheme="minorHAnsi"/>
                <w:i/>
              </w:rPr>
              <w:t>Australian and New Zealand journal of public health</w:t>
            </w:r>
            <w:r w:rsidRPr="00BA0D32">
              <w:rPr>
                <w:rFonts w:asciiTheme="minorHAnsi" w:hAnsiTheme="minorHAnsi" w:cstheme="minorHAnsi"/>
              </w:rPr>
              <w:t xml:space="preserve"> 2017;41(6):611-16. doi: 10.1111/1753-6405.12726 [published Online First: 2017/10/19]</w:t>
            </w:r>
          </w:p>
          <w:p w14:paraId="1FADED90" w14:textId="77777777" w:rsidR="00BA0D32" w:rsidRPr="00BA0D32" w:rsidRDefault="00BA0D32" w:rsidP="00BA0D32">
            <w:pPr>
              <w:pStyle w:val="EndNoteBibliography"/>
              <w:ind w:left="720" w:hanging="720"/>
              <w:rPr>
                <w:rFonts w:asciiTheme="minorHAnsi" w:hAnsiTheme="minorHAnsi" w:cstheme="minorHAnsi"/>
              </w:rPr>
            </w:pPr>
            <w:r w:rsidRPr="00BA0D32">
              <w:rPr>
                <w:rFonts w:asciiTheme="minorHAnsi" w:hAnsiTheme="minorHAnsi" w:cstheme="minorHAnsi"/>
              </w:rPr>
              <w:t xml:space="preserve">Brown V, Moodie M, Cobiac L, et al. Obesity-related health impacts of fuel excise taxation- an evidence review and cost-effectiveness study. </w:t>
            </w:r>
            <w:r w:rsidRPr="00BA0D32">
              <w:rPr>
                <w:rFonts w:asciiTheme="minorHAnsi" w:hAnsiTheme="minorHAnsi" w:cstheme="minorHAnsi"/>
                <w:i/>
              </w:rPr>
              <w:t>BMC public health</w:t>
            </w:r>
            <w:r w:rsidRPr="00BA0D32">
              <w:rPr>
                <w:rFonts w:asciiTheme="minorHAnsi" w:hAnsiTheme="minorHAnsi" w:cstheme="minorHAnsi"/>
              </w:rPr>
              <w:t xml:space="preserve"> 2017;17(1):359. doi: 10.1186/s12889-017-4271-2 [published Online First: 2017/05/05]</w:t>
            </w:r>
          </w:p>
          <w:p w14:paraId="6E7F5E63" w14:textId="77777777" w:rsidR="00BA0D32" w:rsidRPr="00BA0D32" w:rsidRDefault="00BA0D32" w:rsidP="00BA0D32">
            <w:pPr>
              <w:pStyle w:val="EndNoteBibliography"/>
              <w:ind w:left="720" w:hanging="720"/>
              <w:rPr>
                <w:rFonts w:asciiTheme="minorHAnsi" w:hAnsiTheme="minorHAnsi" w:cstheme="minorHAnsi"/>
              </w:rPr>
            </w:pPr>
            <w:r w:rsidRPr="00BA0D32">
              <w:rPr>
                <w:rFonts w:asciiTheme="minorHAnsi" w:hAnsiTheme="minorHAnsi" w:cstheme="minorHAnsi"/>
              </w:rPr>
              <w:t xml:space="preserve">Cadilhac DA, Cumming TB, Sheppard L, et al. The economic benefits of reducing physical inactivity: an Australian example. </w:t>
            </w:r>
            <w:r w:rsidRPr="00BA0D32">
              <w:rPr>
                <w:rFonts w:asciiTheme="minorHAnsi" w:hAnsiTheme="minorHAnsi" w:cstheme="minorHAnsi"/>
                <w:i/>
              </w:rPr>
              <w:t>The international journal of behavioral nutrition and physical activity</w:t>
            </w:r>
            <w:r w:rsidRPr="00BA0D32">
              <w:rPr>
                <w:rFonts w:asciiTheme="minorHAnsi" w:hAnsiTheme="minorHAnsi" w:cstheme="minorHAnsi"/>
              </w:rPr>
              <w:t xml:space="preserve"> 2011;8:99. doi: 10.1186/1479-5868-8-99 [published Online First: 2011/09/29]</w:t>
            </w:r>
          </w:p>
          <w:p w14:paraId="2754FB32" w14:textId="77777777" w:rsidR="00BA0D32" w:rsidRPr="00BA0D32" w:rsidRDefault="00BA0D32" w:rsidP="00BA0D32">
            <w:pPr>
              <w:pStyle w:val="EndNoteBibliography"/>
              <w:ind w:left="720" w:hanging="720"/>
              <w:rPr>
                <w:rFonts w:asciiTheme="minorHAnsi" w:hAnsiTheme="minorHAnsi" w:cstheme="minorHAnsi"/>
              </w:rPr>
            </w:pPr>
            <w:r w:rsidRPr="00BA0D32">
              <w:rPr>
                <w:rFonts w:asciiTheme="minorHAnsi" w:hAnsiTheme="minorHAnsi" w:cstheme="minorHAnsi"/>
              </w:rPr>
              <w:t xml:space="preserve">Cadilhac DA, Sheppard L, Cumming TB, et al. The health and economic benefits of reducing intimate partner violence: an Australian example. </w:t>
            </w:r>
            <w:r w:rsidRPr="00BA0D32">
              <w:rPr>
                <w:rFonts w:asciiTheme="minorHAnsi" w:hAnsiTheme="minorHAnsi" w:cstheme="minorHAnsi"/>
                <w:i/>
              </w:rPr>
              <w:t>BMC public health</w:t>
            </w:r>
            <w:r w:rsidRPr="00BA0D32">
              <w:rPr>
                <w:rFonts w:asciiTheme="minorHAnsi" w:hAnsiTheme="minorHAnsi" w:cstheme="minorHAnsi"/>
              </w:rPr>
              <w:t xml:space="preserve"> 2015;15:625. doi: 10.1186/s12889-015-1931-y [published Online First: 2015/07/15]</w:t>
            </w:r>
          </w:p>
          <w:p w14:paraId="02357121" w14:textId="77777777" w:rsidR="00BA0D32" w:rsidRPr="00BA0D32" w:rsidRDefault="00BA0D32" w:rsidP="00BA0D32">
            <w:pPr>
              <w:pStyle w:val="EndNoteBibliography"/>
              <w:ind w:left="720" w:hanging="720"/>
              <w:rPr>
                <w:rFonts w:asciiTheme="minorHAnsi" w:hAnsiTheme="minorHAnsi" w:cstheme="minorHAnsi"/>
              </w:rPr>
            </w:pPr>
            <w:r w:rsidRPr="00BA0D32">
              <w:rPr>
                <w:rFonts w:asciiTheme="minorHAnsi" w:hAnsiTheme="minorHAnsi" w:cstheme="minorHAnsi"/>
              </w:rPr>
              <w:t xml:space="preserve">Chew DP, Carter R, Rankin B, et al. Cost effectiveness of a general practice chronic disease management plan for coronary heart disease in Australia. </w:t>
            </w:r>
            <w:r w:rsidRPr="00BA0D32">
              <w:rPr>
                <w:rFonts w:asciiTheme="minorHAnsi" w:hAnsiTheme="minorHAnsi" w:cstheme="minorHAnsi"/>
                <w:i/>
              </w:rPr>
              <w:t>Australian Health Review</w:t>
            </w:r>
            <w:r w:rsidRPr="00BA0D32">
              <w:rPr>
                <w:rFonts w:asciiTheme="minorHAnsi" w:hAnsiTheme="minorHAnsi" w:cstheme="minorHAnsi"/>
              </w:rPr>
              <w:t xml:space="preserve"> 2010;34(2):162-9.</w:t>
            </w:r>
          </w:p>
          <w:p w14:paraId="5741A8CC" w14:textId="77777777" w:rsidR="00BA0D32" w:rsidRPr="00BA0D32" w:rsidRDefault="00BA0D32" w:rsidP="00BA0D32">
            <w:pPr>
              <w:ind w:left="731" w:hanging="731"/>
              <w:rPr>
                <w:rFonts w:asciiTheme="minorHAnsi" w:hAnsiTheme="minorHAnsi" w:cstheme="minorHAnsi"/>
                <w:lang w:val="pt-BR"/>
              </w:rPr>
            </w:pPr>
            <w:proofErr w:type="spellStart"/>
            <w:r w:rsidRPr="00BA0D32">
              <w:rPr>
                <w:rFonts w:asciiTheme="minorHAnsi" w:hAnsiTheme="minorHAnsi" w:cstheme="minorHAnsi"/>
              </w:rPr>
              <w:t>Cobiac</w:t>
            </w:r>
            <w:proofErr w:type="spellEnd"/>
            <w:r w:rsidRPr="00BA0D32">
              <w:rPr>
                <w:rFonts w:asciiTheme="minorHAnsi" w:hAnsiTheme="minorHAnsi" w:cstheme="minorHAnsi"/>
              </w:rPr>
              <w:t xml:space="preserve"> L, Tam K, </w:t>
            </w:r>
            <w:proofErr w:type="spellStart"/>
            <w:r w:rsidRPr="00BA0D32">
              <w:rPr>
                <w:rFonts w:asciiTheme="minorHAnsi" w:hAnsiTheme="minorHAnsi" w:cstheme="minorHAnsi"/>
              </w:rPr>
              <w:t>Veerman</w:t>
            </w:r>
            <w:proofErr w:type="spellEnd"/>
            <w:r w:rsidRPr="00BA0D32">
              <w:rPr>
                <w:rFonts w:asciiTheme="minorHAnsi" w:hAnsiTheme="minorHAnsi" w:cstheme="minorHAnsi"/>
              </w:rPr>
              <w:t xml:space="preserve"> L, Blakely T. Taxes and subsidies for improving diet and population health in Australia: A cost-effectiveness modelling study. </w:t>
            </w:r>
            <w:proofErr w:type="spellStart"/>
            <w:r w:rsidRPr="00BA0D32">
              <w:rPr>
                <w:rFonts w:asciiTheme="minorHAnsi" w:hAnsiTheme="minorHAnsi" w:cstheme="minorHAnsi"/>
                <w:lang w:val="pt-BR"/>
              </w:rPr>
              <w:t>PLoS</w:t>
            </w:r>
            <w:proofErr w:type="spellEnd"/>
            <w:r w:rsidRPr="00BA0D32">
              <w:rPr>
                <w:rFonts w:asciiTheme="minorHAnsi" w:hAnsiTheme="minorHAnsi" w:cstheme="minorHAnsi"/>
                <w:lang w:val="pt-BR"/>
              </w:rPr>
              <w:t xml:space="preserve"> </w:t>
            </w:r>
            <w:proofErr w:type="spellStart"/>
            <w:r w:rsidRPr="00BA0D32">
              <w:rPr>
                <w:rFonts w:asciiTheme="minorHAnsi" w:hAnsiTheme="minorHAnsi" w:cstheme="minorHAnsi"/>
                <w:lang w:val="pt-BR"/>
              </w:rPr>
              <w:t>Med</w:t>
            </w:r>
            <w:proofErr w:type="spellEnd"/>
            <w:r w:rsidRPr="00BA0D32">
              <w:rPr>
                <w:rFonts w:asciiTheme="minorHAnsi" w:hAnsiTheme="minorHAnsi" w:cstheme="minorHAnsi"/>
                <w:lang w:val="pt-BR"/>
              </w:rPr>
              <w:t xml:space="preserve"> 2017;</w:t>
            </w:r>
            <w:r w:rsidRPr="00BA0D32">
              <w:rPr>
                <w:rFonts w:asciiTheme="minorHAnsi" w:hAnsiTheme="minorHAnsi" w:cstheme="minorHAnsi"/>
                <w:bCs/>
                <w:lang w:val="pt-BR"/>
              </w:rPr>
              <w:t>14</w:t>
            </w:r>
            <w:r w:rsidRPr="00BA0D32">
              <w:rPr>
                <w:rFonts w:asciiTheme="minorHAnsi" w:hAnsiTheme="minorHAnsi" w:cstheme="minorHAnsi"/>
                <w:lang w:val="pt-BR"/>
              </w:rPr>
              <w:t>(2):e1002232.</w:t>
            </w:r>
          </w:p>
          <w:p w14:paraId="0CF58197" w14:textId="77777777" w:rsidR="00BA0D32" w:rsidRPr="00BA0D32" w:rsidRDefault="00BA0D32" w:rsidP="00BA0D32">
            <w:pPr>
              <w:pStyle w:val="EndNoteBibliography"/>
              <w:ind w:left="720" w:hanging="720"/>
              <w:rPr>
                <w:rFonts w:asciiTheme="minorHAnsi" w:hAnsiTheme="minorHAnsi" w:cstheme="minorHAnsi"/>
              </w:rPr>
            </w:pPr>
            <w:r w:rsidRPr="00BA0D32">
              <w:rPr>
                <w:rFonts w:asciiTheme="minorHAnsi" w:hAnsiTheme="minorHAnsi" w:cstheme="minorHAnsi"/>
                <w:lang w:val="pt-BR"/>
              </w:rPr>
              <w:lastRenderedPageBreak/>
              <w:t xml:space="preserve">Crino M, Herrera AMM, Ananthapavan J, et al. </w:t>
            </w:r>
            <w:r w:rsidRPr="00BA0D32">
              <w:rPr>
                <w:rFonts w:asciiTheme="minorHAnsi" w:hAnsiTheme="minorHAnsi" w:cstheme="minorHAnsi"/>
              </w:rPr>
              <w:t xml:space="preserve">Modelled Cost-Effectiveness of a Package Size Cap and a Kilojoule Reduction Intervention to Reduce Energy Intake from Sugar-Sweetened Beverages in Australia. </w:t>
            </w:r>
            <w:r w:rsidRPr="00BA0D32">
              <w:rPr>
                <w:rFonts w:asciiTheme="minorHAnsi" w:hAnsiTheme="minorHAnsi" w:cstheme="minorHAnsi"/>
                <w:i/>
              </w:rPr>
              <w:t>Nutrients</w:t>
            </w:r>
            <w:r w:rsidRPr="00BA0D32">
              <w:rPr>
                <w:rFonts w:asciiTheme="minorHAnsi" w:hAnsiTheme="minorHAnsi" w:cstheme="minorHAnsi"/>
              </w:rPr>
              <w:t xml:space="preserve"> 2017;9(9) doi: 10.3390/nu9090983 [published Online First: 2017/09/08]</w:t>
            </w:r>
          </w:p>
          <w:p w14:paraId="4179426A" w14:textId="77777777" w:rsidR="00BA0D32" w:rsidRPr="00BA0D32" w:rsidRDefault="00BA0D32" w:rsidP="00BA0D32">
            <w:pPr>
              <w:pStyle w:val="EndNoteBibliography"/>
              <w:ind w:left="720" w:hanging="720"/>
              <w:rPr>
                <w:rFonts w:asciiTheme="minorHAnsi" w:hAnsiTheme="minorHAnsi" w:cstheme="minorHAnsi"/>
              </w:rPr>
            </w:pPr>
            <w:r w:rsidRPr="00BA0D32">
              <w:rPr>
                <w:rFonts w:asciiTheme="minorHAnsi" w:hAnsiTheme="minorHAnsi" w:cstheme="minorHAnsi"/>
              </w:rPr>
              <w:t xml:space="preserve">Doran CM, Byrnes JM, Cobiac LJ, et al. Estimated impacts of alternative Australian alcohol taxation structures on consumption, public health and government revenues. </w:t>
            </w:r>
            <w:r w:rsidRPr="00BA0D32">
              <w:rPr>
                <w:rFonts w:asciiTheme="minorHAnsi" w:hAnsiTheme="minorHAnsi" w:cstheme="minorHAnsi"/>
                <w:i/>
              </w:rPr>
              <w:t>Medical Journal of Australia</w:t>
            </w:r>
            <w:r w:rsidRPr="00BA0D32">
              <w:rPr>
                <w:rFonts w:asciiTheme="minorHAnsi" w:hAnsiTheme="minorHAnsi" w:cstheme="minorHAnsi"/>
              </w:rPr>
              <w:t xml:space="preserve"> 2013;199(9):619-22.</w:t>
            </w:r>
          </w:p>
          <w:p w14:paraId="63F5BE10" w14:textId="77777777" w:rsidR="00BA0D32" w:rsidRPr="00BA0D32" w:rsidRDefault="00BA0D32" w:rsidP="00BA0D32">
            <w:pPr>
              <w:pStyle w:val="EndNoteBibliography"/>
              <w:ind w:left="720" w:hanging="720"/>
              <w:rPr>
                <w:rFonts w:asciiTheme="minorHAnsi" w:hAnsiTheme="minorHAnsi" w:cstheme="minorHAnsi"/>
              </w:rPr>
            </w:pPr>
            <w:r w:rsidRPr="00BA0D32">
              <w:rPr>
                <w:rFonts w:asciiTheme="minorHAnsi" w:hAnsiTheme="minorHAnsi" w:cstheme="minorHAnsi"/>
              </w:rPr>
              <w:t xml:space="preserve">Lal A, Mantilla-Herrera AM, Veerman L, et al. Modelled health benefits of a sugar-sweetened beverage tax across different socioeconomic groups in Australia: A cost-effectiveness and equity analysis. </w:t>
            </w:r>
            <w:r w:rsidRPr="00BA0D32">
              <w:rPr>
                <w:rFonts w:asciiTheme="minorHAnsi" w:hAnsiTheme="minorHAnsi" w:cstheme="minorHAnsi"/>
                <w:i/>
              </w:rPr>
              <w:t>PLoS medicine</w:t>
            </w:r>
            <w:r w:rsidRPr="00BA0D32">
              <w:rPr>
                <w:rFonts w:asciiTheme="minorHAnsi" w:hAnsiTheme="minorHAnsi" w:cstheme="minorHAnsi"/>
              </w:rPr>
              <w:t xml:space="preserve"> 2017;14(6):e1002326. doi: 10.1371/journal.pmed.1002326 [published Online First: 2017/06/28]</w:t>
            </w:r>
          </w:p>
          <w:p w14:paraId="658958AE" w14:textId="77777777" w:rsidR="00BA0D32" w:rsidRPr="00BA0D32" w:rsidRDefault="00BA0D32" w:rsidP="00BA0D32">
            <w:pPr>
              <w:pStyle w:val="EndNoteBibliography"/>
              <w:ind w:left="720" w:hanging="720"/>
              <w:rPr>
                <w:rFonts w:asciiTheme="minorHAnsi" w:hAnsiTheme="minorHAnsi" w:cstheme="minorHAnsi"/>
              </w:rPr>
            </w:pPr>
            <w:r w:rsidRPr="00BA0D32">
              <w:rPr>
                <w:rFonts w:asciiTheme="minorHAnsi" w:hAnsiTheme="minorHAnsi" w:cstheme="minorHAnsi"/>
              </w:rPr>
              <w:t xml:space="preserve">Lal A, Mihalopoulos C, Wallace A, et al. The cost-effectiveness of call-back counselling for smoking cessation. </w:t>
            </w:r>
            <w:r w:rsidRPr="00BA0D32">
              <w:rPr>
                <w:rFonts w:asciiTheme="minorHAnsi" w:hAnsiTheme="minorHAnsi" w:cstheme="minorHAnsi"/>
                <w:i/>
              </w:rPr>
              <w:t>Tobacco control</w:t>
            </w:r>
            <w:r w:rsidRPr="00BA0D32">
              <w:rPr>
                <w:rFonts w:asciiTheme="minorHAnsi" w:hAnsiTheme="minorHAnsi" w:cstheme="minorHAnsi"/>
              </w:rPr>
              <w:t xml:space="preserve"> 2014;23(5):437-42. doi: 10.1136/tobaccocontrol-2012-050907 [published Online First: 2013/06/12]</w:t>
            </w:r>
          </w:p>
          <w:p w14:paraId="611C087D" w14:textId="77777777" w:rsidR="00BA0D32" w:rsidRPr="00BA0D32" w:rsidRDefault="00BA0D32" w:rsidP="00BA0D32">
            <w:pPr>
              <w:pStyle w:val="EndNoteBibliography"/>
              <w:ind w:left="720" w:hanging="720"/>
              <w:rPr>
                <w:rFonts w:asciiTheme="minorHAnsi" w:hAnsiTheme="minorHAnsi" w:cstheme="minorHAnsi"/>
              </w:rPr>
            </w:pPr>
            <w:r w:rsidRPr="00BA0D32">
              <w:rPr>
                <w:rFonts w:asciiTheme="minorHAnsi" w:hAnsiTheme="minorHAnsi" w:cstheme="minorHAnsi"/>
              </w:rPr>
              <w:t xml:space="preserve">Le LK, Barendregt JJ, Hay P, et al. The modelled cost-effectiveness of cognitive dissonance for the prevention of anorexia nervosa and bulimia nervosa in adolescent girls in Australia. </w:t>
            </w:r>
            <w:r w:rsidRPr="00BA0D32">
              <w:rPr>
                <w:rFonts w:asciiTheme="minorHAnsi" w:hAnsiTheme="minorHAnsi" w:cstheme="minorHAnsi"/>
                <w:i/>
              </w:rPr>
              <w:t>The International journal of eating disorders</w:t>
            </w:r>
            <w:r w:rsidRPr="00BA0D32">
              <w:rPr>
                <w:rFonts w:asciiTheme="minorHAnsi" w:hAnsiTheme="minorHAnsi" w:cstheme="minorHAnsi"/>
              </w:rPr>
              <w:t xml:space="preserve"> 2017;50(7):834-41. doi: 10.1002/eat.22703 [published Online First: 2017/03/23]</w:t>
            </w:r>
          </w:p>
          <w:p w14:paraId="0B7E983A" w14:textId="77777777" w:rsidR="00BA0D32" w:rsidRPr="00BA0D32" w:rsidRDefault="00BA0D32" w:rsidP="00BA0D32">
            <w:pPr>
              <w:pStyle w:val="EndNoteBibliography"/>
              <w:ind w:left="720" w:hanging="720"/>
              <w:rPr>
                <w:rFonts w:asciiTheme="minorHAnsi" w:hAnsiTheme="minorHAnsi" w:cstheme="minorHAnsi"/>
              </w:rPr>
            </w:pPr>
            <w:r w:rsidRPr="00BA0D32">
              <w:rPr>
                <w:rFonts w:asciiTheme="minorHAnsi" w:hAnsiTheme="minorHAnsi" w:cstheme="minorHAnsi"/>
              </w:rPr>
              <w:t xml:space="preserve">Lee YY, Barendregt JJ, Stockings EA, et al. The population cost-effectiveness of delivering universal and indicated school-based interventions to prevent the onset of major depression among youth in Australia. </w:t>
            </w:r>
            <w:r w:rsidRPr="00BA0D32">
              <w:rPr>
                <w:rFonts w:asciiTheme="minorHAnsi" w:hAnsiTheme="minorHAnsi" w:cstheme="minorHAnsi"/>
                <w:i/>
              </w:rPr>
              <w:t>Epidemiology and psychiatric sciences</w:t>
            </w:r>
            <w:r w:rsidRPr="00BA0D32">
              <w:rPr>
                <w:rFonts w:asciiTheme="minorHAnsi" w:hAnsiTheme="minorHAnsi" w:cstheme="minorHAnsi"/>
              </w:rPr>
              <w:t xml:space="preserve"> 2017;26(5):545-64. doi: 10.1017/s2045796016000469 [published Online First: 2016/08/12]</w:t>
            </w:r>
          </w:p>
          <w:p w14:paraId="12A2A35E" w14:textId="77777777" w:rsidR="00BA0D32" w:rsidRPr="00BA0D32" w:rsidRDefault="00BA0D32" w:rsidP="00BA0D32">
            <w:pPr>
              <w:pStyle w:val="EndNoteBibliography"/>
              <w:ind w:left="720" w:hanging="720"/>
              <w:rPr>
                <w:rFonts w:asciiTheme="minorHAnsi" w:hAnsiTheme="minorHAnsi" w:cstheme="minorHAnsi"/>
              </w:rPr>
            </w:pPr>
            <w:r w:rsidRPr="00BA0D32">
              <w:rPr>
                <w:rFonts w:asciiTheme="minorHAnsi" w:hAnsiTheme="minorHAnsi" w:cstheme="minorHAnsi"/>
              </w:rPr>
              <w:t xml:space="preserve">Lee YY, Veerman JL, Barendregt JJ. The cost-effectiveness of laparoscopic adjustable gastric banding in the morbidly obese adult population of Australia. </w:t>
            </w:r>
            <w:r w:rsidRPr="00BA0D32">
              <w:rPr>
                <w:rFonts w:asciiTheme="minorHAnsi" w:hAnsiTheme="minorHAnsi" w:cstheme="minorHAnsi"/>
                <w:i/>
              </w:rPr>
              <w:t>PloS one</w:t>
            </w:r>
            <w:r w:rsidRPr="00BA0D32">
              <w:rPr>
                <w:rFonts w:asciiTheme="minorHAnsi" w:hAnsiTheme="minorHAnsi" w:cstheme="minorHAnsi"/>
              </w:rPr>
              <w:t xml:space="preserve"> 2013;8(5):e64965. doi: 10.1371/journal.pone.0064965 [published Online First: 2013/05/30]</w:t>
            </w:r>
          </w:p>
          <w:p w14:paraId="04620CC4" w14:textId="77777777" w:rsidR="00BA0D32" w:rsidRPr="00BA0D32" w:rsidRDefault="00BA0D32" w:rsidP="00BA0D32">
            <w:pPr>
              <w:pStyle w:val="EndNoteBibliography"/>
              <w:ind w:left="720" w:hanging="720"/>
              <w:rPr>
                <w:rFonts w:asciiTheme="minorHAnsi" w:hAnsiTheme="minorHAnsi" w:cstheme="minorHAnsi"/>
              </w:rPr>
            </w:pPr>
            <w:r w:rsidRPr="00BA0D32">
              <w:rPr>
                <w:rFonts w:asciiTheme="minorHAnsi" w:hAnsiTheme="minorHAnsi" w:cstheme="minorHAnsi"/>
              </w:rPr>
              <w:t xml:space="preserve">Mantilla Herrera AM, Crino M, Erskine HE, et al. Cost-Effectiveness of Product Reformulation in Response to the Health Star Rating Food Labelling System in Australia. </w:t>
            </w:r>
            <w:r w:rsidRPr="00BA0D32">
              <w:rPr>
                <w:rFonts w:asciiTheme="minorHAnsi" w:hAnsiTheme="minorHAnsi" w:cstheme="minorHAnsi"/>
                <w:i/>
              </w:rPr>
              <w:t>Nutrients</w:t>
            </w:r>
            <w:r w:rsidRPr="00BA0D32">
              <w:rPr>
                <w:rFonts w:asciiTheme="minorHAnsi" w:hAnsiTheme="minorHAnsi" w:cstheme="minorHAnsi"/>
              </w:rPr>
              <w:t xml:space="preserve"> 2018;10(5) doi: 10.3390/nu10050614 [published Online First: 2018/05/15]</w:t>
            </w:r>
          </w:p>
          <w:p w14:paraId="409076D9" w14:textId="77777777" w:rsidR="00BA0D32" w:rsidRPr="00BA0D32" w:rsidRDefault="00BA0D32" w:rsidP="00BA0D32">
            <w:pPr>
              <w:pStyle w:val="EndNoteBibliography"/>
              <w:ind w:left="720" w:hanging="720"/>
              <w:rPr>
                <w:rFonts w:asciiTheme="minorHAnsi" w:hAnsiTheme="minorHAnsi" w:cstheme="minorHAnsi"/>
              </w:rPr>
            </w:pPr>
            <w:r w:rsidRPr="00BA0D32">
              <w:rPr>
                <w:rFonts w:asciiTheme="minorHAnsi" w:hAnsiTheme="minorHAnsi" w:cstheme="minorHAnsi"/>
              </w:rPr>
              <w:t xml:space="preserve">Magnus A, Cadilhac D, Sheppard L, et al. The economic gains of achieving reduced alcohol consumption targets for Australia. </w:t>
            </w:r>
            <w:r w:rsidRPr="00BA0D32">
              <w:rPr>
                <w:rFonts w:asciiTheme="minorHAnsi" w:hAnsiTheme="minorHAnsi" w:cstheme="minorHAnsi"/>
                <w:i/>
              </w:rPr>
              <w:t>Am J Public Health</w:t>
            </w:r>
            <w:r w:rsidRPr="00BA0D32">
              <w:rPr>
                <w:rFonts w:asciiTheme="minorHAnsi" w:hAnsiTheme="minorHAnsi" w:cstheme="minorHAnsi"/>
              </w:rPr>
              <w:t xml:space="preserve"> 2012;102(7):1313-9. doi: 10.2105/AJPH.2011.300453 [published Online First: 2012/05/19]</w:t>
            </w:r>
          </w:p>
          <w:p w14:paraId="012C2CCA" w14:textId="77777777" w:rsidR="00BA0D32" w:rsidRPr="00BA0D32" w:rsidRDefault="00BA0D32" w:rsidP="00BA0D32">
            <w:pPr>
              <w:pStyle w:val="EndNoteBibliography"/>
              <w:ind w:left="720" w:hanging="720"/>
              <w:rPr>
                <w:rFonts w:asciiTheme="minorHAnsi" w:hAnsiTheme="minorHAnsi" w:cstheme="minorHAnsi"/>
              </w:rPr>
            </w:pPr>
            <w:r w:rsidRPr="00BA0D32">
              <w:rPr>
                <w:rFonts w:asciiTheme="minorHAnsi" w:hAnsiTheme="minorHAnsi" w:cstheme="minorHAnsi"/>
              </w:rPr>
              <w:t xml:space="preserve">Magnus A, Moodie ML, Ferguson M, et al. The economic feasibility of price discounts to improve diet in Australian Aboriginal remote communities. </w:t>
            </w:r>
            <w:r w:rsidRPr="00BA0D32">
              <w:rPr>
                <w:rFonts w:asciiTheme="minorHAnsi" w:hAnsiTheme="minorHAnsi" w:cstheme="minorHAnsi"/>
                <w:i/>
              </w:rPr>
              <w:t>Australian and New Zealand journal of public health</w:t>
            </w:r>
            <w:r w:rsidRPr="00BA0D32">
              <w:rPr>
                <w:rFonts w:asciiTheme="minorHAnsi" w:hAnsiTheme="minorHAnsi" w:cstheme="minorHAnsi"/>
              </w:rPr>
              <w:t xml:space="preserve"> 2016;40 Suppl 1:S36-41. doi: 10.1111/1753-6405.12391 [published Online First: 2015/07/01]</w:t>
            </w:r>
          </w:p>
          <w:p w14:paraId="385F7B1A" w14:textId="77777777" w:rsidR="00BA0D32" w:rsidRPr="00BA0D32" w:rsidRDefault="00BA0D32" w:rsidP="00BA0D32">
            <w:pPr>
              <w:pStyle w:val="EndNoteBibliography"/>
              <w:ind w:left="720" w:hanging="720"/>
              <w:rPr>
                <w:rFonts w:asciiTheme="minorHAnsi" w:hAnsiTheme="minorHAnsi" w:cstheme="minorHAnsi"/>
              </w:rPr>
            </w:pPr>
            <w:r w:rsidRPr="00BA0D32">
              <w:rPr>
                <w:rFonts w:asciiTheme="minorHAnsi" w:hAnsiTheme="minorHAnsi" w:cstheme="minorHAnsi"/>
              </w:rPr>
              <w:t xml:space="preserve">Moodie M, Haby MM, Swinburn B, et al. Assessing cost-effectiveness in obesity: active transport program for primary school children--TravelSMART Schools Curriculum program. </w:t>
            </w:r>
            <w:r w:rsidRPr="00BA0D32">
              <w:rPr>
                <w:rFonts w:asciiTheme="minorHAnsi" w:hAnsiTheme="minorHAnsi" w:cstheme="minorHAnsi"/>
                <w:i/>
              </w:rPr>
              <w:t>Journal of physical activity &amp; health</w:t>
            </w:r>
            <w:r w:rsidRPr="00BA0D32">
              <w:rPr>
                <w:rFonts w:asciiTheme="minorHAnsi" w:hAnsiTheme="minorHAnsi" w:cstheme="minorHAnsi"/>
              </w:rPr>
              <w:t xml:space="preserve"> 2011;8(4):503-15. [published Online First: 2011/05/21]</w:t>
            </w:r>
          </w:p>
          <w:p w14:paraId="42026B7A" w14:textId="48719543" w:rsidR="00BA0D32" w:rsidRPr="00BA0D32" w:rsidRDefault="00BA0D32" w:rsidP="00BA0D32">
            <w:pPr>
              <w:pStyle w:val="EndNoteBibliography"/>
              <w:ind w:left="720" w:hanging="720"/>
              <w:rPr>
                <w:rFonts w:asciiTheme="minorHAnsi" w:hAnsiTheme="minorHAnsi" w:cstheme="minorHAnsi"/>
              </w:rPr>
            </w:pPr>
            <w:r w:rsidRPr="00BA0D32">
              <w:rPr>
                <w:rFonts w:asciiTheme="minorHAnsi" w:hAnsiTheme="minorHAnsi" w:cstheme="minorHAnsi"/>
              </w:rPr>
              <w:lastRenderedPageBreak/>
              <w:t xml:space="preserve">Moodie ML, Carter RC, Swinburn BA, et al. The cost-effectiveness of Australia's Active After-School Communities program. </w:t>
            </w:r>
            <w:r w:rsidRPr="00BA0D32">
              <w:rPr>
                <w:rFonts w:asciiTheme="minorHAnsi" w:hAnsiTheme="minorHAnsi" w:cstheme="minorHAnsi"/>
                <w:i/>
              </w:rPr>
              <w:t>Obesity (Silver Spring, Md)</w:t>
            </w:r>
            <w:r w:rsidRPr="00BA0D32">
              <w:rPr>
                <w:rFonts w:asciiTheme="minorHAnsi" w:hAnsiTheme="minorHAnsi" w:cstheme="minorHAnsi"/>
              </w:rPr>
              <w:t xml:space="preserve"> 2010;18(8):1585-92. doi: 10.1038/oby.2009.401 [published Online First: 2009/11/07]</w:t>
            </w:r>
          </w:p>
          <w:p w14:paraId="71E1ED00" w14:textId="77777777" w:rsidR="00BA0D32" w:rsidRPr="00BA0D32" w:rsidRDefault="00BA0D32" w:rsidP="00BA0D32">
            <w:pPr>
              <w:pStyle w:val="EndNoteBibliography"/>
              <w:ind w:left="720" w:hanging="720"/>
              <w:rPr>
                <w:rFonts w:asciiTheme="minorHAnsi" w:hAnsiTheme="minorHAnsi" w:cstheme="minorHAnsi"/>
              </w:rPr>
            </w:pPr>
            <w:r w:rsidRPr="00BA0D32">
              <w:rPr>
                <w:rFonts w:asciiTheme="minorHAnsi" w:hAnsiTheme="minorHAnsi" w:cstheme="minorHAnsi"/>
              </w:rPr>
              <w:t xml:space="preserve">Moodie ML, Herbert JK, de Silva-Sanigorski AM, et al. The cost-effectiveness of a successful community-based obesity prevention program: the be active eat well program. </w:t>
            </w:r>
            <w:r w:rsidRPr="00BA0D32">
              <w:rPr>
                <w:rFonts w:asciiTheme="minorHAnsi" w:hAnsiTheme="minorHAnsi" w:cstheme="minorHAnsi"/>
                <w:i/>
              </w:rPr>
              <w:t>Obesity (Silver Spring, Md)</w:t>
            </w:r>
            <w:r w:rsidRPr="00BA0D32">
              <w:rPr>
                <w:rFonts w:asciiTheme="minorHAnsi" w:hAnsiTheme="minorHAnsi" w:cstheme="minorHAnsi"/>
              </w:rPr>
              <w:t xml:space="preserve"> 2013;21(10):2072-80. doi: 10.1002/oby.20472 [published Online First: 2013/04/05]</w:t>
            </w:r>
          </w:p>
          <w:p w14:paraId="034E165C" w14:textId="77777777" w:rsidR="00BA0D32" w:rsidRPr="00BA0D32" w:rsidRDefault="00BA0D32" w:rsidP="00BA0D32">
            <w:pPr>
              <w:pStyle w:val="EndNoteBibliography"/>
              <w:ind w:left="720" w:hanging="720"/>
              <w:rPr>
                <w:rFonts w:asciiTheme="minorHAnsi" w:hAnsiTheme="minorHAnsi" w:cstheme="minorHAnsi"/>
              </w:rPr>
            </w:pPr>
            <w:r w:rsidRPr="00BA0D32">
              <w:rPr>
                <w:rFonts w:asciiTheme="minorHAnsi" w:hAnsiTheme="minorHAnsi" w:cstheme="minorHAnsi"/>
              </w:rPr>
              <w:t xml:space="preserve">Sampaio F, Barendregt JJ, Feldman I, et al. Population cost-effectiveness of the Triple P parenting programme for the treatment of conduct disorder: an economic modelling study. </w:t>
            </w:r>
            <w:r w:rsidRPr="00BA0D32">
              <w:rPr>
                <w:rFonts w:asciiTheme="minorHAnsi" w:hAnsiTheme="minorHAnsi" w:cstheme="minorHAnsi"/>
                <w:i/>
              </w:rPr>
              <w:t>European child &amp; adolescent psychiatry</w:t>
            </w:r>
            <w:r w:rsidRPr="00BA0D32">
              <w:rPr>
                <w:rFonts w:asciiTheme="minorHAnsi" w:hAnsiTheme="minorHAnsi" w:cstheme="minorHAnsi"/>
              </w:rPr>
              <w:t xml:space="preserve"> 2018;27(7):933-44. doi: 10.1007/s00787-017-1100-1 [published Online First: 2017/12/31]</w:t>
            </w:r>
          </w:p>
          <w:p w14:paraId="65BC768D" w14:textId="77777777" w:rsidR="00BA0D32" w:rsidRPr="00BA0D32" w:rsidRDefault="00BA0D32" w:rsidP="00BA0D32">
            <w:pPr>
              <w:pStyle w:val="EndNoteBibliography"/>
              <w:ind w:left="720" w:hanging="720"/>
              <w:rPr>
                <w:rFonts w:asciiTheme="minorHAnsi" w:hAnsiTheme="minorHAnsi" w:cstheme="minorHAnsi"/>
              </w:rPr>
            </w:pPr>
            <w:r w:rsidRPr="00BA0D32">
              <w:rPr>
                <w:rFonts w:asciiTheme="minorHAnsi" w:hAnsiTheme="minorHAnsi" w:cstheme="minorHAnsi"/>
              </w:rPr>
              <w:t xml:space="preserve">Shih ST, Carter R, Heward S, et al. Economic evaluation of future skin cancer prevention in Australia. </w:t>
            </w:r>
            <w:r w:rsidRPr="00BA0D32">
              <w:rPr>
                <w:rFonts w:asciiTheme="minorHAnsi" w:hAnsiTheme="minorHAnsi" w:cstheme="minorHAnsi"/>
                <w:i/>
              </w:rPr>
              <w:t>Preventive medicine</w:t>
            </w:r>
            <w:r w:rsidRPr="00BA0D32">
              <w:rPr>
                <w:rFonts w:asciiTheme="minorHAnsi" w:hAnsiTheme="minorHAnsi" w:cstheme="minorHAnsi"/>
              </w:rPr>
              <w:t xml:space="preserve"> 2017;99:7-12. doi: 10.1016/j.ypmed.2017.01.013 [published Online First: 2017/01/31]</w:t>
            </w:r>
          </w:p>
          <w:p w14:paraId="0A1CE2BC" w14:textId="77777777" w:rsidR="00BA0D32" w:rsidRPr="00BA0D32" w:rsidRDefault="00BA0D32" w:rsidP="00BA0D32">
            <w:pPr>
              <w:pStyle w:val="EndNoteBibliography"/>
              <w:ind w:left="720" w:hanging="720"/>
              <w:rPr>
                <w:rFonts w:asciiTheme="minorHAnsi" w:hAnsiTheme="minorHAnsi" w:cstheme="minorHAnsi"/>
              </w:rPr>
            </w:pPr>
            <w:r w:rsidRPr="00BA0D32">
              <w:rPr>
                <w:rFonts w:asciiTheme="minorHAnsi" w:hAnsiTheme="minorHAnsi" w:cstheme="minorHAnsi"/>
              </w:rPr>
              <w:t xml:space="preserve">Veerman JL, Zapata-Diomedi B, Gunn L, et al. Cost-effectiveness of investing in sidewalks as a means of increasing physical activity: a RESIDE modelling study. </w:t>
            </w:r>
            <w:r w:rsidRPr="00BA0D32">
              <w:rPr>
                <w:rFonts w:asciiTheme="minorHAnsi" w:hAnsiTheme="minorHAnsi" w:cstheme="minorHAnsi"/>
                <w:i/>
              </w:rPr>
              <w:t>BMJ open</w:t>
            </w:r>
            <w:r w:rsidRPr="00BA0D32">
              <w:rPr>
                <w:rFonts w:asciiTheme="minorHAnsi" w:hAnsiTheme="minorHAnsi" w:cstheme="minorHAnsi"/>
              </w:rPr>
              <w:t xml:space="preserve"> 2016;6(9):e011617. doi: 10.1136/bmjopen-2016-011617 [published Online First: 2016/09/22]</w:t>
            </w:r>
          </w:p>
          <w:p w14:paraId="0652EAA1" w14:textId="77777777" w:rsidR="00BA0D32" w:rsidRPr="00BA0D32" w:rsidRDefault="00BA0D32" w:rsidP="00BA0D32">
            <w:pPr>
              <w:rPr>
                <w:rFonts w:asciiTheme="minorHAnsi" w:hAnsiTheme="minorHAnsi" w:cstheme="minorHAnsi"/>
              </w:rPr>
            </w:pPr>
          </w:p>
        </w:tc>
      </w:tr>
      <w:tr w:rsidR="00BA0D32" w14:paraId="797FA355" w14:textId="77777777" w:rsidTr="00390A0D">
        <w:tc>
          <w:tcPr>
            <w:tcW w:w="9016" w:type="dxa"/>
          </w:tcPr>
          <w:p w14:paraId="31E0007E" w14:textId="4C3B8D9C" w:rsidR="00BA0D32" w:rsidRPr="00390A0D" w:rsidRDefault="00BA0D32" w:rsidP="00305301">
            <w:pPr>
              <w:spacing w:before="120" w:after="120"/>
              <w:rPr>
                <w:i/>
              </w:rPr>
            </w:pPr>
            <w:r>
              <w:rPr>
                <w:i/>
              </w:rPr>
              <w:lastRenderedPageBreak/>
              <w:t>BODE</w:t>
            </w:r>
            <w:r>
              <w:rPr>
                <w:i/>
                <w:vertAlign w:val="superscript"/>
              </w:rPr>
              <w:t>3</w:t>
            </w:r>
            <w:r>
              <w:rPr>
                <w:i/>
              </w:rPr>
              <w:t xml:space="preserve"> evaluation published or in press in a peer reviewed journal 2010 to 2018 inclusive</w:t>
            </w:r>
          </w:p>
        </w:tc>
      </w:tr>
      <w:tr w:rsidR="00BA0D32" w14:paraId="02A6BFB9" w14:textId="77777777" w:rsidTr="00390A0D">
        <w:tc>
          <w:tcPr>
            <w:tcW w:w="9016" w:type="dxa"/>
          </w:tcPr>
          <w:p w14:paraId="4107D744" w14:textId="0B5253C9" w:rsidR="00BA0D32" w:rsidRPr="009D62B0" w:rsidRDefault="00BA0D32" w:rsidP="00BA0D32">
            <w:pPr>
              <w:autoSpaceDE w:val="0"/>
              <w:autoSpaceDN w:val="0"/>
              <w:adjustRightInd w:val="0"/>
              <w:ind w:left="567" w:hanging="567"/>
              <w:rPr>
                <w:rFonts w:ascii="Segoe UI" w:hAnsi="Segoe UI" w:cs="Segoe UI"/>
                <w:sz w:val="18"/>
                <w:szCs w:val="18"/>
              </w:rPr>
            </w:pPr>
            <w:r w:rsidRPr="009D62B0">
              <w:rPr>
                <w:rFonts w:ascii="Segoe UI" w:hAnsi="Segoe UI" w:cs="Segoe UI"/>
                <w:sz w:val="18"/>
                <w:szCs w:val="18"/>
              </w:rPr>
              <w:t xml:space="preserve">Blakely T, </w:t>
            </w:r>
            <w:proofErr w:type="spellStart"/>
            <w:r w:rsidRPr="009D62B0">
              <w:rPr>
                <w:rFonts w:ascii="Segoe UI" w:hAnsi="Segoe UI" w:cs="Segoe UI"/>
                <w:sz w:val="18"/>
                <w:szCs w:val="18"/>
              </w:rPr>
              <w:t>Kvizhinadze</w:t>
            </w:r>
            <w:proofErr w:type="spellEnd"/>
            <w:r w:rsidRPr="009D62B0">
              <w:rPr>
                <w:rFonts w:ascii="Segoe UI" w:hAnsi="Segoe UI" w:cs="Segoe UI"/>
                <w:sz w:val="18"/>
                <w:szCs w:val="18"/>
              </w:rPr>
              <w:t xml:space="preserve"> G, Karvonen T, Pearson AL, Smith M, Wilson N. Cost-effectiveness and equity impacts of three HPV vaccination programmes for school-aged girls in New Zealand. Vaccine </w:t>
            </w:r>
            <w:proofErr w:type="gramStart"/>
            <w:r w:rsidRPr="009D62B0">
              <w:rPr>
                <w:rFonts w:ascii="Segoe UI" w:hAnsi="Segoe UI" w:cs="Segoe UI"/>
                <w:sz w:val="18"/>
                <w:szCs w:val="18"/>
              </w:rPr>
              <w:t>2014;</w:t>
            </w:r>
            <w:r w:rsidRPr="009D62B0">
              <w:rPr>
                <w:rFonts w:ascii="Segoe UI" w:hAnsi="Segoe UI" w:cs="Segoe UI"/>
                <w:b/>
                <w:bCs/>
                <w:sz w:val="18"/>
                <w:szCs w:val="18"/>
              </w:rPr>
              <w:t>32</w:t>
            </w:r>
            <w:r w:rsidRPr="009D62B0">
              <w:rPr>
                <w:rFonts w:ascii="Segoe UI" w:hAnsi="Segoe UI" w:cs="Segoe UI"/>
                <w:sz w:val="18"/>
                <w:szCs w:val="18"/>
              </w:rPr>
              <w:t>:2645</w:t>
            </w:r>
            <w:proofErr w:type="gramEnd"/>
            <w:r w:rsidRPr="009D62B0">
              <w:rPr>
                <w:rFonts w:ascii="Segoe UI" w:hAnsi="Segoe UI" w:cs="Segoe UI"/>
                <w:sz w:val="18"/>
                <w:szCs w:val="18"/>
              </w:rPr>
              <w:t>–56.</w:t>
            </w:r>
          </w:p>
          <w:p w14:paraId="4AC071EF" w14:textId="0FE2321B" w:rsidR="00BA0D32" w:rsidRPr="009D62B0" w:rsidRDefault="00BA0D32" w:rsidP="00BA0D32">
            <w:pPr>
              <w:autoSpaceDE w:val="0"/>
              <w:autoSpaceDN w:val="0"/>
              <w:adjustRightInd w:val="0"/>
              <w:ind w:left="567" w:hanging="567"/>
              <w:rPr>
                <w:rFonts w:ascii="Segoe UI" w:hAnsi="Segoe UI" w:cs="Segoe UI"/>
                <w:sz w:val="18"/>
                <w:szCs w:val="18"/>
              </w:rPr>
            </w:pPr>
            <w:r w:rsidRPr="009D62B0">
              <w:rPr>
                <w:rFonts w:ascii="Segoe UI" w:hAnsi="Segoe UI" w:cs="Segoe UI"/>
                <w:sz w:val="18"/>
                <w:szCs w:val="18"/>
              </w:rPr>
              <w:t xml:space="preserve">Pearson A, van der </w:t>
            </w:r>
            <w:proofErr w:type="spellStart"/>
            <w:r w:rsidRPr="009D62B0">
              <w:rPr>
                <w:rFonts w:ascii="Segoe UI" w:hAnsi="Segoe UI" w:cs="Segoe UI"/>
                <w:sz w:val="18"/>
                <w:szCs w:val="18"/>
              </w:rPr>
              <w:t>Deen</w:t>
            </w:r>
            <w:proofErr w:type="spellEnd"/>
            <w:r w:rsidRPr="009D62B0">
              <w:rPr>
                <w:rFonts w:ascii="Segoe UI" w:hAnsi="Segoe UI" w:cs="Segoe UI"/>
                <w:sz w:val="18"/>
                <w:szCs w:val="18"/>
              </w:rPr>
              <w:t xml:space="preserve"> F, Wilson N, </w:t>
            </w:r>
            <w:proofErr w:type="spellStart"/>
            <w:r w:rsidRPr="009D62B0">
              <w:rPr>
                <w:rFonts w:ascii="Segoe UI" w:hAnsi="Segoe UI" w:cs="Segoe UI"/>
                <w:sz w:val="18"/>
                <w:szCs w:val="18"/>
              </w:rPr>
              <w:t>Cobiac</w:t>
            </w:r>
            <w:proofErr w:type="spellEnd"/>
            <w:r w:rsidRPr="009D62B0">
              <w:rPr>
                <w:rFonts w:ascii="Segoe UI" w:hAnsi="Segoe UI" w:cs="Segoe UI"/>
                <w:sz w:val="18"/>
                <w:szCs w:val="18"/>
              </w:rPr>
              <w:t xml:space="preserve"> L, Blakely T. Theoretical impacts of a range of major tobacco retail outlet reduction interventions: Modelling results in a country with a </w:t>
            </w:r>
            <w:proofErr w:type="spellStart"/>
            <w:r w:rsidRPr="009D62B0">
              <w:rPr>
                <w:rFonts w:ascii="Segoe UI" w:hAnsi="Segoe UI" w:cs="Segoe UI"/>
                <w:sz w:val="18"/>
                <w:szCs w:val="18"/>
              </w:rPr>
              <w:t>smokefree</w:t>
            </w:r>
            <w:proofErr w:type="spellEnd"/>
            <w:r w:rsidRPr="009D62B0">
              <w:rPr>
                <w:rFonts w:ascii="Segoe UI" w:hAnsi="Segoe UI" w:cs="Segoe UI"/>
                <w:sz w:val="18"/>
                <w:szCs w:val="18"/>
              </w:rPr>
              <w:t xml:space="preserve"> nation goal. Tobacco Control 2014;</w:t>
            </w:r>
            <w:r w:rsidRPr="009D62B0">
              <w:rPr>
                <w:rFonts w:ascii="Segoe UI" w:hAnsi="Segoe UI" w:cs="Segoe UI"/>
                <w:b/>
                <w:bCs/>
                <w:sz w:val="18"/>
                <w:szCs w:val="18"/>
              </w:rPr>
              <w:t>24</w:t>
            </w:r>
            <w:r w:rsidRPr="009D62B0">
              <w:rPr>
                <w:rFonts w:ascii="Segoe UI" w:hAnsi="Segoe UI" w:cs="Segoe UI"/>
                <w:sz w:val="18"/>
                <w:szCs w:val="18"/>
              </w:rPr>
              <w:t>(e1).</w:t>
            </w:r>
          </w:p>
          <w:p w14:paraId="53DFCD2B" w14:textId="7F5726A6" w:rsidR="00BA0D32" w:rsidRPr="009D62B0" w:rsidRDefault="00BA0D32" w:rsidP="00BA0D32">
            <w:pPr>
              <w:autoSpaceDE w:val="0"/>
              <w:autoSpaceDN w:val="0"/>
              <w:adjustRightInd w:val="0"/>
              <w:ind w:left="567" w:hanging="567"/>
              <w:rPr>
                <w:rFonts w:ascii="Segoe UI" w:hAnsi="Segoe UI" w:cs="Segoe UI"/>
                <w:sz w:val="18"/>
                <w:szCs w:val="18"/>
              </w:rPr>
            </w:pPr>
            <w:r w:rsidRPr="009D62B0">
              <w:rPr>
                <w:rFonts w:ascii="Segoe UI" w:hAnsi="Segoe UI" w:cs="Segoe UI"/>
                <w:sz w:val="18"/>
                <w:szCs w:val="18"/>
              </w:rPr>
              <w:t xml:space="preserve">Pearson AL, </w:t>
            </w:r>
            <w:proofErr w:type="spellStart"/>
            <w:r w:rsidRPr="009D62B0">
              <w:rPr>
                <w:rFonts w:ascii="Segoe UI" w:hAnsi="Segoe UI" w:cs="Segoe UI"/>
                <w:sz w:val="18"/>
                <w:szCs w:val="18"/>
              </w:rPr>
              <w:t>Kvizhinadze</w:t>
            </w:r>
            <w:proofErr w:type="spellEnd"/>
            <w:r w:rsidRPr="009D62B0">
              <w:rPr>
                <w:rFonts w:ascii="Segoe UI" w:hAnsi="Segoe UI" w:cs="Segoe UI"/>
                <w:sz w:val="18"/>
                <w:szCs w:val="18"/>
              </w:rPr>
              <w:t xml:space="preserve"> G, Wilson N, Smith M, </w:t>
            </w:r>
            <w:proofErr w:type="spellStart"/>
            <w:r w:rsidRPr="009D62B0">
              <w:rPr>
                <w:rFonts w:ascii="Segoe UI" w:hAnsi="Segoe UI" w:cs="Segoe UI"/>
                <w:sz w:val="18"/>
                <w:szCs w:val="18"/>
              </w:rPr>
              <w:t>Canfell</w:t>
            </w:r>
            <w:proofErr w:type="spellEnd"/>
            <w:r w:rsidRPr="009D62B0">
              <w:rPr>
                <w:rFonts w:ascii="Segoe UI" w:hAnsi="Segoe UI" w:cs="Segoe UI"/>
                <w:sz w:val="18"/>
                <w:szCs w:val="18"/>
              </w:rPr>
              <w:t xml:space="preserve"> K, Blakely T. Is expanding HPV vaccination programs to include school-aged boys likely to be value-for-money: a cost-utility analysis in a country with an existing school-girl program. BMC Infect Dis </w:t>
            </w:r>
            <w:proofErr w:type="gramStart"/>
            <w:r w:rsidRPr="009D62B0">
              <w:rPr>
                <w:rFonts w:ascii="Segoe UI" w:hAnsi="Segoe UI" w:cs="Segoe UI"/>
                <w:sz w:val="18"/>
                <w:szCs w:val="18"/>
              </w:rPr>
              <w:t>2014;</w:t>
            </w:r>
            <w:r w:rsidRPr="009D62B0">
              <w:rPr>
                <w:rFonts w:ascii="Segoe UI" w:hAnsi="Segoe UI" w:cs="Segoe UI"/>
                <w:b/>
                <w:bCs/>
                <w:sz w:val="18"/>
                <w:szCs w:val="18"/>
              </w:rPr>
              <w:t>14</w:t>
            </w:r>
            <w:r w:rsidRPr="009D62B0">
              <w:rPr>
                <w:rFonts w:ascii="Segoe UI" w:hAnsi="Segoe UI" w:cs="Segoe UI"/>
                <w:sz w:val="18"/>
                <w:szCs w:val="18"/>
              </w:rPr>
              <w:t>:351</w:t>
            </w:r>
            <w:proofErr w:type="gramEnd"/>
            <w:r w:rsidRPr="009D62B0">
              <w:rPr>
                <w:rFonts w:ascii="Segoe UI" w:hAnsi="Segoe UI" w:cs="Segoe UI"/>
                <w:sz w:val="18"/>
                <w:szCs w:val="18"/>
              </w:rPr>
              <w:t>.</w:t>
            </w:r>
          </w:p>
          <w:p w14:paraId="28A03AAB" w14:textId="19891CC4" w:rsidR="00BA0D32" w:rsidRPr="009D62B0" w:rsidRDefault="00BA0D32" w:rsidP="00BA0D32">
            <w:pPr>
              <w:autoSpaceDE w:val="0"/>
              <w:autoSpaceDN w:val="0"/>
              <w:adjustRightInd w:val="0"/>
              <w:ind w:left="567" w:hanging="567"/>
              <w:rPr>
                <w:rFonts w:ascii="Segoe UI" w:hAnsi="Segoe UI" w:cs="Segoe UI"/>
                <w:sz w:val="18"/>
                <w:szCs w:val="18"/>
              </w:rPr>
            </w:pPr>
            <w:r w:rsidRPr="009D62B0">
              <w:rPr>
                <w:rFonts w:ascii="Segoe UI" w:hAnsi="Segoe UI" w:cs="Segoe UI"/>
                <w:sz w:val="18"/>
                <w:szCs w:val="18"/>
              </w:rPr>
              <w:t xml:space="preserve">Blakely T, </w:t>
            </w:r>
            <w:proofErr w:type="spellStart"/>
            <w:r w:rsidRPr="009D62B0">
              <w:rPr>
                <w:rFonts w:ascii="Segoe UI" w:hAnsi="Segoe UI" w:cs="Segoe UI"/>
                <w:sz w:val="18"/>
                <w:szCs w:val="18"/>
              </w:rPr>
              <w:t>Cobiac</w:t>
            </w:r>
            <w:proofErr w:type="spellEnd"/>
            <w:r w:rsidRPr="009D62B0">
              <w:rPr>
                <w:rFonts w:ascii="Segoe UI" w:hAnsi="Segoe UI" w:cs="Segoe UI"/>
                <w:sz w:val="18"/>
                <w:szCs w:val="18"/>
              </w:rPr>
              <w:t xml:space="preserve"> LJ, Cleghorn CL, Pearson AL, van der </w:t>
            </w:r>
            <w:proofErr w:type="spellStart"/>
            <w:r w:rsidRPr="009D62B0">
              <w:rPr>
                <w:rFonts w:ascii="Segoe UI" w:hAnsi="Segoe UI" w:cs="Segoe UI"/>
                <w:sz w:val="18"/>
                <w:szCs w:val="18"/>
              </w:rPr>
              <w:t>Deen</w:t>
            </w:r>
            <w:proofErr w:type="spellEnd"/>
            <w:r w:rsidRPr="009D62B0">
              <w:rPr>
                <w:rFonts w:ascii="Segoe UI" w:hAnsi="Segoe UI" w:cs="Segoe UI"/>
                <w:sz w:val="18"/>
                <w:szCs w:val="18"/>
              </w:rPr>
              <w:t xml:space="preserve"> FS, </w:t>
            </w:r>
            <w:proofErr w:type="spellStart"/>
            <w:r w:rsidRPr="009D62B0">
              <w:rPr>
                <w:rFonts w:ascii="Segoe UI" w:hAnsi="Segoe UI" w:cs="Segoe UI"/>
                <w:sz w:val="18"/>
                <w:szCs w:val="18"/>
              </w:rPr>
              <w:t>Kvizhinadze</w:t>
            </w:r>
            <w:proofErr w:type="spellEnd"/>
            <w:r w:rsidRPr="009D62B0">
              <w:rPr>
                <w:rFonts w:ascii="Segoe UI" w:hAnsi="Segoe UI" w:cs="Segoe UI"/>
                <w:sz w:val="18"/>
                <w:szCs w:val="18"/>
              </w:rPr>
              <w:t xml:space="preserve"> G, Nghiem N, McLeod M, Wilson N. Health, Health Inequality, and Cost Impacts of Annual Increases in Tobacco Tax: Multistate Life Table </w:t>
            </w:r>
            <w:proofErr w:type="spellStart"/>
            <w:r w:rsidRPr="009D62B0">
              <w:rPr>
                <w:rFonts w:ascii="Segoe UI" w:hAnsi="Segoe UI" w:cs="Segoe UI"/>
                <w:sz w:val="18"/>
                <w:szCs w:val="18"/>
              </w:rPr>
              <w:t>Modeling</w:t>
            </w:r>
            <w:proofErr w:type="spellEnd"/>
            <w:r w:rsidRPr="009D62B0">
              <w:rPr>
                <w:rFonts w:ascii="Segoe UI" w:hAnsi="Segoe UI" w:cs="Segoe UI"/>
                <w:sz w:val="18"/>
                <w:szCs w:val="18"/>
              </w:rPr>
              <w:t xml:space="preserve"> in New Zealand. </w:t>
            </w:r>
            <w:proofErr w:type="spellStart"/>
            <w:r w:rsidRPr="009D62B0">
              <w:rPr>
                <w:rFonts w:ascii="Segoe UI" w:hAnsi="Segoe UI" w:cs="Segoe UI"/>
                <w:sz w:val="18"/>
                <w:szCs w:val="18"/>
              </w:rPr>
              <w:t>PLoS</w:t>
            </w:r>
            <w:proofErr w:type="spellEnd"/>
            <w:r w:rsidRPr="009D62B0">
              <w:rPr>
                <w:rFonts w:ascii="Segoe UI" w:hAnsi="Segoe UI" w:cs="Segoe UI"/>
                <w:sz w:val="18"/>
                <w:szCs w:val="18"/>
              </w:rPr>
              <w:t xml:space="preserve"> Med 2015;</w:t>
            </w:r>
            <w:r w:rsidRPr="009D62B0">
              <w:rPr>
                <w:rFonts w:ascii="Segoe UI" w:hAnsi="Segoe UI" w:cs="Segoe UI"/>
                <w:b/>
                <w:bCs/>
                <w:sz w:val="18"/>
                <w:szCs w:val="18"/>
              </w:rPr>
              <w:t>12</w:t>
            </w:r>
            <w:r w:rsidRPr="009D62B0">
              <w:rPr>
                <w:rFonts w:ascii="Segoe UI" w:hAnsi="Segoe UI" w:cs="Segoe UI"/>
                <w:sz w:val="18"/>
                <w:szCs w:val="18"/>
              </w:rPr>
              <w:t>(7</w:t>
            </w:r>
            <w:proofErr w:type="gramStart"/>
            <w:r w:rsidRPr="009D62B0">
              <w:rPr>
                <w:rFonts w:ascii="Segoe UI" w:hAnsi="Segoe UI" w:cs="Segoe UI"/>
                <w:sz w:val="18"/>
                <w:szCs w:val="18"/>
              </w:rPr>
              <w:t>):e</w:t>
            </w:r>
            <w:proofErr w:type="gramEnd"/>
            <w:r w:rsidRPr="009D62B0">
              <w:rPr>
                <w:rFonts w:ascii="Segoe UI" w:hAnsi="Segoe UI" w:cs="Segoe UI"/>
                <w:sz w:val="18"/>
                <w:szCs w:val="18"/>
              </w:rPr>
              <w:t>1001856.</w:t>
            </w:r>
          </w:p>
          <w:p w14:paraId="25F77269" w14:textId="202D8700" w:rsidR="00BA0D32" w:rsidRPr="009D62B0" w:rsidRDefault="00BA0D32" w:rsidP="00BA0D32">
            <w:pPr>
              <w:autoSpaceDE w:val="0"/>
              <w:autoSpaceDN w:val="0"/>
              <w:adjustRightInd w:val="0"/>
              <w:ind w:left="567" w:hanging="567"/>
              <w:rPr>
                <w:rFonts w:ascii="Segoe UI" w:hAnsi="Segoe UI" w:cs="Segoe UI"/>
                <w:sz w:val="18"/>
                <w:szCs w:val="18"/>
              </w:rPr>
            </w:pPr>
            <w:r w:rsidRPr="009D62B0">
              <w:rPr>
                <w:rFonts w:ascii="Segoe UI" w:hAnsi="Segoe UI" w:cs="Segoe UI"/>
                <w:sz w:val="18"/>
                <w:szCs w:val="18"/>
              </w:rPr>
              <w:t xml:space="preserve">Blakely T, Collinson L, </w:t>
            </w:r>
            <w:proofErr w:type="spellStart"/>
            <w:r w:rsidRPr="009D62B0">
              <w:rPr>
                <w:rFonts w:ascii="Segoe UI" w:hAnsi="Segoe UI" w:cs="Segoe UI"/>
                <w:sz w:val="18"/>
                <w:szCs w:val="18"/>
              </w:rPr>
              <w:t>Kvizhinadze</w:t>
            </w:r>
            <w:proofErr w:type="spellEnd"/>
            <w:r w:rsidRPr="009D62B0">
              <w:rPr>
                <w:rFonts w:ascii="Segoe UI" w:hAnsi="Segoe UI" w:cs="Segoe UI"/>
                <w:sz w:val="18"/>
                <w:szCs w:val="18"/>
              </w:rPr>
              <w:t xml:space="preserve"> G, Foster R, Dennett E, </w:t>
            </w:r>
            <w:proofErr w:type="spellStart"/>
            <w:r w:rsidRPr="009D62B0">
              <w:rPr>
                <w:rFonts w:ascii="Segoe UI" w:hAnsi="Segoe UI" w:cs="Segoe UI"/>
                <w:sz w:val="18"/>
                <w:szCs w:val="18"/>
              </w:rPr>
              <w:t>Sarfati</w:t>
            </w:r>
            <w:proofErr w:type="spellEnd"/>
            <w:r w:rsidRPr="009D62B0">
              <w:rPr>
                <w:rFonts w:ascii="Segoe UI" w:hAnsi="Segoe UI" w:cs="Segoe UI"/>
                <w:sz w:val="18"/>
                <w:szCs w:val="18"/>
              </w:rPr>
              <w:t xml:space="preserve"> D. Cancer care coordinators in stage III colon cancer: a cost-utility analysis BMC Health Services Research 2015;</w:t>
            </w:r>
            <w:r w:rsidRPr="009D62B0">
              <w:rPr>
                <w:rFonts w:ascii="Segoe UI" w:hAnsi="Segoe UI" w:cs="Segoe UI"/>
                <w:b/>
                <w:bCs/>
                <w:sz w:val="18"/>
                <w:szCs w:val="18"/>
              </w:rPr>
              <w:t>15</w:t>
            </w:r>
            <w:r w:rsidRPr="009D62B0">
              <w:rPr>
                <w:rFonts w:ascii="Segoe UI" w:hAnsi="Segoe UI" w:cs="Segoe UI"/>
                <w:sz w:val="18"/>
                <w:szCs w:val="18"/>
              </w:rPr>
              <w:t>:306.</w:t>
            </w:r>
          </w:p>
          <w:p w14:paraId="207B2B3F" w14:textId="281532F0" w:rsidR="00BA0D32" w:rsidRPr="009D62B0" w:rsidRDefault="00BA0D32" w:rsidP="00BA0D32">
            <w:pPr>
              <w:autoSpaceDE w:val="0"/>
              <w:autoSpaceDN w:val="0"/>
              <w:adjustRightInd w:val="0"/>
              <w:ind w:left="567" w:hanging="567"/>
              <w:rPr>
                <w:rFonts w:ascii="Segoe UI" w:hAnsi="Segoe UI" w:cs="Segoe UI"/>
                <w:sz w:val="18"/>
                <w:szCs w:val="18"/>
              </w:rPr>
            </w:pPr>
            <w:r w:rsidRPr="009D62B0">
              <w:rPr>
                <w:rFonts w:ascii="Segoe UI" w:hAnsi="Segoe UI" w:cs="Segoe UI"/>
                <w:sz w:val="18"/>
                <w:szCs w:val="18"/>
              </w:rPr>
              <w:t xml:space="preserve">Nghiem N, Blakely T, </w:t>
            </w:r>
            <w:proofErr w:type="spellStart"/>
            <w:r w:rsidRPr="009D62B0">
              <w:rPr>
                <w:rFonts w:ascii="Segoe UI" w:hAnsi="Segoe UI" w:cs="Segoe UI"/>
                <w:sz w:val="18"/>
                <w:szCs w:val="18"/>
              </w:rPr>
              <w:t>Cobiac</w:t>
            </w:r>
            <w:proofErr w:type="spellEnd"/>
            <w:r w:rsidRPr="009D62B0">
              <w:rPr>
                <w:rFonts w:ascii="Segoe UI" w:hAnsi="Segoe UI" w:cs="Segoe UI"/>
                <w:sz w:val="18"/>
                <w:szCs w:val="18"/>
              </w:rPr>
              <w:t xml:space="preserve"> LJ, Pearson AL, Wilson N. Health and Economic Impacts of Eight Different Dietary Salt Reduction Interventions. </w:t>
            </w:r>
            <w:proofErr w:type="spellStart"/>
            <w:r w:rsidRPr="009D62B0">
              <w:rPr>
                <w:rFonts w:ascii="Segoe UI" w:hAnsi="Segoe UI" w:cs="Segoe UI"/>
                <w:sz w:val="18"/>
                <w:szCs w:val="18"/>
              </w:rPr>
              <w:t>PLoS</w:t>
            </w:r>
            <w:proofErr w:type="spellEnd"/>
            <w:r w:rsidRPr="009D62B0">
              <w:rPr>
                <w:rFonts w:ascii="Segoe UI" w:hAnsi="Segoe UI" w:cs="Segoe UI"/>
                <w:sz w:val="18"/>
                <w:szCs w:val="18"/>
              </w:rPr>
              <w:t xml:space="preserve"> One 2015;</w:t>
            </w:r>
            <w:r w:rsidRPr="009D62B0">
              <w:rPr>
                <w:rFonts w:ascii="Segoe UI" w:hAnsi="Segoe UI" w:cs="Segoe UI"/>
                <w:b/>
                <w:bCs/>
                <w:sz w:val="18"/>
                <w:szCs w:val="18"/>
              </w:rPr>
              <w:t>10</w:t>
            </w:r>
            <w:r w:rsidRPr="009D62B0">
              <w:rPr>
                <w:rFonts w:ascii="Segoe UI" w:hAnsi="Segoe UI" w:cs="Segoe UI"/>
                <w:sz w:val="18"/>
                <w:szCs w:val="18"/>
              </w:rPr>
              <w:t>(4</w:t>
            </w:r>
            <w:proofErr w:type="gramStart"/>
            <w:r w:rsidRPr="009D62B0">
              <w:rPr>
                <w:rFonts w:ascii="Segoe UI" w:hAnsi="Segoe UI" w:cs="Segoe UI"/>
                <w:sz w:val="18"/>
                <w:szCs w:val="18"/>
              </w:rPr>
              <w:t>):e</w:t>
            </w:r>
            <w:proofErr w:type="gramEnd"/>
            <w:r w:rsidRPr="009D62B0">
              <w:rPr>
                <w:rFonts w:ascii="Segoe UI" w:hAnsi="Segoe UI" w:cs="Segoe UI"/>
                <w:sz w:val="18"/>
                <w:szCs w:val="18"/>
              </w:rPr>
              <w:t>0123915.</w:t>
            </w:r>
          </w:p>
          <w:p w14:paraId="7E84183F" w14:textId="2D8758EC" w:rsidR="00BA0D32" w:rsidRPr="009D62B0" w:rsidRDefault="00BA0D32" w:rsidP="00BA0D32">
            <w:pPr>
              <w:autoSpaceDE w:val="0"/>
              <w:autoSpaceDN w:val="0"/>
              <w:adjustRightInd w:val="0"/>
              <w:ind w:left="567" w:hanging="567"/>
              <w:rPr>
                <w:rFonts w:ascii="Segoe UI" w:hAnsi="Segoe UI" w:cs="Segoe UI"/>
                <w:sz w:val="18"/>
                <w:szCs w:val="18"/>
              </w:rPr>
            </w:pPr>
            <w:r w:rsidRPr="009D62B0">
              <w:rPr>
                <w:rFonts w:ascii="Segoe UI" w:hAnsi="Segoe UI" w:cs="Segoe UI"/>
                <w:sz w:val="18"/>
                <w:szCs w:val="18"/>
              </w:rPr>
              <w:t xml:space="preserve">Webber-Foster R, </w:t>
            </w:r>
            <w:proofErr w:type="spellStart"/>
            <w:r w:rsidRPr="009D62B0">
              <w:rPr>
                <w:rFonts w:ascii="Segoe UI" w:hAnsi="Segoe UI" w:cs="Segoe UI"/>
                <w:sz w:val="18"/>
                <w:szCs w:val="18"/>
              </w:rPr>
              <w:t>Kvizhinadze</w:t>
            </w:r>
            <w:proofErr w:type="spellEnd"/>
            <w:r w:rsidRPr="009D62B0">
              <w:rPr>
                <w:rFonts w:ascii="Segoe UI" w:hAnsi="Segoe UI" w:cs="Segoe UI"/>
                <w:sz w:val="18"/>
                <w:szCs w:val="18"/>
              </w:rPr>
              <w:t xml:space="preserve"> G, </w:t>
            </w:r>
            <w:proofErr w:type="spellStart"/>
            <w:r w:rsidRPr="009D62B0">
              <w:rPr>
                <w:rFonts w:ascii="Segoe UI" w:hAnsi="Segoe UI" w:cs="Segoe UI"/>
                <w:sz w:val="18"/>
                <w:szCs w:val="18"/>
              </w:rPr>
              <w:t>Rivalland</w:t>
            </w:r>
            <w:proofErr w:type="spellEnd"/>
            <w:r w:rsidRPr="009D62B0">
              <w:rPr>
                <w:rFonts w:ascii="Segoe UI" w:hAnsi="Segoe UI" w:cs="Segoe UI"/>
                <w:sz w:val="18"/>
                <w:szCs w:val="18"/>
              </w:rPr>
              <w:t xml:space="preserve"> G, Blakely T. Cost-effectiveness analysis of docetaxel versus weekly paclitaxel in adjuvant treatment of regional breast cancer in New Zealand. Pharmacoeconomics </w:t>
            </w:r>
            <w:proofErr w:type="gramStart"/>
            <w:r w:rsidRPr="009D62B0">
              <w:rPr>
                <w:rFonts w:ascii="Segoe UI" w:hAnsi="Segoe UI" w:cs="Segoe UI"/>
                <w:sz w:val="18"/>
                <w:szCs w:val="18"/>
              </w:rPr>
              <w:t>2015;</w:t>
            </w:r>
            <w:r w:rsidRPr="009D62B0">
              <w:rPr>
                <w:rFonts w:ascii="Segoe UI" w:hAnsi="Segoe UI" w:cs="Segoe UI"/>
                <w:b/>
                <w:bCs/>
                <w:sz w:val="18"/>
                <w:szCs w:val="18"/>
              </w:rPr>
              <w:t>32</w:t>
            </w:r>
            <w:r w:rsidRPr="009D62B0">
              <w:rPr>
                <w:rFonts w:ascii="Segoe UI" w:hAnsi="Segoe UI" w:cs="Segoe UI"/>
                <w:sz w:val="18"/>
                <w:szCs w:val="18"/>
              </w:rPr>
              <w:t>:707</w:t>
            </w:r>
            <w:proofErr w:type="gramEnd"/>
            <w:r w:rsidRPr="009D62B0">
              <w:rPr>
                <w:rFonts w:ascii="Segoe UI" w:hAnsi="Segoe UI" w:cs="Segoe UI"/>
                <w:sz w:val="18"/>
                <w:szCs w:val="18"/>
              </w:rPr>
              <w:t>-24.</w:t>
            </w:r>
          </w:p>
          <w:p w14:paraId="2C3E3110" w14:textId="7FD3F4F0" w:rsidR="00BA0D32" w:rsidRPr="009D62B0" w:rsidRDefault="00BA0D32" w:rsidP="00BA0D32">
            <w:pPr>
              <w:autoSpaceDE w:val="0"/>
              <w:autoSpaceDN w:val="0"/>
              <w:adjustRightInd w:val="0"/>
              <w:ind w:left="567" w:hanging="567"/>
              <w:rPr>
                <w:rFonts w:ascii="Segoe UI" w:hAnsi="Segoe UI" w:cs="Segoe UI"/>
                <w:sz w:val="18"/>
                <w:szCs w:val="18"/>
              </w:rPr>
            </w:pPr>
            <w:r w:rsidRPr="009D62B0">
              <w:rPr>
                <w:rFonts w:ascii="Segoe UI" w:hAnsi="Segoe UI" w:cs="Segoe UI"/>
                <w:sz w:val="18"/>
                <w:szCs w:val="18"/>
              </w:rPr>
              <w:lastRenderedPageBreak/>
              <w:t xml:space="preserve">Collinson L, </w:t>
            </w:r>
            <w:proofErr w:type="spellStart"/>
            <w:r w:rsidRPr="009D62B0">
              <w:rPr>
                <w:rFonts w:ascii="Segoe UI" w:hAnsi="Segoe UI" w:cs="Segoe UI"/>
                <w:sz w:val="18"/>
                <w:szCs w:val="18"/>
              </w:rPr>
              <w:t>Kvizhinadze</w:t>
            </w:r>
            <w:proofErr w:type="spellEnd"/>
            <w:r w:rsidRPr="009D62B0">
              <w:rPr>
                <w:rFonts w:ascii="Segoe UI" w:hAnsi="Segoe UI" w:cs="Segoe UI"/>
                <w:sz w:val="18"/>
                <w:szCs w:val="18"/>
              </w:rPr>
              <w:t xml:space="preserve"> G, Nair N, McLeod M, Blakely T. Economic evaluation of single-fraction versus multiple-fraction palliative radiotherapy for painful bone metastases in breast, lung and prostate cancer. Journal of Medical Imaging and Radiation Oncology 2016;</w:t>
            </w:r>
            <w:r w:rsidRPr="009D62B0">
              <w:rPr>
                <w:rFonts w:ascii="Segoe UI" w:hAnsi="Segoe UI" w:cs="Segoe UI"/>
                <w:b/>
                <w:bCs/>
                <w:sz w:val="18"/>
                <w:szCs w:val="18"/>
              </w:rPr>
              <w:t>60</w:t>
            </w:r>
            <w:r w:rsidRPr="009D62B0">
              <w:rPr>
                <w:rFonts w:ascii="Segoe UI" w:hAnsi="Segoe UI" w:cs="Segoe UI"/>
                <w:sz w:val="18"/>
                <w:szCs w:val="18"/>
              </w:rPr>
              <w:t>(5):650-60.</w:t>
            </w:r>
          </w:p>
          <w:p w14:paraId="644E2AEA" w14:textId="6FA89881" w:rsidR="00BA0D32" w:rsidRPr="009D62B0" w:rsidRDefault="00BA0D32" w:rsidP="00BA0D32">
            <w:pPr>
              <w:autoSpaceDE w:val="0"/>
              <w:autoSpaceDN w:val="0"/>
              <w:adjustRightInd w:val="0"/>
              <w:ind w:left="567" w:hanging="567"/>
              <w:rPr>
                <w:rFonts w:ascii="Segoe UI" w:hAnsi="Segoe UI" w:cs="Segoe UI"/>
                <w:sz w:val="18"/>
                <w:szCs w:val="18"/>
              </w:rPr>
            </w:pPr>
            <w:r w:rsidRPr="009D62B0">
              <w:rPr>
                <w:rFonts w:ascii="Segoe UI" w:hAnsi="Segoe UI" w:cs="Segoe UI"/>
                <w:sz w:val="18"/>
                <w:szCs w:val="18"/>
              </w:rPr>
              <w:t xml:space="preserve">Leung W, </w:t>
            </w:r>
            <w:proofErr w:type="spellStart"/>
            <w:r w:rsidRPr="009D62B0">
              <w:rPr>
                <w:rFonts w:ascii="Segoe UI" w:hAnsi="Segoe UI" w:cs="Segoe UI"/>
                <w:sz w:val="18"/>
                <w:szCs w:val="18"/>
              </w:rPr>
              <w:t>Kvizhinadze</w:t>
            </w:r>
            <w:proofErr w:type="spellEnd"/>
            <w:r w:rsidRPr="009D62B0">
              <w:rPr>
                <w:rFonts w:ascii="Segoe UI" w:hAnsi="Segoe UI" w:cs="Segoe UI"/>
                <w:sz w:val="18"/>
                <w:szCs w:val="18"/>
              </w:rPr>
              <w:t xml:space="preserve"> G, Nair N, Blakely T. Adjuvant Trastuzumab in HER2-Positive Early Breast Cancer by Age and Hormone Receptor Status: A Cost-Utility Analysis. </w:t>
            </w:r>
            <w:proofErr w:type="spellStart"/>
            <w:r w:rsidRPr="009D62B0">
              <w:rPr>
                <w:rFonts w:ascii="Segoe UI" w:hAnsi="Segoe UI" w:cs="Segoe UI"/>
                <w:sz w:val="18"/>
                <w:szCs w:val="18"/>
              </w:rPr>
              <w:t>PLoS</w:t>
            </w:r>
            <w:proofErr w:type="spellEnd"/>
            <w:r w:rsidRPr="009D62B0">
              <w:rPr>
                <w:rFonts w:ascii="Segoe UI" w:hAnsi="Segoe UI" w:cs="Segoe UI"/>
                <w:sz w:val="18"/>
                <w:szCs w:val="18"/>
              </w:rPr>
              <w:t xml:space="preserve"> Med 2016;</w:t>
            </w:r>
            <w:r w:rsidRPr="009D62B0">
              <w:rPr>
                <w:rFonts w:ascii="Segoe UI" w:hAnsi="Segoe UI" w:cs="Segoe UI"/>
                <w:b/>
                <w:bCs/>
                <w:sz w:val="18"/>
                <w:szCs w:val="18"/>
              </w:rPr>
              <w:t>13</w:t>
            </w:r>
            <w:r w:rsidRPr="009D62B0">
              <w:rPr>
                <w:rFonts w:ascii="Segoe UI" w:hAnsi="Segoe UI" w:cs="Segoe UI"/>
                <w:sz w:val="18"/>
                <w:szCs w:val="18"/>
              </w:rPr>
              <w:t>(8</w:t>
            </w:r>
            <w:proofErr w:type="gramStart"/>
            <w:r w:rsidRPr="009D62B0">
              <w:rPr>
                <w:rFonts w:ascii="Segoe UI" w:hAnsi="Segoe UI" w:cs="Segoe UI"/>
                <w:sz w:val="18"/>
                <w:szCs w:val="18"/>
              </w:rPr>
              <w:t>):e</w:t>
            </w:r>
            <w:proofErr w:type="gramEnd"/>
            <w:r w:rsidRPr="009D62B0">
              <w:rPr>
                <w:rFonts w:ascii="Segoe UI" w:hAnsi="Segoe UI" w:cs="Segoe UI"/>
                <w:sz w:val="18"/>
                <w:szCs w:val="18"/>
              </w:rPr>
              <w:t>1002067.</w:t>
            </w:r>
          </w:p>
          <w:p w14:paraId="25D13923" w14:textId="79EE4F16" w:rsidR="00BA0D32" w:rsidRPr="009D62B0" w:rsidRDefault="00BA0D32" w:rsidP="00BA0D32">
            <w:pPr>
              <w:autoSpaceDE w:val="0"/>
              <w:autoSpaceDN w:val="0"/>
              <w:adjustRightInd w:val="0"/>
              <w:ind w:left="567" w:hanging="567"/>
              <w:rPr>
                <w:rFonts w:ascii="Segoe UI" w:hAnsi="Segoe UI" w:cs="Segoe UI"/>
                <w:sz w:val="18"/>
                <w:szCs w:val="18"/>
              </w:rPr>
            </w:pPr>
            <w:r w:rsidRPr="009D62B0">
              <w:rPr>
                <w:rFonts w:ascii="Segoe UI" w:hAnsi="Segoe UI" w:cs="Segoe UI"/>
                <w:sz w:val="18"/>
                <w:szCs w:val="18"/>
              </w:rPr>
              <w:t xml:space="preserve">Nair N, </w:t>
            </w:r>
            <w:proofErr w:type="spellStart"/>
            <w:r w:rsidRPr="009D62B0">
              <w:rPr>
                <w:rFonts w:ascii="Segoe UI" w:hAnsi="Segoe UI" w:cs="Segoe UI"/>
                <w:sz w:val="18"/>
                <w:szCs w:val="18"/>
              </w:rPr>
              <w:t>Kvizhinadze</w:t>
            </w:r>
            <w:proofErr w:type="spellEnd"/>
            <w:r w:rsidRPr="009D62B0">
              <w:rPr>
                <w:rFonts w:ascii="Segoe UI" w:hAnsi="Segoe UI" w:cs="Segoe UI"/>
                <w:sz w:val="18"/>
                <w:szCs w:val="18"/>
              </w:rPr>
              <w:t xml:space="preserve"> G, Blakely T. Cancer Care Coordinators to Improve Tamoxifen Persistence in Breast Cancer: How Heterogeneity in Baseline Prognosis Impacts on Cost-Effectiveness. Value Health 2016;</w:t>
            </w:r>
            <w:r w:rsidRPr="009D62B0">
              <w:rPr>
                <w:rFonts w:ascii="Segoe UI" w:hAnsi="Segoe UI" w:cs="Segoe UI"/>
                <w:b/>
                <w:bCs/>
                <w:sz w:val="18"/>
                <w:szCs w:val="18"/>
              </w:rPr>
              <w:t>19</w:t>
            </w:r>
            <w:r w:rsidRPr="009D62B0">
              <w:rPr>
                <w:rFonts w:ascii="Segoe UI" w:hAnsi="Segoe UI" w:cs="Segoe UI"/>
                <w:sz w:val="18"/>
                <w:szCs w:val="18"/>
              </w:rPr>
              <w:t>(8):936-44.</w:t>
            </w:r>
          </w:p>
          <w:p w14:paraId="6689BD4B" w14:textId="4982597D" w:rsidR="00BA0D32" w:rsidRPr="009D62B0" w:rsidRDefault="00BA0D32" w:rsidP="00BA0D32">
            <w:pPr>
              <w:autoSpaceDE w:val="0"/>
              <w:autoSpaceDN w:val="0"/>
              <w:adjustRightInd w:val="0"/>
              <w:ind w:left="567" w:hanging="567"/>
              <w:rPr>
                <w:rFonts w:ascii="Segoe UI" w:hAnsi="Segoe UI" w:cs="Segoe UI"/>
                <w:sz w:val="18"/>
                <w:szCs w:val="18"/>
              </w:rPr>
            </w:pPr>
            <w:r w:rsidRPr="009D62B0">
              <w:rPr>
                <w:rFonts w:ascii="Segoe UI" w:hAnsi="Segoe UI" w:cs="Segoe UI"/>
                <w:sz w:val="18"/>
                <w:szCs w:val="18"/>
              </w:rPr>
              <w:t xml:space="preserve">Nghiem N, Blakely T, </w:t>
            </w:r>
            <w:proofErr w:type="spellStart"/>
            <w:r w:rsidRPr="009D62B0">
              <w:rPr>
                <w:rFonts w:ascii="Segoe UI" w:hAnsi="Segoe UI" w:cs="Segoe UI"/>
                <w:sz w:val="18"/>
                <w:szCs w:val="18"/>
              </w:rPr>
              <w:t>Cobiac</w:t>
            </w:r>
            <w:proofErr w:type="spellEnd"/>
            <w:r w:rsidRPr="009D62B0">
              <w:rPr>
                <w:rFonts w:ascii="Segoe UI" w:hAnsi="Segoe UI" w:cs="Segoe UI"/>
                <w:sz w:val="18"/>
                <w:szCs w:val="18"/>
              </w:rPr>
              <w:t xml:space="preserve"> LJ, Cleghorn CL, Wilson N. The health gains and cost savings of dietary salt reduction interventions, with equity and age distributional aspects. BMC Public Health 2016;</w:t>
            </w:r>
            <w:r w:rsidRPr="009D62B0">
              <w:rPr>
                <w:rFonts w:ascii="Segoe UI" w:hAnsi="Segoe UI" w:cs="Segoe UI"/>
                <w:b/>
                <w:bCs/>
                <w:sz w:val="18"/>
                <w:szCs w:val="18"/>
              </w:rPr>
              <w:t>16</w:t>
            </w:r>
            <w:r w:rsidRPr="009D62B0">
              <w:rPr>
                <w:rFonts w:ascii="Segoe UI" w:hAnsi="Segoe UI" w:cs="Segoe UI"/>
                <w:sz w:val="18"/>
                <w:szCs w:val="18"/>
              </w:rPr>
              <w:t>(1):423.</w:t>
            </w:r>
          </w:p>
          <w:p w14:paraId="200A7A7E" w14:textId="6F2936E4" w:rsidR="00BA0D32" w:rsidRPr="009D62B0" w:rsidRDefault="00BA0D32" w:rsidP="00BA0D32">
            <w:pPr>
              <w:autoSpaceDE w:val="0"/>
              <w:autoSpaceDN w:val="0"/>
              <w:adjustRightInd w:val="0"/>
              <w:ind w:left="567" w:hanging="567"/>
              <w:rPr>
                <w:rFonts w:ascii="Segoe UI" w:hAnsi="Segoe UI" w:cs="Segoe UI"/>
                <w:sz w:val="18"/>
                <w:szCs w:val="18"/>
              </w:rPr>
            </w:pPr>
            <w:r w:rsidRPr="009D62B0">
              <w:rPr>
                <w:rFonts w:ascii="Segoe UI" w:hAnsi="Segoe UI" w:cs="Segoe UI"/>
                <w:sz w:val="18"/>
                <w:szCs w:val="18"/>
              </w:rPr>
              <w:t xml:space="preserve">Wilson N, Nghiem N, </w:t>
            </w:r>
            <w:proofErr w:type="spellStart"/>
            <w:r w:rsidRPr="009D62B0">
              <w:rPr>
                <w:rFonts w:ascii="Segoe UI" w:hAnsi="Segoe UI" w:cs="Segoe UI"/>
                <w:sz w:val="18"/>
                <w:szCs w:val="18"/>
              </w:rPr>
              <w:t>Eyles</w:t>
            </w:r>
            <w:proofErr w:type="spellEnd"/>
            <w:r w:rsidRPr="009D62B0">
              <w:rPr>
                <w:rFonts w:ascii="Segoe UI" w:hAnsi="Segoe UI" w:cs="Segoe UI"/>
                <w:sz w:val="18"/>
                <w:szCs w:val="18"/>
              </w:rPr>
              <w:t xml:space="preserve"> H, </w:t>
            </w:r>
            <w:proofErr w:type="spellStart"/>
            <w:r w:rsidRPr="009D62B0">
              <w:rPr>
                <w:rFonts w:ascii="Segoe UI" w:hAnsi="Segoe UI" w:cs="Segoe UI"/>
                <w:sz w:val="18"/>
                <w:szCs w:val="18"/>
              </w:rPr>
              <w:t>Mhurchu</w:t>
            </w:r>
            <w:proofErr w:type="spellEnd"/>
            <w:r w:rsidRPr="009D62B0">
              <w:rPr>
                <w:rFonts w:ascii="Segoe UI" w:hAnsi="Segoe UI" w:cs="Segoe UI"/>
                <w:sz w:val="18"/>
                <w:szCs w:val="18"/>
              </w:rPr>
              <w:t xml:space="preserve"> CN, Shields E, </w:t>
            </w:r>
            <w:proofErr w:type="spellStart"/>
            <w:r w:rsidRPr="009D62B0">
              <w:rPr>
                <w:rFonts w:ascii="Segoe UI" w:hAnsi="Segoe UI" w:cs="Segoe UI"/>
                <w:sz w:val="18"/>
                <w:szCs w:val="18"/>
              </w:rPr>
              <w:t>Cobiac</w:t>
            </w:r>
            <w:proofErr w:type="spellEnd"/>
            <w:r w:rsidRPr="009D62B0">
              <w:rPr>
                <w:rFonts w:ascii="Segoe UI" w:hAnsi="Segoe UI" w:cs="Segoe UI"/>
                <w:sz w:val="18"/>
                <w:szCs w:val="18"/>
              </w:rPr>
              <w:t xml:space="preserve"> LJ, Cleghorn CL, Blakely T. </w:t>
            </w:r>
            <w:proofErr w:type="spellStart"/>
            <w:r w:rsidRPr="009D62B0">
              <w:rPr>
                <w:rFonts w:ascii="Segoe UI" w:hAnsi="Segoe UI" w:cs="Segoe UI"/>
                <w:sz w:val="18"/>
                <w:szCs w:val="18"/>
              </w:rPr>
              <w:t>Modeling</w:t>
            </w:r>
            <w:proofErr w:type="spellEnd"/>
            <w:r w:rsidRPr="009D62B0">
              <w:rPr>
                <w:rFonts w:ascii="Segoe UI" w:hAnsi="Segoe UI" w:cs="Segoe UI"/>
                <w:sz w:val="18"/>
                <w:szCs w:val="18"/>
              </w:rPr>
              <w:t xml:space="preserve"> health gains and cost savings for ten dietary salt reduction targets. Nutrition Journal </w:t>
            </w:r>
            <w:proofErr w:type="gramStart"/>
            <w:r w:rsidRPr="009D62B0">
              <w:rPr>
                <w:rFonts w:ascii="Segoe UI" w:hAnsi="Segoe UI" w:cs="Segoe UI"/>
                <w:sz w:val="18"/>
                <w:szCs w:val="18"/>
              </w:rPr>
              <w:t>2016;</w:t>
            </w:r>
            <w:r w:rsidRPr="009D62B0">
              <w:rPr>
                <w:rFonts w:ascii="Segoe UI" w:hAnsi="Segoe UI" w:cs="Segoe UI"/>
                <w:b/>
                <w:bCs/>
                <w:sz w:val="18"/>
                <w:szCs w:val="18"/>
              </w:rPr>
              <w:t>15</w:t>
            </w:r>
            <w:r w:rsidRPr="009D62B0">
              <w:rPr>
                <w:rFonts w:ascii="Segoe UI" w:hAnsi="Segoe UI" w:cs="Segoe UI"/>
                <w:sz w:val="18"/>
                <w:szCs w:val="18"/>
              </w:rPr>
              <w:t>:44</w:t>
            </w:r>
            <w:proofErr w:type="gramEnd"/>
            <w:r w:rsidRPr="009D62B0">
              <w:rPr>
                <w:rFonts w:ascii="Segoe UI" w:hAnsi="Segoe UI" w:cs="Segoe UI"/>
                <w:sz w:val="18"/>
                <w:szCs w:val="18"/>
              </w:rPr>
              <w:t>.</w:t>
            </w:r>
          </w:p>
          <w:p w14:paraId="7F129BAB" w14:textId="5A1E1652" w:rsidR="00BA0D32" w:rsidRPr="009D62B0" w:rsidRDefault="00BA0D32" w:rsidP="00BA0D32">
            <w:pPr>
              <w:autoSpaceDE w:val="0"/>
              <w:autoSpaceDN w:val="0"/>
              <w:adjustRightInd w:val="0"/>
              <w:ind w:left="567" w:hanging="567"/>
              <w:rPr>
                <w:rFonts w:ascii="Segoe UI" w:hAnsi="Segoe UI" w:cs="Segoe UI"/>
                <w:sz w:val="18"/>
                <w:szCs w:val="18"/>
              </w:rPr>
            </w:pPr>
            <w:r w:rsidRPr="009D62B0">
              <w:rPr>
                <w:rFonts w:ascii="Segoe UI" w:hAnsi="Segoe UI" w:cs="Segoe UI"/>
                <w:sz w:val="18"/>
                <w:szCs w:val="18"/>
              </w:rPr>
              <w:t xml:space="preserve">Cleghorn CL, Blakely T, </w:t>
            </w:r>
            <w:proofErr w:type="spellStart"/>
            <w:r w:rsidRPr="009D62B0">
              <w:rPr>
                <w:rFonts w:ascii="Segoe UI" w:hAnsi="Segoe UI" w:cs="Segoe UI"/>
                <w:sz w:val="18"/>
                <w:szCs w:val="18"/>
              </w:rPr>
              <w:t>Kvizhinadze</w:t>
            </w:r>
            <w:proofErr w:type="spellEnd"/>
            <w:r w:rsidRPr="009D62B0">
              <w:rPr>
                <w:rFonts w:ascii="Segoe UI" w:hAnsi="Segoe UI" w:cs="Segoe UI"/>
                <w:sz w:val="18"/>
                <w:szCs w:val="18"/>
              </w:rPr>
              <w:t xml:space="preserve"> G, van der </w:t>
            </w:r>
            <w:proofErr w:type="spellStart"/>
            <w:r w:rsidRPr="009D62B0">
              <w:rPr>
                <w:rFonts w:ascii="Segoe UI" w:hAnsi="Segoe UI" w:cs="Segoe UI"/>
                <w:sz w:val="18"/>
                <w:szCs w:val="18"/>
              </w:rPr>
              <w:t>Deen</w:t>
            </w:r>
            <w:proofErr w:type="spellEnd"/>
            <w:r w:rsidRPr="009D62B0">
              <w:rPr>
                <w:rFonts w:ascii="Segoe UI" w:hAnsi="Segoe UI" w:cs="Segoe UI"/>
                <w:sz w:val="18"/>
                <w:szCs w:val="18"/>
              </w:rPr>
              <w:t xml:space="preserve"> FS, Nghiem N, </w:t>
            </w:r>
            <w:proofErr w:type="spellStart"/>
            <w:r w:rsidRPr="009D62B0">
              <w:rPr>
                <w:rFonts w:ascii="Segoe UI" w:hAnsi="Segoe UI" w:cs="Segoe UI"/>
                <w:sz w:val="18"/>
                <w:szCs w:val="18"/>
              </w:rPr>
              <w:t>Cobiac</w:t>
            </w:r>
            <w:proofErr w:type="spellEnd"/>
            <w:r w:rsidRPr="009D62B0">
              <w:rPr>
                <w:rFonts w:ascii="Segoe UI" w:hAnsi="Segoe UI" w:cs="Segoe UI"/>
                <w:sz w:val="18"/>
                <w:szCs w:val="18"/>
              </w:rPr>
              <w:t xml:space="preserve"> LJ, Wilson N. Impact of increasing tobacco taxes on working-age adults: short-term health gain, health equity and cost savings. </w:t>
            </w:r>
            <w:proofErr w:type="spellStart"/>
            <w:r w:rsidRPr="009D62B0">
              <w:rPr>
                <w:rFonts w:ascii="Segoe UI" w:hAnsi="Segoe UI" w:cs="Segoe UI"/>
                <w:sz w:val="18"/>
                <w:szCs w:val="18"/>
              </w:rPr>
              <w:t>Tob</w:t>
            </w:r>
            <w:proofErr w:type="spellEnd"/>
            <w:r w:rsidRPr="009D62B0">
              <w:rPr>
                <w:rFonts w:ascii="Segoe UI" w:hAnsi="Segoe UI" w:cs="Segoe UI"/>
                <w:sz w:val="18"/>
                <w:szCs w:val="18"/>
              </w:rPr>
              <w:t xml:space="preserve"> Control 2017.</w:t>
            </w:r>
          </w:p>
          <w:p w14:paraId="5AFC79AF" w14:textId="1E3C37C8" w:rsidR="00BA0D32" w:rsidRPr="009D62B0" w:rsidRDefault="00BA0D32" w:rsidP="00BA0D32">
            <w:pPr>
              <w:autoSpaceDE w:val="0"/>
              <w:autoSpaceDN w:val="0"/>
              <w:adjustRightInd w:val="0"/>
              <w:ind w:left="567" w:hanging="567"/>
              <w:rPr>
                <w:rFonts w:ascii="Segoe UI" w:hAnsi="Segoe UI" w:cs="Segoe UI"/>
                <w:sz w:val="18"/>
                <w:szCs w:val="18"/>
              </w:rPr>
            </w:pPr>
            <w:r w:rsidRPr="009D62B0">
              <w:rPr>
                <w:rFonts w:ascii="Segoe UI" w:hAnsi="Segoe UI" w:cs="Segoe UI"/>
                <w:sz w:val="18"/>
                <w:szCs w:val="18"/>
              </w:rPr>
              <w:t xml:space="preserve">McLeod M, </w:t>
            </w:r>
            <w:proofErr w:type="spellStart"/>
            <w:r w:rsidRPr="009D62B0">
              <w:rPr>
                <w:rFonts w:ascii="Segoe UI" w:hAnsi="Segoe UI" w:cs="Segoe UI"/>
                <w:sz w:val="18"/>
                <w:szCs w:val="18"/>
              </w:rPr>
              <w:t>Kvizhinadze</w:t>
            </w:r>
            <w:proofErr w:type="spellEnd"/>
            <w:r w:rsidRPr="009D62B0">
              <w:rPr>
                <w:rFonts w:ascii="Segoe UI" w:hAnsi="Segoe UI" w:cs="Segoe UI"/>
                <w:sz w:val="18"/>
                <w:szCs w:val="18"/>
              </w:rPr>
              <w:t xml:space="preserve"> G, Boyd M, </w:t>
            </w:r>
            <w:proofErr w:type="spellStart"/>
            <w:r w:rsidRPr="009D62B0">
              <w:rPr>
                <w:rFonts w:ascii="Segoe UI" w:hAnsi="Segoe UI" w:cs="Segoe UI"/>
                <w:sz w:val="18"/>
                <w:szCs w:val="18"/>
              </w:rPr>
              <w:t>Barendregt</w:t>
            </w:r>
            <w:proofErr w:type="spellEnd"/>
            <w:r w:rsidRPr="009D62B0">
              <w:rPr>
                <w:rFonts w:ascii="Segoe UI" w:hAnsi="Segoe UI" w:cs="Segoe UI"/>
                <w:sz w:val="18"/>
                <w:szCs w:val="18"/>
              </w:rPr>
              <w:t xml:space="preserve"> J, </w:t>
            </w:r>
            <w:proofErr w:type="spellStart"/>
            <w:r w:rsidRPr="009D62B0">
              <w:rPr>
                <w:rFonts w:ascii="Segoe UI" w:hAnsi="Segoe UI" w:cs="Segoe UI"/>
                <w:sz w:val="18"/>
                <w:szCs w:val="18"/>
              </w:rPr>
              <w:t>Sarfati</w:t>
            </w:r>
            <w:proofErr w:type="spellEnd"/>
            <w:r w:rsidRPr="009D62B0">
              <w:rPr>
                <w:rFonts w:ascii="Segoe UI" w:hAnsi="Segoe UI" w:cs="Segoe UI"/>
                <w:sz w:val="18"/>
                <w:szCs w:val="18"/>
              </w:rPr>
              <w:t xml:space="preserve"> D, Wilson N, Blakely T. Colorectal cancer screening: How health gains and cost-effectiveness vary by ethnic group, the impact on health inequalities, and the optimal age-range to screen. Cancer Epidemiology Biomarkers &amp; Prevention 2017;</w:t>
            </w:r>
            <w:r w:rsidRPr="009D62B0">
              <w:rPr>
                <w:rFonts w:ascii="Segoe UI" w:hAnsi="Segoe UI" w:cs="Segoe UI"/>
                <w:b/>
                <w:bCs/>
                <w:sz w:val="18"/>
                <w:szCs w:val="18"/>
              </w:rPr>
              <w:t>26</w:t>
            </w:r>
            <w:r w:rsidRPr="009D62B0">
              <w:rPr>
                <w:rFonts w:ascii="Segoe UI" w:hAnsi="Segoe UI" w:cs="Segoe UI"/>
                <w:sz w:val="18"/>
                <w:szCs w:val="18"/>
              </w:rPr>
              <w:t>(9):1391-400.</w:t>
            </w:r>
          </w:p>
          <w:p w14:paraId="22D52723" w14:textId="67899976" w:rsidR="00BA0D32" w:rsidRPr="009D62B0" w:rsidRDefault="00BA0D32" w:rsidP="00BA0D32">
            <w:pPr>
              <w:autoSpaceDE w:val="0"/>
              <w:autoSpaceDN w:val="0"/>
              <w:adjustRightInd w:val="0"/>
              <w:ind w:left="567" w:hanging="567"/>
              <w:rPr>
                <w:rFonts w:ascii="Segoe UI" w:hAnsi="Segoe UI" w:cs="Segoe UI"/>
                <w:sz w:val="18"/>
                <w:szCs w:val="18"/>
              </w:rPr>
            </w:pPr>
            <w:r w:rsidRPr="009D62B0">
              <w:rPr>
                <w:rFonts w:ascii="Segoe UI" w:hAnsi="Segoe UI" w:cs="Segoe UI"/>
                <w:sz w:val="18"/>
                <w:szCs w:val="18"/>
              </w:rPr>
              <w:t xml:space="preserve">Nghiem N, Cleghorn CL, Leung W, Nair N, </w:t>
            </w:r>
            <w:proofErr w:type="spellStart"/>
            <w:r w:rsidRPr="009D62B0">
              <w:rPr>
                <w:rFonts w:ascii="Segoe UI" w:hAnsi="Segoe UI" w:cs="Segoe UI"/>
                <w:sz w:val="18"/>
                <w:szCs w:val="18"/>
              </w:rPr>
              <w:t>Deen</w:t>
            </w:r>
            <w:proofErr w:type="spellEnd"/>
            <w:r w:rsidRPr="009D62B0">
              <w:rPr>
                <w:rFonts w:ascii="Segoe UI" w:hAnsi="Segoe UI" w:cs="Segoe UI"/>
                <w:sz w:val="18"/>
                <w:szCs w:val="18"/>
              </w:rPr>
              <w:t xml:space="preserve"> </w:t>
            </w:r>
            <w:proofErr w:type="spellStart"/>
            <w:r w:rsidRPr="009D62B0">
              <w:rPr>
                <w:rFonts w:ascii="Segoe UI" w:hAnsi="Segoe UI" w:cs="Segoe UI"/>
                <w:sz w:val="18"/>
                <w:szCs w:val="18"/>
              </w:rPr>
              <w:t>FSvd</w:t>
            </w:r>
            <w:proofErr w:type="spellEnd"/>
            <w:r w:rsidRPr="009D62B0">
              <w:rPr>
                <w:rFonts w:ascii="Segoe UI" w:hAnsi="Segoe UI" w:cs="Segoe UI"/>
                <w:sz w:val="18"/>
                <w:szCs w:val="18"/>
              </w:rPr>
              <w:t xml:space="preserve">, Blakely T, Wilson N. A national </w:t>
            </w:r>
            <w:proofErr w:type="spellStart"/>
            <w:r w:rsidRPr="009D62B0">
              <w:rPr>
                <w:rFonts w:ascii="Segoe UI" w:hAnsi="Segoe UI" w:cs="Segoe UI"/>
                <w:sz w:val="18"/>
                <w:szCs w:val="18"/>
              </w:rPr>
              <w:t>quitline</w:t>
            </w:r>
            <w:proofErr w:type="spellEnd"/>
            <w:r w:rsidRPr="009D62B0">
              <w:rPr>
                <w:rFonts w:ascii="Segoe UI" w:hAnsi="Segoe UI" w:cs="Segoe UI"/>
                <w:sz w:val="18"/>
                <w:szCs w:val="18"/>
              </w:rPr>
              <w:t xml:space="preserve"> service and its promotion in the mass media: modelling the health gain, health equity and cost–utility. Tobacco Control 2017;</w:t>
            </w:r>
            <w:r w:rsidRPr="009D62B0">
              <w:rPr>
                <w:rFonts w:ascii="Segoe UI" w:hAnsi="Segoe UI" w:cs="Segoe UI"/>
                <w:b/>
                <w:bCs/>
                <w:sz w:val="18"/>
                <w:szCs w:val="18"/>
              </w:rPr>
              <w:t>27</w:t>
            </w:r>
            <w:r w:rsidRPr="009D62B0">
              <w:rPr>
                <w:rFonts w:ascii="Segoe UI" w:hAnsi="Segoe UI" w:cs="Segoe UI"/>
                <w:sz w:val="18"/>
                <w:szCs w:val="18"/>
              </w:rPr>
              <w:t>(4):434-41.</w:t>
            </w:r>
          </w:p>
          <w:p w14:paraId="6C2A0145" w14:textId="50E8C795" w:rsidR="00BA0D32" w:rsidRPr="009D62B0" w:rsidRDefault="00BA0D32" w:rsidP="00BA0D32">
            <w:pPr>
              <w:autoSpaceDE w:val="0"/>
              <w:autoSpaceDN w:val="0"/>
              <w:adjustRightInd w:val="0"/>
              <w:ind w:left="567" w:hanging="567"/>
              <w:rPr>
                <w:rFonts w:ascii="Segoe UI" w:hAnsi="Segoe UI" w:cs="Segoe UI"/>
                <w:sz w:val="18"/>
                <w:szCs w:val="18"/>
              </w:rPr>
            </w:pPr>
            <w:r w:rsidRPr="009D62B0">
              <w:rPr>
                <w:rFonts w:ascii="Segoe UI" w:hAnsi="Segoe UI" w:cs="Segoe UI"/>
                <w:sz w:val="18"/>
                <w:szCs w:val="18"/>
              </w:rPr>
              <w:t xml:space="preserve">Pearson AL, Cleghorn CL, van der </w:t>
            </w:r>
            <w:proofErr w:type="spellStart"/>
            <w:r w:rsidRPr="009D62B0">
              <w:rPr>
                <w:rFonts w:ascii="Segoe UI" w:hAnsi="Segoe UI" w:cs="Segoe UI"/>
                <w:sz w:val="18"/>
                <w:szCs w:val="18"/>
              </w:rPr>
              <w:t>Deen</w:t>
            </w:r>
            <w:proofErr w:type="spellEnd"/>
            <w:r w:rsidRPr="009D62B0">
              <w:rPr>
                <w:rFonts w:ascii="Segoe UI" w:hAnsi="Segoe UI" w:cs="Segoe UI"/>
                <w:sz w:val="18"/>
                <w:szCs w:val="18"/>
              </w:rPr>
              <w:t xml:space="preserve"> FS, </w:t>
            </w:r>
            <w:proofErr w:type="spellStart"/>
            <w:r w:rsidRPr="009D62B0">
              <w:rPr>
                <w:rFonts w:ascii="Segoe UI" w:hAnsi="Segoe UI" w:cs="Segoe UI"/>
                <w:sz w:val="18"/>
                <w:szCs w:val="18"/>
              </w:rPr>
              <w:t>Cobiac</w:t>
            </w:r>
            <w:proofErr w:type="spellEnd"/>
            <w:r w:rsidRPr="009D62B0">
              <w:rPr>
                <w:rFonts w:ascii="Segoe UI" w:hAnsi="Segoe UI" w:cs="Segoe UI"/>
                <w:sz w:val="18"/>
                <w:szCs w:val="18"/>
              </w:rPr>
              <w:t xml:space="preserve"> LJ, </w:t>
            </w:r>
            <w:proofErr w:type="spellStart"/>
            <w:r w:rsidRPr="009D62B0">
              <w:rPr>
                <w:rFonts w:ascii="Segoe UI" w:hAnsi="Segoe UI" w:cs="Segoe UI"/>
                <w:sz w:val="18"/>
                <w:szCs w:val="18"/>
              </w:rPr>
              <w:t>Kvizhinadze</w:t>
            </w:r>
            <w:proofErr w:type="spellEnd"/>
            <w:r w:rsidRPr="009D62B0">
              <w:rPr>
                <w:rFonts w:ascii="Segoe UI" w:hAnsi="Segoe UI" w:cs="Segoe UI"/>
                <w:sz w:val="18"/>
                <w:szCs w:val="18"/>
              </w:rPr>
              <w:t xml:space="preserve"> G, Nghiem N, Blakely T, Wilson N. Tobacco retail outlet restrictions: health and cost impacts from multistate </w:t>
            </w:r>
            <w:proofErr w:type="gramStart"/>
            <w:r w:rsidRPr="009D62B0">
              <w:rPr>
                <w:rFonts w:ascii="Segoe UI" w:hAnsi="Segoe UI" w:cs="Segoe UI"/>
                <w:sz w:val="18"/>
                <w:szCs w:val="18"/>
              </w:rPr>
              <w:t>life-table</w:t>
            </w:r>
            <w:proofErr w:type="gramEnd"/>
            <w:r w:rsidRPr="009D62B0">
              <w:rPr>
                <w:rFonts w:ascii="Segoe UI" w:hAnsi="Segoe UI" w:cs="Segoe UI"/>
                <w:sz w:val="18"/>
                <w:szCs w:val="18"/>
              </w:rPr>
              <w:t xml:space="preserve"> modelling in a national population. </w:t>
            </w:r>
            <w:proofErr w:type="spellStart"/>
            <w:r w:rsidRPr="009D62B0">
              <w:rPr>
                <w:rFonts w:ascii="Segoe UI" w:hAnsi="Segoe UI" w:cs="Segoe UI"/>
                <w:sz w:val="18"/>
                <w:szCs w:val="18"/>
              </w:rPr>
              <w:t>Tob</w:t>
            </w:r>
            <w:proofErr w:type="spellEnd"/>
            <w:r w:rsidRPr="009D62B0">
              <w:rPr>
                <w:rFonts w:ascii="Segoe UI" w:hAnsi="Segoe UI" w:cs="Segoe UI"/>
                <w:sz w:val="18"/>
                <w:szCs w:val="18"/>
              </w:rPr>
              <w:t xml:space="preserve"> Control </w:t>
            </w:r>
            <w:proofErr w:type="gramStart"/>
            <w:r w:rsidRPr="009D62B0">
              <w:rPr>
                <w:rFonts w:ascii="Segoe UI" w:hAnsi="Segoe UI" w:cs="Segoe UI"/>
                <w:sz w:val="18"/>
                <w:szCs w:val="18"/>
              </w:rPr>
              <w:t>2017;</w:t>
            </w:r>
            <w:r w:rsidRPr="009D62B0">
              <w:rPr>
                <w:rFonts w:ascii="Segoe UI" w:hAnsi="Segoe UI" w:cs="Segoe UI"/>
                <w:b/>
                <w:bCs/>
                <w:sz w:val="18"/>
                <w:szCs w:val="18"/>
              </w:rPr>
              <w:t>26</w:t>
            </w:r>
            <w:r w:rsidRPr="009D62B0">
              <w:rPr>
                <w:rFonts w:ascii="Segoe UI" w:hAnsi="Segoe UI" w:cs="Segoe UI"/>
                <w:sz w:val="18"/>
                <w:szCs w:val="18"/>
              </w:rPr>
              <w:t>:579</w:t>
            </w:r>
            <w:proofErr w:type="gramEnd"/>
            <w:r w:rsidRPr="009D62B0">
              <w:rPr>
                <w:rFonts w:ascii="Segoe UI" w:hAnsi="Segoe UI" w:cs="Segoe UI"/>
                <w:sz w:val="18"/>
                <w:szCs w:val="18"/>
              </w:rPr>
              <w:t>–85.</w:t>
            </w:r>
          </w:p>
          <w:p w14:paraId="72026129" w14:textId="49F09ED3" w:rsidR="00BA0D32" w:rsidRPr="009D62B0" w:rsidRDefault="00BA0D32" w:rsidP="00BA0D32">
            <w:pPr>
              <w:autoSpaceDE w:val="0"/>
              <w:autoSpaceDN w:val="0"/>
              <w:adjustRightInd w:val="0"/>
              <w:ind w:left="567" w:hanging="567"/>
              <w:rPr>
                <w:rFonts w:ascii="Segoe UI" w:hAnsi="Segoe UI" w:cs="Segoe UI"/>
                <w:sz w:val="18"/>
                <w:szCs w:val="18"/>
              </w:rPr>
            </w:pPr>
            <w:r w:rsidRPr="009D62B0">
              <w:rPr>
                <w:rFonts w:ascii="Segoe UI" w:hAnsi="Segoe UI" w:cs="Segoe UI"/>
                <w:sz w:val="18"/>
                <w:szCs w:val="18"/>
              </w:rPr>
              <w:t xml:space="preserve">Teng AM, </w:t>
            </w:r>
            <w:proofErr w:type="spellStart"/>
            <w:r w:rsidRPr="009D62B0">
              <w:rPr>
                <w:rFonts w:ascii="Segoe UI" w:hAnsi="Segoe UI" w:cs="Segoe UI"/>
                <w:sz w:val="18"/>
                <w:szCs w:val="18"/>
              </w:rPr>
              <w:t>Kvizhinadze</w:t>
            </w:r>
            <w:proofErr w:type="spellEnd"/>
            <w:r w:rsidRPr="009D62B0">
              <w:rPr>
                <w:rFonts w:ascii="Segoe UI" w:hAnsi="Segoe UI" w:cs="Segoe UI"/>
                <w:sz w:val="18"/>
                <w:szCs w:val="18"/>
              </w:rPr>
              <w:t xml:space="preserve"> G, Nair N, McLeod M, Wilson N, Blakely T. A screening program to test and treat for Helicobacter pylori infection: Cost-utility analysis by age, sex and ethnicity. BMC Infect Dis 2017;</w:t>
            </w:r>
            <w:r w:rsidRPr="009D62B0">
              <w:rPr>
                <w:rFonts w:ascii="Segoe UI" w:hAnsi="Segoe UI" w:cs="Segoe UI"/>
                <w:b/>
                <w:bCs/>
                <w:sz w:val="18"/>
                <w:szCs w:val="18"/>
              </w:rPr>
              <w:t>17</w:t>
            </w:r>
            <w:r w:rsidRPr="009D62B0">
              <w:rPr>
                <w:rFonts w:ascii="Segoe UI" w:hAnsi="Segoe UI" w:cs="Segoe UI"/>
                <w:sz w:val="18"/>
                <w:szCs w:val="18"/>
              </w:rPr>
              <w:t>(1):156.</w:t>
            </w:r>
          </w:p>
          <w:p w14:paraId="60566923" w14:textId="2E26E54F" w:rsidR="00BA0D32" w:rsidRPr="009D62B0" w:rsidRDefault="00BA0D32" w:rsidP="00BA0D32">
            <w:pPr>
              <w:autoSpaceDE w:val="0"/>
              <w:autoSpaceDN w:val="0"/>
              <w:adjustRightInd w:val="0"/>
              <w:ind w:left="567" w:hanging="567"/>
              <w:rPr>
                <w:rFonts w:ascii="Segoe UI" w:hAnsi="Segoe UI" w:cs="Segoe UI"/>
                <w:sz w:val="18"/>
                <w:szCs w:val="18"/>
              </w:rPr>
            </w:pPr>
            <w:r>
              <w:rPr>
                <w:rFonts w:ascii="Segoe UI" w:hAnsi="Segoe UI" w:cs="Segoe UI"/>
                <w:sz w:val="18"/>
                <w:szCs w:val="18"/>
              </w:rPr>
              <w:t>v</w:t>
            </w:r>
            <w:r w:rsidRPr="009D62B0">
              <w:rPr>
                <w:rFonts w:ascii="Segoe UI" w:hAnsi="Segoe UI" w:cs="Segoe UI"/>
                <w:sz w:val="18"/>
                <w:szCs w:val="18"/>
              </w:rPr>
              <w:t xml:space="preserve">an der </w:t>
            </w:r>
            <w:proofErr w:type="spellStart"/>
            <w:r w:rsidRPr="009D62B0">
              <w:rPr>
                <w:rFonts w:ascii="Segoe UI" w:hAnsi="Segoe UI" w:cs="Segoe UI"/>
                <w:sz w:val="18"/>
                <w:szCs w:val="18"/>
              </w:rPr>
              <w:t>Deen</w:t>
            </w:r>
            <w:proofErr w:type="spellEnd"/>
            <w:r w:rsidRPr="009D62B0">
              <w:rPr>
                <w:rFonts w:ascii="Segoe UI" w:hAnsi="Segoe UI" w:cs="Segoe UI"/>
                <w:sz w:val="18"/>
                <w:szCs w:val="18"/>
              </w:rPr>
              <w:t xml:space="preserve"> FS, Wilson N, Cleghorn C, </w:t>
            </w:r>
            <w:proofErr w:type="spellStart"/>
            <w:r w:rsidRPr="009D62B0">
              <w:rPr>
                <w:rFonts w:ascii="Segoe UI" w:hAnsi="Segoe UI" w:cs="Segoe UI"/>
                <w:sz w:val="18"/>
                <w:szCs w:val="18"/>
              </w:rPr>
              <w:t>Kvizhinadze</w:t>
            </w:r>
            <w:proofErr w:type="spellEnd"/>
            <w:r w:rsidRPr="009D62B0">
              <w:rPr>
                <w:rFonts w:ascii="Segoe UI" w:hAnsi="Segoe UI" w:cs="Segoe UI"/>
                <w:sz w:val="18"/>
                <w:szCs w:val="18"/>
              </w:rPr>
              <w:t xml:space="preserve"> G, </w:t>
            </w:r>
            <w:proofErr w:type="spellStart"/>
            <w:r w:rsidRPr="009D62B0">
              <w:rPr>
                <w:rFonts w:ascii="Segoe UI" w:hAnsi="Segoe UI" w:cs="Segoe UI"/>
                <w:sz w:val="18"/>
                <w:szCs w:val="18"/>
              </w:rPr>
              <w:t>Cobiac</w:t>
            </w:r>
            <w:proofErr w:type="spellEnd"/>
            <w:r w:rsidRPr="009D62B0">
              <w:rPr>
                <w:rFonts w:ascii="Segoe UI" w:hAnsi="Segoe UI" w:cs="Segoe UI"/>
                <w:sz w:val="18"/>
                <w:szCs w:val="18"/>
              </w:rPr>
              <w:t xml:space="preserve"> L, Nghiem N, Blakely T. Impact of five tobacco endgame strategies on future smoking prevalence, population health and health system costs: two modelling studies to inform the tobacco endgame. </w:t>
            </w:r>
            <w:proofErr w:type="spellStart"/>
            <w:r w:rsidRPr="009D62B0">
              <w:rPr>
                <w:rFonts w:ascii="Segoe UI" w:hAnsi="Segoe UI" w:cs="Segoe UI"/>
                <w:sz w:val="18"/>
                <w:szCs w:val="18"/>
              </w:rPr>
              <w:t>Tob</w:t>
            </w:r>
            <w:proofErr w:type="spellEnd"/>
            <w:r w:rsidRPr="009D62B0">
              <w:rPr>
                <w:rFonts w:ascii="Segoe UI" w:hAnsi="Segoe UI" w:cs="Segoe UI"/>
                <w:sz w:val="18"/>
                <w:szCs w:val="18"/>
              </w:rPr>
              <w:t xml:space="preserve"> Control 2017;</w:t>
            </w:r>
            <w:r w:rsidRPr="009D62B0">
              <w:rPr>
                <w:rFonts w:ascii="Segoe UI" w:hAnsi="Segoe UI" w:cs="Segoe UI"/>
                <w:b/>
                <w:bCs/>
                <w:sz w:val="18"/>
                <w:szCs w:val="18"/>
              </w:rPr>
              <w:t>27</w:t>
            </w:r>
            <w:r w:rsidRPr="009D62B0">
              <w:rPr>
                <w:rFonts w:ascii="Segoe UI" w:hAnsi="Segoe UI" w:cs="Segoe UI"/>
                <w:sz w:val="18"/>
                <w:szCs w:val="18"/>
              </w:rPr>
              <w:t>(3</w:t>
            </w:r>
            <w:proofErr w:type="gramStart"/>
            <w:r w:rsidRPr="009D62B0">
              <w:rPr>
                <w:rFonts w:ascii="Segoe UI" w:hAnsi="Segoe UI" w:cs="Segoe UI"/>
                <w:sz w:val="18"/>
                <w:szCs w:val="18"/>
              </w:rPr>
              <w:t>):http://dx.doi.org/10.1136/tobaccocontrol-2016-053585</w:t>
            </w:r>
            <w:proofErr w:type="gramEnd"/>
            <w:r w:rsidRPr="009D62B0">
              <w:rPr>
                <w:rFonts w:ascii="Segoe UI" w:hAnsi="Segoe UI" w:cs="Segoe UI"/>
                <w:sz w:val="18"/>
                <w:szCs w:val="18"/>
              </w:rPr>
              <w:t>.</w:t>
            </w:r>
          </w:p>
          <w:p w14:paraId="6B98C918" w14:textId="47A9DD99" w:rsidR="00BA0D32" w:rsidRPr="009D62B0" w:rsidRDefault="00BA0D32" w:rsidP="00BA0D32">
            <w:pPr>
              <w:autoSpaceDE w:val="0"/>
              <w:autoSpaceDN w:val="0"/>
              <w:adjustRightInd w:val="0"/>
              <w:ind w:left="567" w:hanging="567"/>
              <w:rPr>
                <w:rFonts w:ascii="Segoe UI" w:hAnsi="Segoe UI" w:cs="Segoe UI"/>
                <w:sz w:val="18"/>
                <w:szCs w:val="18"/>
              </w:rPr>
            </w:pPr>
            <w:r w:rsidRPr="009D62B0">
              <w:rPr>
                <w:rFonts w:ascii="Segoe UI" w:hAnsi="Segoe UI" w:cs="Segoe UI"/>
                <w:sz w:val="18"/>
                <w:szCs w:val="18"/>
              </w:rPr>
              <w:t xml:space="preserve">Wilson N, </w:t>
            </w:r>
            <w:proofErr w:type="spellStart"/>
            <w:r w:rsidRPr="009D62B0">
              <w:rPr>
                <w:rFonts w:ascii="Segoe UI" w:hAnsi="Segoe UI" w:cs="Segoe UI"/>
                <w:sz w:val="18"/>
                <w:szCs w:val="18"/>
              </w:rPr>
              <w:t>Kvizhinadze</w:t>
            </w:r>
            <w:proofErr w:type="spellEnd"/>
            <w:r w:rsidRPr="009D62B0">
              <w:rPr>
                <w:rFonts w:ascii="Segoe UI" w:hAnsi="Segoe UI" w:cs="Segoe UI"/>
                <w:sz w:val="18"/>
                <w:szCs w:val="18"/>
              </w:rPr>
              <w:t xml:space="preserve"> G, </w:t>
            </w:r>
            <w:proofErr w:type="spellStart"/>
            <w:r w:rsidRPr="009D62B0">
              <w:rPr>
                <w:rFonts w:ascii="Segoe UI" w:hAnsi="Segoe UI" w:cs="Segoe UI"/>
                <w:sz w:val="18"/>
                <w:szCs w:val="18"/>
              </w:rPr>
              <w:t>Pega</w:t>
            </w:r>
            <w:proofErr w:type="spellEnd"/>
            <w:r w:rsidRPr="009D62B0">
              <w:rPr>
                <w:rFonts w:ascii="Segoe UI" w:hAnsi="Segoe UI" w:cs="Segoe UI"/>
                <w:sz w:val="18"/>
                <w:szCs w:val="18"/>
              </w:rPr>
              <w:t xml:space="preserve"> F, Nair N, Blakely T. Home modification to reduce falls at a health district level: </w:t>
            </w:r>
            <w:proofErr w:type="spellStart"/>
            <w:r w:rsidRPr="009D62B0">
              <w:rPr>
                <w:rFonts w:ascii="Segoe UI" w:hAnsi="Segoe UI" w:cs="Segoe UI"/>
                <w:sz w:val="18"/>
                <w:szCs w:val="18"/>
              </w:rPr>
              <w:t>Modeling</w:t>
            </w:r>
            <w:proofErr w:type="spellEnd"/>
            <w:r w:rsidRPr="009D62B0">
              <w:rPr>
                <w:rFonts w:ascii="Segoe UI" w:hAnsi="Segoe UI" w:cs="Segoe UI"/>
                <w:sz w:val="18"/>
                <w:szCs w:val="18"/>
              </w:rPr>
              <w:t xml:space="preserve"> health gain, health inequalities and health costs. </w:t>
            </w:r>
            <w:proofErr w:type="spellStart"/>
            <w:r w:rsidRPr="009D62B0">
              <w:rPr>
                <w:rFonts w:ascii="Segoe UI" w:hAnsi="Segoe UI" w:cs="Segoe UI"/>
                <w:sz w:val="18"/>
                <w:szCs w:val="18"/>
              </w:rPr>
              <w:t>P</w:t>
            </w:r>
            <w:r>
              <w:rPr>
                <w:rFonts w:ascii="Segoe UI" w:hAnsi="Segoe UI" w:cs="Segoe UI"/>
                <w:sz w:val="18"/>
                <w:szCs w:val="18"/>
              </w:rPr>
              <w:t>LoS</w:t>
            </w:r>
            <w:proofErr w:type="spellEnd"/>
            <w:r w:rsidRPr="009D62B0">
              <w:rPr>
                <w:rFonts w:ascii="Segoe UI" w:hAnsi="Segoe UI" w:cs="Segoe UI"/>
                <w:sz w:val="18"/>
                <w:szCs w:val="18"/>
              </w:rPr>
              <w:t xml:space="preserve"> One 2017;</w:t>
            </w:r>
            <w:r w:rsidRPr="009D62B0">
              <w:rPr>
                <w:rFonts w:ascii="Segoe UI" w:hAnsi="Segoe UI" w:cs="Segoe UI"/>
                <w:b/>
                <w:bCs/>
                <w:sz w:val="18"/>
                <w:szCs w:val="18"/>
              </w:rPr>
              <w:t>12</w:t>
            </w:r>
            <w:r w:rsidRPr="009D62B0">
              <w:rPr>
                <w:rFonts w:ascii="Segoe UI" w:hAnsi="Segoe UI" w:cs="Segoe UI"/>
                <w:sz w:val="18"/>
                <w:szCs w:val="18"/>
              </w:rPr>
              <w:t>(9</w:t>
            </w:r>
            <w:proofErr w:type="gramStart"/>
            <w:r w:rsidRPr="009D62B0">
              <w:rPr>
                <w:rFonts w:ascii="Segoe UI" w:hAnsi="Segoe UI" w:cs="Segoe UI"/>
                <w:sz w:val="18"/>
                <w:szCs w:val="18"/>
              </w:rPr>
              <w:t>):e</w:t>
            </w:r>
            <w:proofErr w:type="gramEnd"/>
            <w:r w:rsidRPr="009D62B0">
              <w:rPr>
                <w:rFonts w:ascii="Segoe UI" w:hAnsi="Segoe UI" w:cs="Segoe UI"/>
                <w:sz w:val="18"/>
                <w:szCs w:val="18"/>
              </w:rPr>
              <w:t>0184538.</w:t>
            </w:r>
          </w:p>
          <w:p w14:paraId="4CA1736F" w14:textId="4BF1A9A0" w:rsidR="00BA0D32" w:rsidRPr="009D62B0" w:rsidRDefault="00BA0D32" w:rsidP="00BA0D32">
            <w:pPr>
              <w:autoSpaceDE w:val="0"/>
              <w:autoSpaceDN w:val="0"/>
              <w:adjustRightInd w:val="0"/>
              <w:ind w:left="567" w:hanging="567"/>
              <w:rPr>
                <w:rFonts w:ascii="Segoe UI" w:hAnsi="Segoe UI" w:cs="Segoe UI"/>
                <w:sz w:val="18"/>
                <w:szCs w:val="18"/>
              </w:rPr>
            </w:pPr>
            <w:proofErr w:type="spellStart"/>
            <w:r w:rsidRPr="009D62B0">
              <w:rPr>
                <w:rFonts w:ascii="Segoe UI" w:hAnsi="Segoe UI" w:cs="Segoe UI"/>
                <w:sz w:val="18"/>
                <w:szCs w:val="18"/>
              </w:rPr>
              <w:t>Deverall</w:t>
            </w:r>
            <w:proofErr w:type="spellEnd"/>
            <w:r w:rsidRPr="009D62B0">
              <w:rPr>
                <w:rFonts w:ascii="Segoe UI" w:hAnsi="Segoe UI" w:cs="Segoe UI"/>
                <w:sz w:val="18"/>
                <w:szCs w:val="18"/>
              </w:rPr>
              <w:t xml:space="preserve"> E, </w:t>
            </w:r>
            <w:proofErr w:type="spellStart"/>
            <w:r w:rsidRPr="009D62B0">
              <w:rPr>
                <w:rFonts w:ascii="Segoe UI" w:hAnsi="Segoe UI" w:cs="Segoe UI"/>
                <w:sz w:val="18"/>
                <w:szCs w:val="18"/>
              </w:rPr>
              <w:t>Kvizhinadze</w:t>
            </w:r>
            <w:proofErr w:type="spellEnd"/>
            <w:r w:rsidRPr="009D62B0">
              <w:rPr>
                <w:rFonts w:ascii="Segoe UI" w:hAnsi="Segoe UI" w:cs="Segoe UI"/>
                <w:sz w:val="18"/>
                <w:szCs w:val="18"/>
              </w:rPr>
              <w:t xml:space="preserve"> G, </w:t>
            </w:r>
            <w:proofErr w:type="spellStart"/>
            <w:r w:rsidRPr="009D62B0">
              <w:rPr>
                <w:rFonts w:ascii="Segoe UI" w:hAnsi="Segoe UI" w:cs="Segoe UI"/>
                <w:sz w:val="18"/>
                <w:szCs w:val="18"/>
              </w:rPr>
              <w:t>Pega</w:t>
            </w:r>
            <w:proofErr w:type="spellEnd"/>
            <w:r w:rsidRPr="009D62B0">
              <w:rPr>
                <w:rFonts w:ascii="Segoe UI" w:hAnsi="Segoe UI" w:cs="Segoe UI"/>
                <w:sz w:val="18"/>
                <w:szCs w:val="18"/>
              </w:rPr>
              <w:t xml:space="preserve"> F, Blakely T, Wilson N. Exercise programmes to prevent falls among older adults: modelling health gain, cost-utility and equity impacts. Injury Prevention 2018;</w:t>
            </w:r>
            <w:r w:rsidRPr="009D62B0">
              <w:rPr>
                <w:rFonts w:ascii="Segoe UI" w:hAnsi="Segoe UI" w:cs="Segoe UI"/>
                <w:b/>
                <w:bCs/>
                <w:sz w:val="18"/>
                <w:szCs w:val="18"/>
              </w:rPr>
              <w:t>10.1136/injuryprev-2016-042309</w:t>
            </w:r>
            <w:r w:rsidRPr="009D62B0">
              <w:rPr>
                <w:rFonts w:ascii="Segoe UI" w:hAnsi="Segoe UI" w:cs="Segoe UI"/>
                <w:sz w:val="18"/>
                <w:szCs w:val="18"/>
              </w:rPr>
              <w:t>.</w:t>
            </w:r>
          </w:p>
          <w:p w14:paraId="2142297A" w14:textId="34832871" w:rsidR="003E3101" w:rsidRPr="009D62B0" w:rsidRDefault="00BA0D32" w:rsidP="00BA0D32">
            <w:pPr>
              <w:autoSpaceDE w:val="0"/>
              <w:autoSpaceDN w:val="0"/>
              <w:adjustRightInd w:val="0"/>
              <w:ind w:left="567" w:hanging="567"/>
              <w:rPr>
                <w:rFonts w:ascii="Segoe UI" w:hAnsi="Segoe UI" w:cs="Segoe UI"/>
                <w:sz w:val="18"/>
                <w:szCs w:val="18"/>
              </w:rPr>
            </w:pPr>
            <w:proofErr w:type="spellStart"/>
            <w:r w:rsidRPr="009D62B0">
              <w:rPr>
                <w:rFonts w:ascii="Segoe UI" w:hAnsi="Segoe UI" w:cs="Segoe UI"/>
                <w:sz w:val="18"/>
                <w:szCs w:val="18"/>
              </w:rPr>
              <w:lastRenderedPageBreak/>
              <w:t>Jaine</w:t>
            </w:r>
            <w:proofErr w:type="spellEnd"/>
            <w:r w:rsidRPr="009D62B0">
              <w:rPr>
                <w:rFonts w:ascii="Segoe UI" w:hAnsi="Segoe UI" w:cs="Segoe UI"/>
                <w:sz w:val="18"/>
                <w:szCs w:val="18"/>
              </w:rPr>
              <w:t xml:space="preserve"> R, </w:t>
            </w:r>
            <w:proofErr w:type="spellStart"/>
            <w:r w:rsidRPr="009D62B0">
              <w:rPr>
                <w:rFonts w:ascii="Segoe UI" w:hAnsi="Segoe UI" w:cs="Segoe UI"/>
                <w:sz w:val="18"/>
                <w:szCs w:val="18"/>
              </w:rPr>
              <w:t>Kvizhinadze</w:t>
            </w:r>
            <w:proofErr w:type="spellEnd"/>
            <w:r w:rsidRPr="009D62B0">
              <w:rPr>
                <w:rFonts w:ascii="Segoe UI" w:hAnsi="Segoe UI" w:cs="Segoe UI"/>
                <w:sz w:val="18"/>
                <w:szCs w:val="18"/>
              </w:rPr>
              <w:t xml:space="preserve"> G, Nair N, Blakely T. Cost-effectiveness of a </w:t>
            </w:r>
            <w:proofErr w:type="gramStart"/>
            <w:r w:rsidRPr="009D62B0">
              <w:rPr>
                <w:rFonts w:ascii="Segoe UI" w:hAnsi="Segoe UI" w:cs="Segoe UI"/>
                <w:sz w:val="18"/>
                <w:szCs w:val="18"/>
              </w:rPr>
              <w:t>low-dose</w:t>
            </w:r>
            <w:proofErr w:type="gramEnd"/>
            <w:r w:rsidRPr="009D62B0">
              <w:rPr>
                <w:rFonts w:ascii="Segoe UI" w:hAnsi="Segoe UI" w:cs="Segoe UI"/>
                <w:sz w:val="18"/>
                <w:szCs w:val="18"/>
              </w:rPr>
              <w:t xml:space="preserve"> computed tomography screening programme for lung cancer in New Zealand. Lung Cancer </w:t>
            </w:r>
            <w:proofErr w:type="gramStart"/>
            <w:r w:rsidRPr="009D62B0">
              <w:rPr>
                <w:rFonts w:ascii="Segoe UI" w:hAnsi="Segoe UI" w:cs="Segoe UI"/>
                <w:sz w:val="18"/>
                <w:szCs w:val="18"/>
              </w:rPr>
              <w:t>20</w:t>
            </w:r>
            <w:r w:rsidR="0007442A">
              <w:rPr>
                <w:rFonts w:ascii="Segoe UI" w:hAnsi="Segoe UI" w:cs="Segoe UI"/>
                <w:sz w:val="18"/>
                <w:szCs w:val="18"/>
              </w:rPr>
              <w:t>20</w:t>
            </w:r>
            <w:r w:rsidRPr="009D62B0">
              <w:rPr>
                <w:rFonts w:ascii="Segoe UI" w:hAnsi="Segoe UI" w:cs="Segoe UI"/>
                <w:sz w:val="18"/>
                <w:szCs w:val="18"/>
              </w:rPr>
              <w:t>;</w:t>
            </w:r>
            <w:r w:rsidRPr="009D62B0">
              <w:rPr>
                <w:rFonts w:ascii="Segoe UI" w:hAnsi="Segoe UI" w:cs="Segoe UI"/>
                <w:b/>
                <w:bCs/>
                <w:sz w:val="18"/>
                <w:szCs w:val="18"/>
              </w:rPr>
              <w:t>1</w:t>
            </w:r>
            <w:r w:rsidR="00D647F7">
              <w:rPr>
                <w:rFonts w:ascii="Segoe UI" w:hAnsi="Segoe UI" w:cs="Segoe UI"/>
                <w:b/>
                <w:bCs/>
                <w:sz w:val="18"/>
                <w:szCs w:val="18"/>
              </w:rPr>
              <w:t>44</w:t>
            </w:r>
            <w:r w:rsidRPr="009D62B0">
              <w:rPr>
                <w:rFonts w:ascii="Segoe UI" w:hAnsi="Segoe UI" w:cs="Segoe UI"/>
                <w:sz w:val="18"/>
                <w:szCs w:val="18"/>
              </w:rPr>
              <w:t>:</w:t>
            </w:r>
            <w:r w:rsidR="0007442A">
              <w:rPr>
                <w:rFonts w:ascii="Segoe UI" w:hAnsi="Segoe UI" w:cs="Segoe UI"/>
                <w:sz w:val="18"/>
                <w:szCs w:val="18"/>
              </w:rPr>
              <w:t>99</w:t>
            </w:r>
            <w:proofErr w:type="gramEnd"/>
            <w:r w:rsidR="0007442A">
              <w:rPr>
                <w:rFonts w:ascii="Segoe UI" w:hAnsi="Segoe UI" w:cs="Segoe UI"/>
                <w:sz w:val="18"/>
                <w:szCs w:val="18"/>
              </w:rPr>
              <w:t>-106.</w:t>
            </w:r>
          </w:p>
          <w:p w14:paraId="1537F3A1" w14:textId="54D0C982" w:rsidR="00BA0D32" w:rsidRPr="003E3101" w:rsidRDefault="00BA0D32" w:rsidP="003E3101">
            <w:pPr>
              <w:autoSpaceDE w:val="0"/>
              <w:autoSpaceDN w:val="0"/>
              <w:adjustRightInd w:val="0"/>
              <w:ind w:left="567" w:hanging="567"/>
              <w:rPr>
                <w:sz w:val="18"/>
                <w:szCs w:val="18"/>
              </w:rPr>
            </w:pPr>
            <w:proofErr w:type="spellStart"/>
            <w:r w:rsidRPr="009D62B0">
              <w:rPr>
                <w:rFonts w:ascii="Segoe UI" w:hAnsi="Segoe UI" w:cs="Segoe UI"/>
                <w:sz w:val="18"/>
                <w:szCs w:val="18"/>
              </w:rPr>
              <w:t>Petrović</w:t>
            </w:r>
            <w:proofErr w:type="spellEnd"/>
            <w:r w:rsidRPr="009D62B0">
              <w:rPr>
                <w:rFonts w:ascii="Segoe UI" w:hAnsi="Segoe UI" w:cs="Segoe UI"/>
                <w:sz w:val="18"/>
                <w:szCs w:val="18"/>
              </w:rPr>
              <w:t xml:space="preserve">-van der </w:t>
            </w:r>
            <w:proofErr w:type="spellStart"/>
            <w:r w:rsidRPr="009D62B0">
              <w:rPr>
                <w:rFonts w:ascii="Segoe UI" w:hAnsi="Segoe UI" w:cs="Segoe UI"/>
                <w:sz w:val="18"/>
                <w:szCs w:val="18"/>
              </w:rPr>
              <w:t>Deen</w:t>
            </w:r>
            <w:proofErr w:type="spellEnd"/>
            <w:r w:rsidRPr="009D62B0">
              <w:rPr>
                <w:rFonts w:ascii="Segoe UI" w:hAnsi="Segoe UI" w:cs="Segoe UI"/>
                <w:sz w:val="18"/>
                <w:szCs w:val="18"/>
              </w:rPr>
              <w:t xml:space="preserve"> FS, Blakely T, </w:t>
            </w:r>
            <w:proofErr w:type="spellStart"/>
            <w:r w:rsidRPr="009D62B0">
              <w:rPr>
                <w:rFonts w:ascii="Segoe UI" w:hAnsi="Segoe UI" w:cs="Segoe UI"/>
                <w:sz w:val="18"/>
                <w:szCs w:val="18"/>
              </w:rPr>
              <w:t>Kvizhinadze</w:t>
            </w:r>
            <w:proofErr w:type="spellEnd"/>
            <w:r w:rsidRPr="009D62B0">
              <w:rPr>
                <w:rFonts w:ascii="Segoe UI" w:hAnsi="Segoe UI" w:cs="Segoe UI"/>
                <w:sz w:val="18"/>
                <w:szCs w:val="18"/>
              </w:rPr>
              <w:t xml:space="preserve"> G, Cleghorn CL, </w:t>
            </w:r>
            <w:proofErr w:type="spellStart"/>
            <w:r w:rsidRPr="009D62B0">
              <w:rPr>
                <w:rFonts w:ascii="Segoe UI" w:hAnsi="Segoe UI" w:cs="Segoe UI"/>
                <w:sz w:val="18"/>
                <w:szCs w:val="18"/>
              </w:rPr>
              <w:t>Cobiac</w:t>
            </w:r>
            <w:proofErr w:type="spellEnd"/>
            <w:r w:rsidRPr="009D62B0">
              <w:rPr>
                <w:rFonts w:ascii="Segoe UI" w:hAnsi="Segoe UI" w:cs="Segoe UI"/>
                <w:sz w:val="18"/>
                <w:szCs w:val="18"/>
              </w:rPr>
              <w:t xml:space="preserve"> LJ, Wilson N. Restricting tobacco sales to only pharmacies combined with </w:t>
            </w:r>
            <w:r w:rsidRPr="003E3101">
              <w:rPr>
                <w:rFonts w:ascii="Segoe UI" w:hAnsi="Segoe UI" w:cs="Segoe UI"/>
                <w:sz w:val="18"/>
                <w:szCs w:val="18"/>
              </w:rPr>
              <w:t xml:space="preserve">cessation advice: a modelling study of the future smoking prevalence, health and cost impacts. Tobacco Control </w:t>
            </w:r>
            <w:proofErr w:type="gramStart"/>
            <w:r w:rsidRPr="003E3101">
              <w:rPr>
                <w:rFonts w:ascii="Segoe UI" w:hAnsi="Segoe UI" w:cs="Segoe UI"/>
                <w:sz w:val="18"/>
                <w:szCs w:val="18"/>
              </w:rPr>
              <w:t>201</w:t>
            </w:r>
            <w:r w:rsidR="003E3101">
              <w:rPr>
                <w:rFonts w:ascii="Segoe UI" w:hAnsi="Segoe UI" w:cs="Segoe UI"/>
                <w:sz w:val="18"/>
                <w:szCs w:val="18"/>
              </w:rPr>
              <w:t>9</w:t>
            </w:r>
            <w:r w:rsidR="003E3101" w:rsidRPr="003E3101">
              <w:rPr>
                <w:rStyle w:val="highwire-cite-metadata-year"/>
                <w:rFonts w:ascii="Helvetica Neue" w:hAnsi="Helvetica Neue"/>
                <w:color w:val="333333"/>
                <w:sz w:val="18"/>
                <w:szCs w:val="18"/>
                <w:shd w:val="clear" w:color="auto" w:fill="FFFFFF"/>
              </w:rPr>
              <w:t>;</w:t>
            </w:r>
            <w:r w:rsidR="003E3101" w:rsidRPr="003E3101">
              <w:rPr>
                <w:rStyle w:val="highwire-cite-metadata-volume"/>
                <w:rFonts w:ascii="Helvetica Neue" w:hAnsi="Helvetica Neue"/>
                <w:b/>
                <w:bCs/>
                <w:color w:val="333333"/>
                <w:sz w:val="18"/>
                <w:szCs w:val="18"/>
                <w:shd w:val="clear" w:color="auto" w:fill="FFFFFF"/>
              </w:rPr>
              <w:t>28:</w:t>
            </w:r>
            <w:r w:rsidR="003E3101" w:rsidRPr="003E3101">
              <w:rPr>
                <w:rStyle w:val="highwire-cite-metadata-pages"/>
                <w:rFonts w:ascii="Helvetica Neue" w:hAnsi="Helvetica Neue"/>
                <w:color w:val="333333"/>
                <w:sz w:val="18"/>
                <w:szCs w:val="18"/>
                <w:shd w:val="clear" w:color="auto" w:fill="FFFFFF"/>
              </w:rPr>
              <w:t>643</w:t>
            </w:r>
            <w:proofErr w:type="gramEnd"/>
            <w:r w:rsidR="003E3101" w:rsidRPr="003E3101">
              <w:rPr>
                <w:rStyle w:val="highwire-cite-metadata-pages"/>
                <w:rFonts w:ascii="Helvetica Neue" w:hAnsi="Helvetica Neue"/>
                <w:color w:val="333333"/>
                <w:sz w:val="18"/>
                <w:szCs w:val="18"/>
                <w:shd w:val="clear" w:color="auto" w:fill="FFFFFF"/>
              </w:rPr>
              <w:t>-650.</w:t>
            </w:r>
            <w:r w:rsidR="003E3101">
              <w:rPr>
                <w:rStyle w:val="highwire-cite-metadata-pages"/>
                <w:rFonts w:ascii="Helvetica Neue" w:hAnsi="Helvetica Neue"/>
                <w:color w:val="333333"/>
                <w:sz w:val="18"/>
                <w:szCs w:val="18"/>
                <w:shd w:val="clear" w:color="auto" w:fill="FFFFFF"/>
              </w:rPr>
              <w:t>*</w:t>
            </w:r>
          </w:p>
          <w:p w14:paraId="1FC2A80E" w14:textId="27833D26" w:rsidR="003E3101" w:rsidRDefault="003E3101" w:rsidP="003E3101">
            <w:pPr>
              <w:autoSpaceDE w:val="0"/>
              <w:autoSpaceDN w:val="0"/>
              <w:adjustRightInd w:val="0"/>
              <w:ind w:left="567" w:hanging="567"/>
              <w:rPr>
                <w:rFonts w:ascii="Segoe UI" w:hAnsi="Segoe UI" w:cs="Segoe UI"/>
                <w:color w:val="000000"/>
                <w:sz w:val="18"/>
                <w:szCs w:val="18"/>
              </w:rPr>
            </w:pPr>
            <w:r>
              <w:rPr>
                <w:rFonts w:ascii="Segoe UI" w:hAnsi="Segoe UI" w:cs="Segoe UI"/>
                <w:color w:val="000000"/>
                <w:sz w:val="18"/>
                <w:szCs w:val="18"/>
              </w:rPr>
              <w:t xml:space="preserve">Cleghorn C, Wilson N, Nair N, </w:t>
            </w:r>
            <w:proofErr w:type="spellStart"/>
            <w:r>
              <w:rPr>
                <w:rFonts w:ascii="Segoe UI" w:hAnsi="Segoe UI" w:cs="Segoe UI"/>
                <w:color w:val="000000"/>
                <w:sz w:val="18"/>
                <w:szCs w:val="18"/>
              </w:rPr>
              <w:t>Kvizhinadze</w:t>
            </w:r>
            <w:proofErr w:type="spellEnd"/>
            <w:r>
              <w:rPr>
                <w:rFonts w:ascii="Segoe UI" w:hAnsi="Segoe UI" w:cs="Segoe UI"/>
                <w:color w:val="000000"/>
                <w:sz w:val="18"/>
                <w:szCs w:val="18"/>
              </w:rPr>
              <w:t xml:space="preserve"> G, Nghiem N, McLeod M, Blakely T. Health Benefits and Cost-Effectiveness </w:t>
            </w:r>
            <w:proofErr w:type="gramStart"/>
            <w:r>
              <w:rPr>
                <w:rFonts w:ascii="Segoe UI" w:hAnsi="Segoe UI" w:cs="Segoe UI"/>
                <w:color w:val="000000"/>
                <w:sz w:val="18"/>
                <w:szCs w:val="18"/>
              </w:rPr>
              <w:t>From</w:t>
            </w:r>
            <w:proofErr w:type="gramEnd"/>
            <w:r>
              <w:rPr>
                <w:rFonts w:ascii="Segoe UI" w:hAnsi="Segoe UI" w:cs="Segoe UI"/>
                <w:color w:val="000000"/>
                <w:sz w:val="18"/>
                <w:szCs w:val="18"/>
              </w:rPr>
              <w:t xml:space="preserve"> Promoting Smartphone Apps for Weight Loss: Multistate Life Table </w:t>
            </w:r>
            <w:proofErr w:type="spellStart"/>
            <w:r>
              <w:rPr>
                <w:rFonts w:ascii="Segoe UI" w:hAnsi="Segoe UI" w:cs="Segoe UI"/>
                <w:color w:val="000000"/>
                <w:sz w:val="18"/>
                <w:szCs w:val="18"/>
              </w:rPr>
              <w:t>Modeling</w:t>
            </w:r>
            <w:proofErr w:type="spellEnd"/>
            <w:r>
              <w:rPr>
                <w:rFonts w:ascii="Segoe UI" w:hAnsi="Segoe UI" w:cs="Segoe UI"/>
                <w:color w:val="000000"/>
                <w:sz w:val="18"/>
                <w:szCs w:val="18"/>
              </w:rPr>
              <w:t xml:space="preserve">. JMIR </w:t>
            </w:r>
            <w:proofErr w:type="spellStart"/>
            <w:r>
              <w:rPr>
                <w:rFonts w:ascii="Segoe UI" w:hAnsi="Segoe UI" w:cs="Segoe UI"/>
                <w:color w:val="000000"/>
                <w:sz w:val="18"/>
                <w:szCs w:val="18"/>
              </w:rPr>
              <w:t>Mhealth</w:t>
            </w:r>
            <w:proofErr w:type="spellEnd"/>
            <w:r>
              <w:rPr>
                <w:rFonts w:ascii="Segoe UI" w:hAnsi="Segoe UI" w:cs="Segoe UI"/>
                <w:color w:val="000000"/>
                <w:sz w:val="18"/>
                <w:szCs w:val="18"/>
              </w:rPr>
              <w:t xml:space="preserve"> </w:t>
            </w:r>
            <w:proofErr w:type="spellStart"/>
            <w:r>
              <w:rPr>
                <w:rFonts w:ascii="Segoe UI" w:hAnsi="Segoe UI" w:cs="Segoe UI"/>
                <w:color w:val="000000"/>
                <w:sz w:val="18"/>
                <w:szCs w:val="18"/>
              </w:rPr>
              <w:t>Uhealth</w:t>
            </w:r>
            <w:proofErr w:type="spellEnd"/>
            <w:r>
              <w:rPr>
                <w:rFonts w:ascii="Segoe UI" w:hAnsi="Segoe UI" w:cs="Segoe UI"/>
                <w:color w:val="000000"/>
                <w:sz w:val="18"/>
                <w:szCs w:val="18"/>
              </w:rPr>
              <w:t xml:space="preserve"> 2019;</w:t>
            </w:r>
            <w:r>
              <w:rPr>
                <w:rFonts w:ascii="Segoe UI" w:hAnsi="Segoe UI" w:cs="Segoe UI"/>
                <w:b/>
                <w:bCs/>
                <w:color w:val="000000"/>
                <w:sz w:val="18"/>
                <w:szCs w:val="18"/>
              </w:rPr>
              <w:t>7</w:t>
            </w:r>
            <w:r>
              <w:rPr>
                <w:rFonts w:ascii="Segoe UI" w:hAnsi="Segoe UI" w:cs="Segoe UI"/>
                <w:color w:val="000000"/>
                <w:sz w:val="18"/>
                <w:szCs w:val="18"/>
              </w:rPr>
              <w:t>(1</w:t>
            </w:r>
            <w:proofErr w:type="gramStart"/>
            <w:r>
              <w:rPr>
                <w:rFonts w:ascii="Segoe UI" w:hAnsi="Segoe UI" w:cs="Segoe UI"/>
                <w:color w:val="000000"/>
                <w:sz w:val="18"/>
                <w:szCs w:val="18"/>
              </w:rPr>
              <w:t>):e</w:t>
            </w:r>
            <w:proofErr w:type="gramEnd"/>
            <w:r>
              <w:rPr>
                <w:rFonts w:ascii="Segoe UI" w:hAnsi="Segoe UI" w:cs="Segoe UI"/>
                <w:color w:val="000000"/>
                <w:sz w:val="18"/>
                <w:szCs w:val="18"/>
              </w:rPr>
              <w:t>11118.*</w:t>
            </w:r>
          </w:p>
          <w:p w14:paraId="18451874" w14:textId="1BA9B15F" w:rsidR="003E3101" w:rsidRPr="003E3101" w:rsidRDefault="003E3101" w:rsidP="003E3101">
            <w:pPr>
              <w:autoSpaceDE w:val="0"/>
              <w:autoSpaceDN w:val="0"/>
              <w:adjustRightInd w:val="0"/>
              <w:ind w:left="567" w:hanging="567"/>
              <w:rPr>
                <w:rFonts w:ascii="Segoe UI" w:hAnsi="Segoe UI" w:cs="Segoe UI"/>
                <w:color w:val="000000"/>
                <w:sz w:val="18"/>
                <w:szCs w:val="18"/>
              </w:rPr>
            </w:pPr>
            <w:r>
              <w:rPr>
                <w:rFonts w:ascii="Segoe UI" w:hAnsi="Segoe UI" w:cs="Segoe UI"/>
                <w:color w:val="000000"/>
                <w:sz w:val="18"/>
                <w:szCs w:val="18"/>
              </w:rPr>
              <w:t>Nghiem N, Leung W, Cleghorn C, Blakely T, Wilson N. Mass media promotion of a smartphone smoking cessation app: modelled health and cost-saving impacts. BMC Public Health 2019;</w:t>
            </w:r>
            <w:r>
              <w:rPr>
                <w:rFonts w:ascii="Segoe UI" w:hAnsi="Segoe UI" w:cs="Segoe UI"/>
                <w:b/>
                <w:bCs/>
                <w:color w:val="000000"/>
                <w:sz w:val="18"/>
                <w:szCs w:val="18"/>
              </w:rPr>
              <w:t>19</w:t>
            </w:r>
            <w:r>
              <w:rPr>
                <w:rFonts w:ascii="Segoe UI" w:hAnsi="Segoe UI" w:cs="Segoe UI"/>
                <w:color w:val="000000"/>
                <w:sz w:val="18"/>
                <w:szCs w:val="18"/>
              </w:rPr>
              <w:t>(1):</w:t>
            </w:r>
            <w:proofErr w:type="gramStart"/>
            <w:r>
              <w:rPr>
                <w:rFonts w:ascii="Segoe UI" w:hAnsi="Segoe UI" w:cs="Segoe UI"/>
                <w:color w:val="000000"/>
                <w:sz w:val="18"/>
                <w:szCs w:val="18"/>
              </w:rPr>
              <w:t>283.</w:t>
            </w:r>
            <w:r w:rsidRPr="008E0BA2">
              <w:rPr>
                <w:rFonts w:ascii="Segoe UI" w:hAnsi="Segoe UI" w:cs="Segoe UI"/>
                <w:sz w:val="18"/>
                <w:szCs w:val="18"/>
              </w:rPr>
              <w:t>*</w:t>
            </w:r>
            <w:proofErr w:type="gramEnd"/>
          </w:p>
          <w:p w14:paraId="18422C91" w14:textId="76154BF7" w:rsidR="00BA0D32" w:rsidRDefault="00BA0D32" w:rsidP="00BA0D32">
            <w:pPr>
              <w:autoSpaceDE w:val="0"/>
              <w:autoSpaceDN w:val="0"/>
              <w:adjustRightInd w:val="0"/>
              <w:ind w:left="567" w:hanging="567"/>
              <w:rPr>
                <w:rFonts w:ascii="Segoe UI" w:hAnsi="Segoe UI" w:cs="Segoe UI"/>
                <w:sz w:val="18"/>
                <w:szCs w:val="18"/>
              </w:rPr>
            </w:pPr>
            <w:proofErr w:type="spellStart"/>
            <w:r w:rsidRPr="003E3101">
              <w:rPr>
                <w:rFonts w:ascii="Segoe UI" w:hAnsi="Segoe UI" w:cs="Segoe UI"/>
                <w:sz w:val="18"/>
                <w:szCs w:val="18"/>
              </w:rPr>
              <w:t>Petrović</w:t>
            </w:r>
            <w:proofErr w:type="spellEnd"/>
            <w:r w:rsidRPr="003E3101">
              <w:rPr>
                <w:rFonts w:ascii="Segoe UI" w:hAnsi="Segoe UI" w:cs="Segoe UI"/>
                <w:sz w:val="18"/>
                <w:szCs w:val="18"/>
              </w:rPr>
              <w:t xml:space="preserve">-van der </w:t>
            </w:r>
            <w:proofErr w:type="spellStart"/>
            <w:r w:rsidRPr="003E3101">
              <w:rPr>
                <w:rFonts w:ascii="Segoe UI" w:hAnsi="Segoe UI" w:cs="Segoe UI"/>
                <w:sz w:val="18"/>
                <w:szCs w:val="18"/>
              </w:rPr>
              <w:t>Deen</w:t>
            </w:r>
            <w:proofErr w:type="spellEnd"/>
            <w:r w:rsidRPr="003E3101">
              <w:rPr>
                <w:rFonts w:ascii="Segoe UI" w:hAnsi="Segoe UI" w:cs="Segoe UI"/>
                <w:sz w:val="18"/>
                <w:szCs w:val="18"/>
              </w:rPr>
              <w:t xml:space="preserve"> F, Wilson N, Crothers A, Cleghorn C, Gartner CE, Blakely T. The potential health and cost impacts of legalizing domestic sale of vaporized nicotine products at a country level: A modelling study. Epidemiology </w:t>
            </w:r>
            <w:r w:rsidR="005A6BE6" w:rsidRPr="003E3101">
              <w:rPr>
                <w:rFonts w:ascii="Segoe UI" w:hAnsi="Segoe UI" w:cs="Segoe UI"/>
                <w:sz w:val="18"/>
                <w:szCs w:val="18"/>
              </w:rPr>
              <w:t>2019</w:t>
            </w:r>
            <w:r w:rsidR="003E3101">
              <w:rPr>
                <w:rFonts w:ascii="Segoe UI" w:hAnsi="Segoe UI" w:cs="Segoe UI"/>
                <w:sz w:val="18"/>
                <w:szCs w:val="18"/>
              </w:rPr>
              <w:t>;</w:t>
            </w:r>
            <w:r w:rsidR="003E3101">
              <w:rPr>
                <w:rFonts w:ascii="Segoe UI" w:hAnsi="Segoe UI" w:cs="Segoe UI"/>
                <w:b/>
                <w:bCs/>
                <w:sz w:val="18"/>
                <w:szCs w:val="18"/>
              </w:rPr>
              <w:t>30</w:t>
            </w:r>
            <w:r w:rsidR="003E3101">
              <w:rPr>
                <w:rFonts w:ascii="Segoe UI" w:hAnsi="Segoe UI" w:cs="Segoe UI"/>
                <w:sz w:val="18"/>
                <w:szCs w:val="18"/>
              </w:rPr>
              <w:t>(3):396-</w:t>
            </w:r>
            <w:proofErr w:type="gramStart"/>
            <w:r w:rsidR="003E3101">
              <w:rPr>
                <w:rFonts w:ascii="Segoe UI" w:hAnsi="Segoe UI" w:cs="Segoe UI"/>
                <w:sz w:val="18"/>
                <w:szCs w:val="18"/>
              </w:rPr>
              <w:t>404.</w:t>
            </w:r>
            <w:r w:rsidR="00126AE8" w:rsidRPr="003E3101">
              <w:rPr>
                <w:rFonts w:ascii="Segoe UI" w:hAnsi="Segoe UI" w:cs="Segoe UI"/>
                <w:sz w:val="18"/>
                <w:szCs w:val="18"/>
              </w:rPr>
              <w:t>*</w:t>
            </w:r>
            <w:proofErr w:type="gramEnd"/>
          </w:p>
          <w:p w14:paraId="30A9F19C" w14:textId="658978BA" w:rsidR="00BA0D32" w:rsidRDefault="00BA0D32" w:rsidP="00BA0D32"/>
        </w:tc>
      </w:tr>
    </w:tbl>
    <w:p w14:paraId="7FB2A713" w14:textId="03C086A8" w:rsidR="009A20E9" w:rsidRDefault="009A20E9" w:rsidP="00390A0D"/>
    <w:p w14:paraId="65044C19" w14:textId="539C0BF7" w:rsidR="003F2ADE" w:rsidRPr="00167323" w:rsidRDefault="003F2ADE" w:rsidP="003F2ADE">
      <w:pPr>
        <w:pStyle w:val="EndNoteBibliography"/>
        <w:ind w:left="720" w:hanging="720"/>
        <w:rPr>
          <w:rFonts w:asciiTheme="minorHAnsi" w:hAnsiTheme="minorHAnsi" w:cstheme="minorHAnsi"/>
          <w:strike/>
        </w:rPr>
      </w:pPr>
    </w:p>
    <w:p w14:paraId="04CC3D8B" w14:textId="77777777" w:rsidR="003F2ADE" w:rsidRDefault="003F2ADE"/>
    <w:p w14:paraId="3E2F6B67" w14:textId="77777777" w:rsidR="00F87C29" w:rsidRDefault="00F87C29" w:rsidP="00AA350F">
      <w:pPr>
        <w:pStyle w:val="Heading1"/>
        <w:rPr>
          <w:lang w:val="en-AU"/>
        </w:rPr>
      </w:pPr>
    </w:p>
    <w:p w14:paraId="52675265" w14:textId="77777777" w:rsidR="00F87C29" w:rsidRDefault="00F87C29" w:rsidP="00AA350F">
      <w:pPr>
        <w:pStyle w:val="Heading1"/>
        <w:rPr>
          <w:lang w:val="en-AU"/>
        </w:rPr>
      </w:pPr>
    </w:p>
    <w:p w14:paraId="480ED688" w14:textId="77777777" w:rsidR="00F87C29" w:rsidRDefault="00F87C29" w:rsidP="00AA350F">
      <w:pPr>
        <w:pStyle w:val="Heading1"/>
        <w:rPr>
          <w:lang w:val="en-AU"/>
        </w:rPr>
      </w:pPr>
    </w:p>
    <w:p w14:paraId="14866EF8" w14:textId="77777777" w:rsidR="00F87C29" w:rsidRDefault="00F87C29" w:rsidP="00AA350F">
      <w:pPr>
        <w:pStyle w:val="Heading1"/>
        <w:rPr>
          <w:lang w:val="en-AU"/>
        </w:rPr>
      </w:pPr>
    </w:p>
    <w:p w14:paraId="544E7D00" w14:textId="4EA4274A" w:rsidR="00F87C29" w:rsidRDefault="00F87C29" w:rsidP="00AA350F">
      <w:pPr>
        <w:pStyle w:val="Heading1"/>
        <w:rPr>
          <w:lang w:val="en-AU"/>
        </w:rPr>
      </w:pPr>
    </w:p>
    <w:p w14:paraId="0A841043" w14:textId="77777777" w:rsidR="00F87C29" w:rsidRPr="00F87C29" w:rsidRDefault="00F87C29" w:rsidP="00F87C29">
      <w:pPr>
        <w:rPr>
          <w:lang w:val="en-AU"/>
        </w:rPr>
      </w:pPr>
    </w:p>
    <w:p w14:paraId="02EB39DD" w14:textId="1517905B" w:rsidR="00A85438" w:rsidRDefault="00A85438" w:rsidP="00A85438">
      <w:bookmarkStart w:id="6" w:name="_Toc8653193"/>
      <w:bookmarkStart w:id="7" w:name="_Ref8407571"/>
    </w:p>
    <w:p w14:paraId="4409A7F6" w14:textId="417D5BFD" w:rsidR="00A85438" w:rsidRDefault="00A85438" w:rsidP="00A85438"/>
    <w:p w14:paraId="013EC7AA" w14:textId="77777777" w:rsidR="00A85438" w:rsidRPr="00A85438" w:rsidRDefault="00A85438" w:rsidP="00A85438"/>
    <w:p w14:paraId="1CFA28D2" w14:textId="77F3B3C2" w:rsidR="00C53A16" w:rsidRDefault="00C53A16" w:rsidP="00C53A16">
      <w:pPr>
        <w:pStyle w:val="Heading1"/>
      </w:pPr>
      <w:bookmarkStart w:id="8" w:name="_Toc72761543"/>
      <w:r>
        <w:t>Supplementary figures</w:t>
      </w:r>
      <w:bookmarkEnd w:id="8"/>
      <w:r>
        <w:t xml:space="preserve"> </w:t>
      </w:r>
      <w:bookmarkEnd w:id="6"/>
    </w:p>
    <w:p w14:paraId="1FEA7330" w14:textId="77777777" w:rsidR="00A956D4" w:rsidRDefault="00A956D4" w:rsidP="0032576F">
      <w:bookmarkStart w:id="9" w:name="_Ref8653628"/>
    </w:p>
    <w:p w14:paraId="2DBE6F9A" w14:textId="77777777" w:rsidR="00411E19" w:rsidRDefault="00411E19" w:rsidP="00411E19">
      <w:pPr>
        <w:pStyle w:val="Caption"/>
      </w:pPr>
      <w:r>
        <w:t xml:space="preserve">Supplementary Figure </w:t>
      </w:r>
      <w:r>
        <w:rPr>
          <w:noProof/>
        </w:rPr>
        <w:t>1</w:t>
      </w:r>
      <w:r>
        <w:t>: Net health system costs per 1000 total population for selected Australian and New Zealand health sector interventions</w:t>
      </w:r>
    </w:p>
    <w:p w14:paraId="7DCC2116" w14:textId="77777777" w:rsidR="00411E19" w:rsidRDefault="00411E19" w:rsidP="00411E19">
      <w:r>
        <w:rPr>
          <w:noProof/>
          <w:lang w:val="en-AU" w:eastAsia="en-AU"/>
        </w:rPr>
        <w:drawing>
          <wp:inline distT="0" distB="0" distL="0" distR="0" wp14:anchorId="3C5CE1A1" wp14:editId="52489EC0">
            <wp:extent cx="8163171" cy="3095625"/>
            <wp:effectExtent l="0" t="0" r="9525" b="0"/>
            <wp:docPr id="12" name="Picture 12"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Graphical user interface&#10;&#10;Description automatically generated with medium confidence"/>
                    <pic:cNvPicPr/>
                  </pic:nvPicPr>
                  <pic:blipFill rotWithShape="1">
                    <a:blip r:embed="rId12"/>
                    <a:srcRect t="17008" b="15575"/>
                    <a:stretch/>
                  </pic:blipFill>
                  <pic:spPr bwMode="auto">
                    <a:xfrm>
                      <a:off x="0" y="0"/>
                      <a:ext cx="8186776" cy="3104576"/>
                    </a:xfrm>
                    <a:prstGeom prst="rect">
                      <a:avLst/>
                    </a:prstGeom>
                    <a:ln>
                      <a:noFill/>
                    </a:ln>
                    <a:extLst>
                      <a:ext uri="{53640926-AAD7-44D8-BBD7-CCE9431645EC}">
                        <a14:shadowObscured xmlns:a14="http://schemas.microsoft.com/office/drawing/2010/main"/>
                      </a:ext>
                    </a:extLst>
                  </pic:spPr>
                </pic:pic>
              </a:graphicData>
            </a:graphic>
          </wp:inline>
        </w:drawing>
      </w:r>
    </w:p>
    <w:p w14:paraId="1B1E4766" w14:textId="77777777" w:rsidR="00411E19" w:rsidRPr="00D3384B" w:rsidRDefault="00411E19" w:rsidP="00411E19"/>
    <w:p w14:paraId="73A5D803" w14:textId="77777777" w:rsidR="00411E19" w:rsidRDefault="00411E19" w:rsidP="00411E19"/>
    <w:p w14:paraId="67BDFFBB" w14:textId="4CAB1586" w:rsidR="009A239F" w:rsidRDefault="009A239F" w:rsidP="009A239F">
      <w:pPr>
        <w:pStyle w:val="Caption"/>
      </w:pPr>
      <w:r>
        <w:lastRenderedPageBreak/>
        <w:t xml:space="preserve">Supplementary Figure </w:t>
      </w:r>
      <w:r w:rsidR="00411E19">
        <w:rPr>
          <w:noProof/>
        </w:rPr>
        <w:t>2</w:t>
      </w:r>
      <w:r>
        <w:t>: HALYs gained per capita target population, for selected Australian and New Zealand health sector interventions</w:t>
      </w:r>
    </w:p>
    <w:p w14:paraId="5EF6F83C" w14:textId="0FA106B6" w:rsidR="009A239F" w:rsidRDefault="009A239F" w:rsidP="009A239F">
      <w:r>
        <w:rPr>
          <w:noProof/>
        </w:rPr>
        <w:drawing>
          <wp:inline distT="0" distB="0" distL="0" distR="0" wp14:anchorId="2F8B1B28" wp14:editId="5519D637">
            <wp:extent cx="4598673" cy="8114494"/>
            <wp:effectExtent l="0" t="5080" r="0" b="0"/>
            <wp:docPr id="1" name="Picture 1" descr="A picture containing text, device, thermometer, sca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device, thermometer, scale&#10;&#10;Description automatically generated"/>
                    <pic:cNvPicPr/>
                  </pic:nvPicPr>
                  <pic:blipFill rotWithShape="1">
                    <a:blip r:embed="rId13" cstate="print">
                      <a:extLst>
                        <a:ext uri="{28A0092B-C50C-407E-A947-70E740481C1C}">
                          <a14:useLocalDpi xmlns:a14="http://schemas.microsoft.com/office/drawing/2010/main" val="0"/>
                        </a:ext>
                      </a:extLst>
                    </a:blip>
                    <a:srcRect l="9991" r="9772"/>
                    <a:stretch/>
                  </pic:blipFill>
                  <pic:spPr bwMode="auto">
                    <a:xfrm rot="5400000">
                      <a:off x="0" y="0"/>
                      <a:ext cx="4598770" cy="8114665"/>
                    </a:xfrm>
                    <a:prstGeom prst="rect">
                      <a:avLst/>
                    </a:prstGeom>
                    <a:ln>
                      <a:noFill/>
                    </a:ln>
                    <a:extLst>
                      <a:ext uri="{53640926-AAD7-44D8-BBD7-CCE9431645EC}">
                        <a14:shadowObscured xmlns:a14="http://schemas.microsoft.com/office/drawing/2010/main"/>
                      </a:ext>
                    </a:extLst>
                  </pic:spPr>
                </pic:pic>
              </a:graphicData>
            </a:graphic>
          </wp:inline>
        </w:drawing>
      </w:r>
    </w:p>
    <w:p w14:paraId="1FED5023" w14:textId="77777777" w:rsidR="009A239F" w:rsidRPr="009A239F" w:rsidRDefault="009A239F" w:rsidP="009A239F"/>
    <w:bookmarkEnd w:id="7"/>
    <w:bookmarkEnd w:id="9"/>
    <w:p w14:paraId="6952900C" w14:textId="77777777" w:rsidR="00F72CBA" w:rsidRDefault="00F72CBA">
      <w:pPr>
        <w:sectPr w:rsidR="00F72CBA" w:rsidSect="00F72CBA">
          <w:headerReference w:type="default" r:id="rId14"/>
          <w:footerReference w:type="default" r:id="rId15"/>
          <w:pgSz w:w="16838" w:h="11906" w:orient="landscape"/>
          <w:pgMar w:top="1440" w:right="1440" w:bottom="1440" w:left="1440" w:header="708" w:footer="708" w:gutter="0"/>
          <w:cols w:space="708"/>
          <w:docGrid w:linePitch="360"/>
        </w:sectPr>
      </w:pPr>
    </w:p>
    <w:p w14:paraId="7033450B" w14:textId="4FF4FA66" w:rsidR="008F475D" w:rsidRPr="004A592B" w:rsidRDefault="008F475D" w:rsidP="004A592B">
      <w:pPr>
        <w:pStyle w:val="Heading1"/>
      </w:pPr>
      <w:bookmarkStart w:id="10" w:name="_Toc501637877"/>
      <w:bookmarkStart w:id="11" w:name="_Toc72761544"/>
      <w:r w:rsidRPr="004A592B">
        <w:lastRenderedPageBreak/>
        <w:t>Examples of (interactive) leagues tables that already exist</w:t>
      </w:r>
      <w:bookmarkEnd w:id="10"/>
      <w:bookmarkEnd w:id="11"/>
    </w:p>
    <w:p w14:paraId="79ECBB04" w14:textId="282DA88B" w:rsidR="008F475D" w:rsidRPr="00852C5C" w:rsidRDefault="008F475D" w:rsidP="00A77143">
      <w:pPr>
        <w:spacing w:after="40" w:line="240" w:lineRule="auto"/>
      </w:pPr>
      <w:r w:rsidRPr="00852C5C">
        <w:t>Several examples of leagues tables have been published in the last three decades. We conducted a literature search with the following search strategy (</w:t>
      </w:r>
      <w:r w:rsidR="00483A5E">
        <w:t>PubMed</w:t>
      </w:r>
      <w:r w:rsidRPr="00852C5C">
        <w:t xml:space="preserve"> in 4 August 2017):</w:t>
      </w:r>
    </w:p>
    <w:p w14:paraId="09CF8AC2" w14:textId="77777777" w:rsidR="008F475D" w:rsidRPr="00852C5C" w:rsidRDefault="008F475D" w:rsidP="00A77143">
      <w:pPr>
        <w:spacing w:after="40" w:line="240" w:lineRule="auto"/>
        <w:ind w:left="720"/>
        <w:rPr>
          <w:rFonts w:ascii="Times New Roman" w:hAnsi="Times New Roman"/>
          <w:sz w:val="24"/>
          <w:lang w:eastAsia="zh-CN"/>
        </w:rPr>
      </w:pPr>
      <w:r w:rsidRPr="00852C5C">
        <w:rPr>
          <w:lang w:eastAsia="zh-CN"/>
        </w:rPr>
        <w:t>(league tables)</w:t>
      </w:r>
    </w:p>
    <w:p w14:paraId="7A0AE327" w14:textId="77777777" w:rsidR="008F475D" w:rsidRPr="00852C5C" w:rsidRDefault="008F475D" w:rsidP="00A77143">
      <w:pPr>
        <w:spacing w:after="40" w:line="240" w:lineRule="auto"/>
        <w:ind w:left="720"/>
        <w:rPr>
          <w:rFonts w:ascii="Times New Roman" w:hAnsi="Times New Roman"/>
          <w:sz w:val="24"/>
          <w:lang w:eastAsia="zh-CN"/>
        </w:rPr>
      </w:pPr>
      <w:r w:rsidRPr="00852C5C">
        <w:rPr>
          <w:lang w:eastAsia="zh-CN"/>
        </w:rPr>
        <w:t>AND</w:t>
      </w:r>
    </w:p>
    <w:p w14:paraId="0EB95598" w14:textId="77777777" w:rsidR="008F475D" w:rsidRPr="00852C5C" w:rsidRDefault="008F475D" w:rsidP="00A77143">
      <w:pPr>
        <w:spacing w:after="40" w:line="240" w:lineRule="auto"/>
        <w:ind w:left="720"/>
        <w:rPr>
          <w:rFonts w:ascii="Times New Roman" w:hAnsi="Times New Roman"/>
          <w:sz w:val="24"/>
          <w:lang w:eastAsia="zh-CN"/>
        </w:rPr>
      </w:pPr>
      <w:r w:rsidRPr="00852C5C">
        <w:rPr>
          <w:lang w:eastAsia="zh-CN"/>
        </w:rPr>
        <w:t>((cost-effectiveness analysis) or (health economics) or (cost-benefit analysis) or (cost-utility analysis) OR (economic evaluation) or (economics))</w:t>
      </w:r>
    </w:p>
    <w:p w14:paraId="77155699" w14:textId="40A94705" w:rsidR="008F475D" w:rsidRPr="00852C5C" w:rsidRDefault="008F475D" w:rsidP="00A77143">
      <w:pPr>
        <w:spacing w:after="40" w:line="240" w:lineRule="auto"/>
        <w:rPr>
          <w:rFonts w:eastAsia="Times New Roman" w:cs="Arial"/>
          <w:sz w:val="24"/>
          <w:lang w:eastAsia="zh-CN"/>
        </w:rPr>
      </w:pPr>
      <w:r w:rsidRPr="00852C5C">
        <w:t xml:space="preserve">This search resulted in 71 publications published between 1982 and 2017. A title and abstract review identified 41 studies original articles presenting league tables, methodological guidelines, theoretical and conceptual review, systematic reviews and critic letters. We also added 11 eligible articles found within the citations of these 41 studies. </w:t>
      </w:r>
      <w:r w:rsidR="00677AEF">
        <w:t xml:space="preserve">Un updated review with the same strategy on articles published between July 2017 and </w:t>
      </w:r>
      <w:r w:rsidR="00483A5E">
        <w:t>December 2020 (</w:t>
      </w:r>
      <w:r w:rsidR="00677AEF">
        <w:t xml:space="preserve">conducted </w:t>
      </w:r>
      <w:r w:rsidR="00483A5E">
        <w:t xml:space="preserve">in PubMed </w:t>
      </w:r>
      <w:r w:rsidR="00677AEF">
        <w:t>on 8 February 2021</w:t>
      </w:r>
      <w:r w:rsidR="00483A5E">
        <w:t>)</w:t>
      </w:r>
      <w:r w:rsidRPr="00852C5C">
        <w:t xml:space="preserve"> </w:t>
      </w:r>
      <w:r w:rsidR="00677AEF">
        <w:t xml:space="preserve">found one additional paper. </w:t>
      </w:r>
      <w:r w:rsidRPr="00852C5C">
        <w:rPr>
          <w:rFonts w:cs="Arial"/>
        </w:rPr>
        <w:t>Those papers presenting actual examples of league tables, as opposed to guidelines or</w:t>
      </w:r>
      <w:r w:rsidRPr="00852C5C">
        <w:rPr>
          <w:rFonts w:eastAsia="Times New Roman" w:cs="Arial"/>
          <w:lang w:eastAsia="zh-CN"/>
        </w:rPr>
        <w:t xml:space="preserve"> critiques, are shown in </w:t>
      </w:r>
      <w:r w:rsidRPr="00852C5C">
        <w:rPr>
          <w:rFonts w:eastAsia="Times New Roman" w:cs="Arial"/>
          <w:lang w:eastAsia="zh-CN"/>
        </w:rPr>
        <w:fldChar w:fldCharType="begin"/>
      </w:r>
      <w:r w:rsidRPr="00852C5C">
        <w:rPr>
          <w:rFonts w:eastAsia="Times New Roman" w:cs="Arial"/>
          <w:lang w:eastAsia="zh-CN"/>
        </w:rPr>
        <w:instrText xml:space="preserve"> REF _Ref497745417 \h  \* MERGEFORMAT </w:instrText>
      </w:r>
      <w:r w:rsidRPr="00852C5C">
        <w:rPr>
          <w:rFonts w:eastAsia="Times New Roman" w:cs="Arial"/>
          <w:lang w:eastAsia="zh-CN"/>
        </w:rPr>
      </w:r>
      <w:r w:rsidRPr="00852C5C">
        <w:rPr>
          <w:rFonts w:eastAsia="Times New Roman" w:cs="Arial"/>
          <w:lang w:eastAsia="zh-CN"/>
        </w:rPr>
        <w:fldChar w:fldCharType="separate"/>
      </w:r>
      <w:r w:rsidR="002A0721" w:rsidRPr="00852C5C">
        <w:rPr>
          <w:rFonts w:cs="Arial"/>
        </w:rPr>
        <w:t xml:space="preserve">Table </w:t>
      </w:r>
      <w:r w:rsidR="002A0721" w:rsidRPr="00852C5C">
        <w:rPr>
          <w:rFonts w:cs="Arial"/>
          <w:noProof/>
        </w:rPr>
        <w:t>3</w:t>
      </w:r>
      <w:r w:rsidRPr="00852C5C">
        <w:rPr>
          <w:rFonts w:eastAsia="Times New Roman" w:cs="Arial"/>
          <w:lang w:eastAsia="zh-CN"/>
        </w:rPr>
        <w:fldChar w:fldCharType="end"/>
      </w:r>
      <w:r w:rsidRPr="00852C5C">
        <w:rPr>
          <w:rFonts w:eastAsia="Times New Roman" w:cs="Arial"/>
          <w:lang w:eastAsia="zh-CN"/>
        </w:rPr>
        <w:t xml:space="preserve"> </w:t>
      </w:r>
      <w:r w:rsidRPr="00852C5C">
        <w:rPr>
          <w:rFonts w:eastAsia="Times New Roman" w:cs="Arial"/>
          <w:lang w:eastAsia="zh-CN"/>
        </w:rPr>
        <w:fldChar w:fldCharType="begin"/>
      </w:r>
      <w:r w:rsidRPr="00852C5C">
        <w:rPr>
          <w:rFonts w:eastAsia="Times New Roman" w:cs="Arial"/>
          <w:lang w:eastAsia="zh-CN"/>
        </w:rPr>
        <w:instrText xml:space="preserve"> REF _Ref497745423 \p \h  \* MERGEFORMAT </w:instrText>
      </w:r>
      <w:r w:rsidRPr="00852C5C">
        <w:rPr>
          <w:rFonts w:eastAsia="Times New Roman" w:cs="Arial"/>
          <w:lang w:eastAsia="zh-CN"/>
        </w:rPr>
      </w:r>
      <w:r w:rsidRPr="00852C5C">
        <w:rPr>
          <w:rFonts w:eastAsia="Times New Roman" w:cs="Arial"/>
          <w:lang w:eastAsia="zh-CN"/>
        </w:rPr>
        <w:fldChar w:fldCharType="separate"/>
      </w:r>
      <w:r w:rsidR="002A0721" w:rsidRPr="00852C5C">
        <w:rPr>
          <w:rFonts w:eastAsia="Times New Roman" w:cs="Arial"/>
          <w:lang w:eastAsia="zh-CN"/>
        </w:rPr>
        <w:t>below</w:t>
      </w:r>
      <w:r w:rsidRPr="00852C5C">
        <w:rPr>
          <w:rFonts w:eastAsia="Times New Roman" w:cs="Arial"/>
          <w:lang w:eastAsia="zh-CN"/>
        </w:rPr>
        <w:fldChar w:fldCharType="end"/>
      </w:r>
      <w:r w:rsidRPr="00852C5C">
        <w:rPr>
          <w:rFonts w:eastAsia="Times New Roman" w:cs="Arial"/>
          <w:lang w:eastAsia="zh-CN"/>
        </w:rPr>
        <w:t>.</w:t>
      </w:r>
    </w:p>
    <w:p w14:paraId="58D6F836" w14:textId="77777777" w:rsidR="00852C5C" w:rsidRDefault="00852C5C" w:rsidP="00A77143">
      <w:pPr>
        <w:spacing w:after="40" w:line="240" w:lineRule="auto"/>
        <w:rPr>
          <w:color w:val="C00000"/>
        </w:rPr>
      </w:pPr>
    </w:p>
    <w:p w14:paraId="3365D538" w14:textId="5FB8BDEB" w:rsidR="008F475D" w:rsidRPr="00852C5C" w:rsidRDefault="00852C5C" w:rsidP="00852C5C">
      <w:pPr>
        <w:pStyle w:val="Caption"/>
      </w:pPr>
      <w:bookmarkStart w:id="12" w:name="_Ref497745423"/>
      <w:r>
        <w:t>Supplemen</w:t>
      </w:r>
      <w:r w:rsidRPr="00852C5C">
        <w:t xml:space="preserve">tary Table </w:t>
      </w:r>
      <w:fldSimple w:instr=" SEQ Supplementary_Table \* ARABIC ">
        <w:r w:rsidRPr="00852C5C">
          <w:t>1</w:t>
        </w:r>
      </w:fldSimple>
      <w:r w:rsidR="008F475D" w:rsidRPr="00852C5C">
        <w:t>: Examples of league tables published between 1985-20</w:t>
      </w:r>
      <w:bookmarkEnd w:id="12"/>
      <w:r w:rsidR="00FF2432">
        <w:t>20</w:t>
      </w:r>
    </w:p>
    <w:tbl>
      <w:tblPr>
        <w:tblStyle w:val="TableGrid"/>
        <w:tblW w:w="5000" w:type="pct"/>
        <w:tblLook w:val="04A0" w:firstRow="1" w:lastRow="0" w:firstColumn="1" w:lastColumn="0" w:noHBand="0" w:noVBand="1"/>
      </w:tblPr>
      <w:tblGrid>
        <w:gridCol w:w="1674"/>
        <w:gridCol w:w="732"/>
        <w:gridCol w:w="1134"/>
        <w:gridCol w:w="1300"/>
        <w:gridCol w:w="4176"/>
      </w:tblGrid>
      <w:tr w:rsidR="00852C5C" w:rsidRPr="00852C5C" w14:paraId="44361593" w14:textId="77777777" w:rsidTr="00852C5C">
        <w:trPr>
          <w:tblHeader/>
        </w:trPr>
        <w:tc>
          <w:tcPr>
            <w:tcW w:w="92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4B18807" w14:textId="77777777" w:rsidR="008F475D" w:rsidRPr="00852C5C" w:rsidRDefault="008F475D" w:rsidP="008F475D">
            <w:pPr>
              <w:jc w:val="center"/>
              <w:rPr>
                <w:rFonts w:cs="Arial"/>
                <w:b/>
                <w:sz w:val="18"/>
                <w:szCs w:val="18"/>
              </w:rPr>
            </w:pPr>
            <w:r w:rsidRPr="00852C5C">
              <w:rPr>
                <w:rFonts w:cs="Arial"/>
                <w:b/>
                <w:sz w:val="18"/>
                <w:szCs w:val="18"/>
              </w:rPr>
              <w:t>Authorship</w:t>
            </w:r>
          </w:p>
        </w:tc>
        <w:tc>
          <w:tcPr>
            <w:tcW w:w="406"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9BC67B6" w14:textId="77777777" w:rsidR="008F475D" w:rsidRPr="00852C5C" w:rsidRDefault="008F475D" w:rsidP="008F475D">
            <w:pPr>
              <w:jc w:val="center"/>
              <w:rPr>
                <w:rFonts w:cs="Arial"/>
                <w:b/>
                <w:sz w:val="18"/>
                <w:szCs w:val="18"/>
              </w:rPr>
            </w:pPr>
            <w:r w:rsidRPr="00852C5C">
              <w:rPr>
                <w:rFonts w:cs="Arial"/>
                <w:b/>
                <w:sz w:val="18"/>
                <w:szCs w:val="18"/>
              </w:rPr>
              <w:t>Year</w:t>
            </w:r>
          </w:p>
        </w:tc>
        <w:tc>
          <w:tcPr>
            <w:tcW w:w="62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BE36B90" w14:textId="77777777" w:rsidR="008F475D" w:rsidRPr="00852C5C" w:rsidRDefault="008F475D" w:rsidP="008F475D">
            <w:pPr>
              <w:jc w:val="center"/>
              <w:rPr>
                <w:rFonts w:cs="Arial"/>
                <w:b/>
                <w:sz w:val="18"/>
                <w:szCs w:val="18"/>
              </w:rPr>
            </w:pPr>
            <w:r w:rsidRPr="00852C5C">
              <w:rPr>
                <w:rFonts w:cs="Arial"/>
                <w:b/>
                <w:sz w:val="18"/>
                <w:szCs w:val="18"/>
              </w:rPr>
              <w:t>Region/</w:t>
            </w:r>
            <w:r w:rsidRPr="00852C5C">
              <w:rPr>
                <w:rFonts w:cs="Arial"/>
                <w:b/>
                <w:sz w:val="18"/>
                <w:szCs w:val="18"/>
              </w:rPr>
              <w:br/>
              <w:t>Country</w:t>
            </w:r>
          </w:p>
        </w:tc>
        <w:tc>
          <w:tcPr>
            <w:tcW w:w="72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EA240DC" w14:textId="77777777" w:rsidR="008F475D" w:rsidRPr="00852C5C" w:rsidRDefault="008F475D" w:rsidP="008F475D">
            <w:pPr>
              <w:jc w:val="center"/>
              <w:rPr>
                <w:rFonts w:cs="Arial"/>
                <w:b/>
                <w:sz w:val="18"/>
                <w:szCs w:val="18"/>
              </w:rPr>
            </w:pPr>
            <w:r w:rsidRPr="00852C5C">
              <w:rPr>
                <w:rFonts w:cs="Arial"/>
                <w:b/>
                <w:sz w:val="18"/>
                <w:szCs w:val="18"/>
              </w:rPr>
              <w:t>Diseases/</w:t>
            </w:r>
            <w:r w:rsidRPr="00852C5C">
              <w:rPr>
                <w:rFonts w:cs="Arial"/>
                <w:b/>
                <w:sz w:val="18"/>
                <w:szCs w:val="18"/>
              </w:rPr>
              <w:br/>
              <w:t>Risk factor</w:t>
            </w:r>
          </w:p>
        </w:tc>
        <w:tc>
          <w:tcPr>
            <w:tcW w:w="2316"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19F380D" w14:textId="77777777" w:rsidR="008F475D" w:rsidRPr="00852C5C" w:rsidRDefault="008F475D" w:rsidP="008F475D">
            <w:pPr>
              <w:jc w:val="center"/>
              <w:rPr>
                <w:rFonts w:cs="Arial"/>
                <w:b/>
                <w:sz w:val="18"/>
                <w:szCs w:val="18"/>
              </w:rPr>
            </w:pPr>
            <w:r w:rsidRPr="00852C5C">
              <w:rPr>
                <w:rFonts w:cs="Arial"/>
                <w:b/>
                <w:sz w:val="18"/>
                <w:szCs w:val="18"/>
              </w:rPr>
              <w:t>Description</w:t>
            </w:r>
          </w:p>
        </w:tc>
      </w:tr>
      <w:tr w:rsidR="00852C5C" w:rsidRPr="00852C5C" w14:paraId="5B6A8499" w14:textId="77777777" w:rsidTr="008F475D">
        <w:tc>
          <w:tcPr>
            <w:tcW w:w="928" w:type="pct"/>
            <w:tcBorders>
              <w:top w:val="single" w:sz="4" w:space="0" w:color="auto"/>
              <w:left w:val="single" w:sz="4" w:space="0" w:color="auto"/>
              <w:bottom w:val="single" w:sz="4" w:space="0" w:color="auto"/>
              <w:right w:val="single" w:sz="4" w:space="0" w:color="auto"/>
            </w:tcBorders>
            <w:vAlign w:val="center"/>
            <w:hideMark/>
          </w:tcPr>
          <w:p w14:paraId="69E693D9" w14:textId="77777777" w:rsidR="008F475D" w:rsidRPr="00852C5C" w:rsidRDefault="008F475D" w:rsidP="008F475D">
            <w:pPr>
              <w:rPr>
                <w:rFonts w:cs="Arial"/>
                <w:sz w:val="16"/>
                <w:szCs w:val="18"/>
              </w:rPr>
            </w:pPr>
            <w:r w:rsidRPr="00852C5C">
              <w:rPr>
                <w:rFonts w:cs="Arial"/>
                <w:sz w:val="16"/>
                <w:szCs w:val="18"/>
              </w:rPr>
              <w:t>Williams</w:t>
            </w:r>
          </w:p>
          <w:p w14:paraId="4DC2D7CE" w14:textId="71F8DFAD" w:rsidR="008F475D" w:rsidRPr="00852C5C" w:rsidRDefault="00FC3DDD" w:rsidP="00FC3DDD">
            <w:pPr>
              <w:rPr>
                <w:rFonts w:cs="Arial"/>
                <w:sz w:val="16"/>
                <w:szCs w:val="18"/>
              </w:rPr>
            </w:pPr>
            <w:r w:rsidRPr="00852C5C">
              <w:rPr>
                <w:rFonts w:cs="Arial"/>
                <w:sz w:val="16"/>
                <w:szCs w:val="18"/>
                <w:lang w:val="en-US"/>
              </w:rPr>
              <w:fldChar w:fldCharType="begin"/>
            </w:r>
            <w:r w:rsidR="003D55B9">
              <w:rPr>
                <w:rFonts w:cs="Arial"/>
                <w:sz w:val="16"/>
                <w:szCs w:val="18"/>
                <w:lang w:val="en-US"/>
              </w:rPr>
              <w:instrText xml:space="preserve"> ADDIN EN.CITE &lt;EndNote&gt;&lt;Cite&gt;&lt;Author&gt;Williams&lt;/Author&gt;&lt;Year&gt;1985&lt;/Year&gt;&lt;RecNum&gt;2&lt;/RecNum&gt;&lt;DisplayText&gt;(1)&lt;/DisplayText&gt;&lt;record&gt;&lt;rec-number&gt;2&lt;/rec-number&gt;&lt;foreign-keys&gt;&lt;key app="EN" db-id="rxw0ard092apvse2rzlvtfdxvxef2zd25vz5" timestamp="1611833085"&gt;2&lt;/key&gt;&lt;/foreign-keys&gt;&lt;ref-type name="Journal Article"&gt;17&lt;/ref-type&gt;&lt;contributors&gt;&lt;authors&gt;&lt;author&gt;Williams, A&lt;/author&gt;&lt;/authors&gt;&lt;/contributors&gt;&lt;titles&gt;&lt;title&gt;Economics of coronary artery bypass grafting&lt;/title&gt;&lt;secondary-title&gt;Br Med J (Clin Res Ed)&lt;/secondary-title&gt;&lt;/titles&gt;&lt;periodical&gt;&lt;full-title&gt;Br Med J (Clin Res Ed)&lt;/full-title&gt;&lt;/periodical&gt;&lt;pages&gt;326-329&lt;/pages&gt;&lt;volume&gt;261&lt;/volume&gt;&lt;number&gt;6491&lt;/number&gt;&lt;dates&gt;&lt;year&gt;1985&lt;/year&gt;&lt;/dates&gt;&lt;urls&gt;&lt;/urls&gt;&lt;/record&gt;&lt;/Cite&gt;&lt;/EndNote&gt;</w:instrText>
            </w:r>
            <w:r w:rsidRPr="00852C5C">
              <w:rPr>
                <w:rFonts w:cs="Arial"/>
                <w:sz w:val="16"/>
                <w:szCs w:val="18"/>
                <w:lang w:val="en-US"/>
              </w:rPr>
              <w:fldChar w:fldCharType="separate"/>
            </w:r>
            <w:r w:rsidR="003D55B9">
              <w:rPr>
                <w:rFonts w:cs="Arial"/>
                <w:noProof/>
                <w:sz w:val="16"/>
                <w:szCs w:val="18"/>
                <w:lang w:val="en-US"/>
              </w:rPr>
              <w:t>(1)</w:t>
            </w:r>
            <w:r w:rsidRPr="00852C5C">
              <w:rPr>
                <w:rFonts w:cs="Arial"/>
                <w:sz w:val="16"/>
                <w:szCs w:val="18"/>
                <w:lang w:val="en-US"/>
              </w:rPr>
              <w:fldChar w:fldCharType="end"/>
            </w:r>
          </w:p>
        </w:tc>
        <w:tc>
          <w:tcPr>
            <w:tcW w:w="406" w:type="pct"/>
            <w:tcBorders>
              <w:top w:val="single" w:sz="4" w:space="0" w:color="auto"/>
              <w:left w:val="single" w:sz="4" w:space="0" w:color="auto"/>
              <w:bottom w:val="single" w:sz="4" w:space="0" w:color="auto"/>
              <w:right w:val="single" w:sz="4" w:space="0" w:color="auto"/>
            </w:tcBorders>
            <w:vAlign w:val="center"/>
            <w:hideMark/>
          </w:tcPr>
          <w:p w14:paraId="46DDC9DC" w14:textId="77777777" w:rsidR="008F475D" w:rsidRPr="00852C5C" w:rsidRDefault="008F475D" w:rsidP="008F475D">
            <w:pPr>
              <w:jc w:val="center"/>
              <w:rPr>
                <w:rFonts w:cs="Arial"/>
                <w:sz w:val="16"/>
                <w:szCs w:val="18"/>
              </w:rPr>
            </w:pPr>
            <w:r w:rsidRPr="00852C5C">
              <w:rPr>
                <w:rFonts w:cs="Arial"/>
                <w:sz w:val="16"/>
                <w:szCs w:val="18"/>
              </w:rPr>
              <w:t>1985</w:t>
            </w:r>
          </w:p>
        </w:tc>
        <w:tc>
          <w:tcPr>
            <w:tcW w:w="629" w:type="pct"/>
            <w:tcBorders>
              <w:top w:val="single" w:sz="4" w:space="0" w:color="auto"/>
              <w:left w:val="single" w:sz="4" w:space="0" w:color="auto"/>
              <w:bottom w:val="single" w:sz="4" w:space="0" w:color="auto"/>
              <w:right w:val="single" w:sz="4" w:space="0" w:color="auto"/>
            </w:tcBorders>
            <w:vAlign w:val="center"/>
            <w:hideMark/>
          </w:tcPr>
          <w:p w14:paraId="4595D676" w14:textId="77777777" w:rsidR="008F475D" w:rsidRPr="00852C5C" w:rsidRDefault="008F475D" w:rsidP="008F475D">
            <w:pPr>
              <w:jc w:val="center"/>
              <w:rPr>
                <w:rFonts w:cs="Arial"/>
                <w:sz w:val="16"/>
                <w:szCs w:val="18"/>
              </w:rPr>
            </w:pPr>
            <w:r w:rsidRPr="00852C5C">
              <w:rPr>
                <w:rFonts w:cs="Arial"/>
                <w:sz w:val="16"/>
                <w:szCs w:val="18"/>
              </w:rPr>
              <w:t>United Kingdom</w:t>
            </w:r>
          </w:p>
        </w:tc>
        <w:tc>
          <w:tcPr>
            <w:tcW w:w="721" w:type="pct"/>
            <w:tcBorders>
              <w:top w:val="single" w:sz="4" w:space="0" w:color="auto"/>
              <w:left w:val="single" w:sz="4" w:space="0" w:color="auto"/>
              <w:bottom w:val="single" w:sz="4" w:space="0" w:color="auto"/>
              <w:right w:val="single" w:sz="4" w:space="0" w:color="auto"/>
            </w:tcBorders>
            <w:vAlign w:val="center"/>
            <w:hideMark/>
          </w:tcPr>
          <w:p w14:paraId="20514908" w14:textId="77777777" w:rsidR="008F475D" w:rsidRPr="00852C5C" w:rsidRDefault="008F475D" w:rsidP="008F475D">
            <w:pPr>
              <w:jc w:val="center"/>
              <w:rPr>
                <w:rFonts w:cs="Arial"/>
                <w:sz w:val="16"/>
                <w:szCs w:val="18"/>
              </w:rPr>
            </w:pPr>
            <w:r w:rsidRPr="00852C5C">
              <w:rPr>
                <w:rFonts w:cs="Arial"/>
                <w:sz w:val="16"/>
                <w:szCs w:val="18"/>
              </w:rPr>
              <w:t>Cardiac diseases</w:t>
            </w:r>
          </w:p>
        </w:tc>
        <w:tc>
          <w:tcPr>
            <w:tcW w:w="2316" w:type="pct"/>
            <w:tcBorders>
              <w:top w:val="single" w:sz="4" w:space="0" w:color="auto"/>
              <w:left w:val="single" w:sz="4" w:space="0" w:color="auto"/>
              <w:bottom w:val="single" w:sz="4" w:space="0" w:color="auto"/>
              <w:right w:val="single" w:sz="4" w:space="0" w:color="auto"/>
            </w:tcBorders>
            <w:vAlign w:val="center"/>
            <w:hideMark/>
          </w:tcPr>
          <w:p w14:paraId="696B7B6A" w14:textId="77777777" w:rsidR="008F475D" w:rsidRPr="00852C5C" w:rsidRDefault="008F475D" w:rsidP="008F475D">
            <w:pPr>
              <w:rPr>
                <w:rFonts w:cs="Arial"/>
                <w:sz w:val="16"/>
                <w:szCs w:val="18"/>
              </w:rPr>
            </w:pPr>
            <w:r w:rsidRPr="00852C5C">
              <w:rPr>
                <w:rFonts w:cs="Arial"/>
                <w:sz w:val="16"/>
                <w:szCs w:val="18"/>
              </w:rPr>
              <w:t>Compares several cardiac and non-cardiac interventions by cost per QALY to discuss if the number of operations for coronary artery bypass grafting should be increased.</w:t>
            </w:r>
          </w:p>
        </w:tc>
      </w:tr>
      <w:tr w:rsidR="00852C5C" w:rsidRPr="00852C5C" w14:paraId="47FDC7FD" w14:textId="77777777" w:rsidTr="008F475D">
        <w:tc>
          <w:tcPr>
            <w:tcW w:w="928" w:type="pct"/>
            <w:tcBorders>
              <w:top w:val="single" w:sz="4" w:space="0" w:color="auto"/>
              <w:left w:val="single" w:sz="4" w:space="0" w:color="auto"/>
              <w:bottom w:val="single" w:sz="4" w:space="0" w:color="auto"/>
              <w:right w:val="single" w:sz="4" w:space="0" w:color="auto"/>
            </w:tcBorders>
            <w:vAlign w:val="center"/>
            <w:hideMark/>
          </w:tcPr>
          <w:p w14:paraId="206DBB6C" w14:textId="49FF5555" w:rsidR="008F475D" w:rsidRPr="00852C5C" w:rsidRDefault="008F475D" w:rsidP="00FC3DDD">
            <w:pPr>
              <w:rPr>
                <w:rFonts w:cs="Arial"/>
                <w:sz w:val="16"/>
                <w:szCs w:val="18"/>
              </w:rPr>
            </w:pPr>
            <w:r w:rsidRPr="00852C5C">
              <w:rPr>
                <w:rFonts w:cs="Arial"/>
                <w:sz w:val="16"/>
                <w:szCs w:val="18"/>
              </w:rPr>
              <w:t xml:space="preserve">Chapman et al </w:t>
            </w:r>
            <w:r w:rsidRPr="00852C5C">
              <w:rPr>
                <w:rFonts w:cs="Arial"/>
                <w:sz w:val="16"/>
                <w:szCs w:val="18"/>
              </w:rPr>
              <w:br/>
            </w:r>
            <w:r w:rsidR="00FC3DDD" w:rsidRPr="00852C5C">
              <w:rPr>
                <w:rFonts w:cs="Arial"/>
                <w:sz w:val="16"/>
                <w:szCs w:val="18"/>
                <w:lang w:val="en-AU"/>
              </w:rPr>
              <w:fldChar w:fldCharType="begin">
                <w:fldData xml:space="preserve">PEVuZE5vdGU+PENpdGU+PEF1dGhvcj5DaGFwbWFuPC9BdXRob3I+PFllYXI+MjAwMDwvWWVhcj48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</w:fldData>
              </w:fldChar>
            </w:r>
            <w:r w:rsidR="003D55B9">
              <w:rPr>
                <w:rFonts w:cs="Arial"/>
                <w:sz w:val="16"/>
                <w:szCs w:val="18"/>
                <w:lang w:val="en-AU"/>
              </w:rPr>
              <w:instrText xml:space="preserve"> ADDIN EN.CITE </w:instrText>
            </w:r>
            <w:r w:rsidR="003D55B9">
              <w:rPr>
                <w:rFonts w:cs="Arial"/>
                <w:sz w:val="16"/>
                <w:szCs w:val="18"/>
                <w:lang w:val="en-AU"/>
              </w:rPr>
              <w:fldChar w:fldCharType="begin">
                <w:fldData xml:space="preserve">PEVuZE5vdGU+PENpdGU+PEF1dGhvcj5DaGFwbWFuPC9BdXRob3I+PFllYXI+MjAwMDwvWWVhcj48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</w:fldData>
              </w:fldChar>
            </w:r>
            <w:r w:rsidR="003D55B9">
              <w:rPr>
                <w:rFonts w:cs="Arial"/>
                <w:sz w:val="16"/>
                <w:szCs w:val="18"/>
                <w:lang w:val="en-AU"/>
              </w:rPr>
              <w:instrText xml:space="preserve"> ADDIN EN.CITE.DATA </w:instrText>
            </w:r>
            <w:r w:rsidR="003D55B9">
              <w:rPr>
                <w:rFonts w:cs="Arial"/>
                <w:sz w:val="16"/>
                <w:szCs w:val="18"/>
                <w:lang w:val="en-AU"/>
              </w:rPr>
            </w:r>
            <w:r w:rsidR="003D55B9">
              <w:rPr>
                <w:rFonts w:cs="Arial"/>
                <w:sz w:val="16"/>
                <w:szCs w:val="18"/>
                <w:lang w:val="en-AU"/>
              </w:rPr>
              <w:fldChar w:fldCharType="end"/>
            </w:r>
            <w:r w:rsidR="00FC3DDD" w:rsidRPr="00852C5C">
              <w:rPr>
                <w:rFonts w:cs="Arial"/>
                <w:sz w:val="16"/>
                <w:szCs w:val="18"/>
                <w:lang w:val="en-AU"/>
              </w:rPr>
            </w:r>
            <w:r w:rsidR="00FC3DDD" w:rsidRPr="00852C5C">
              <w:rPr>
                <w:rFonts w:cs="Arial"/>
                <w:sz w:val="16"/>
                <w:szCs w:val="18"/>
                <w:lang w:val="en-AU"/>
              </w:rPr>
              <w:fldChar w:fldCharType="separate"/>
            </w:r>
            <w:r w:rsidR="003D55B9">
              <w:rPr>
                <w:rFonts w:cs="Arial"/>
                <w:noProof/>
                <w:sz w:val="16"/>
                <w:szCs w:val="18"/>
                <w:lang w:val="en-AU"/>
              </w:rPr>
              <w:t>(2)</w:t>
            </w:r>
            <w:r w:rsidR="00FC3DDD" w:rsidRPr="00852C5C">
              <w:rPr>
                <w:rFonts w:cs="Arial"/>
                <w:sz w:val="16"/>
                <w:szCs w:val="18"/>
                <w:lang w:val="en-AU"/>
              </w:rPr>
              <w:fldChar w:fldCharType="end"/>
            </w:r>
            <w:r w:rsidRPr="00852C5C">
              <w:rPr>
                <w:rFonts w:cs="Arial"/>
                <w:sz w:val="16"/>
                <w:szCs w:val="18"/>
              </w:rPr>
              <w:br/>
            </w:r>
          </w:p>
        </w:tc>
        <w:tc>
          <w:tcPr>
            <w:tcW w:w="406" w:type="pct"/>
            <w:tcBorders>
              <w:top w:val="single" w:sz="4" w:space="0" w:color="auto"/>
              <w:left w:val="single" w:sz="4" w:space="0" w:color="auto"/>
              <w:bottom w:val="single" w:sz="4" w:space="0" w:color="auto"/>
              <w:right w:val="single" w:sz="4" w:space="0" w:color="auto"/>
            </w:tcBorders>
            <w:vAlign w:val="center"/>
            <w:hideMark/>
          </w:tcPr>
          <w:p w14:paraId="2CBBEFE8" w14:textId="77777777" w:rsidR="008F475D" w:rsidRPr="00852C5C" w:rsidRDefault="008F475D" w:rsidP="008F475D">
            <w:pPr>
              <w:jc w:val="center"/>
              <w:rPr>
                <w:rFonts w:cs="Arial"/>
                <w:sz w:val="16"/>
                <w:szCs w:val="18"/>
              </w:rPr>
            </w:pPr>
            <w:r w:rsidRPr="00852C5C">
              <w:rPr>
                <w:rFonts w:cs="Arial"/>
                <w:sz w:val="16"/>
                <w:szCs w:val="18"/>
              </w:rPr>
              <w:t>2000</w:t>
            </w:r>
          </w:p>
        </w:tc>
        <w:tc>
          <w:tcPr>
            <w:tcW w:w="629" w:type="pct"/>
            <w:tcBorders>
              <w:top w:val="single" w:sz="4" w:space="0" w:color="auto"/>
              <w:left w:val="single" w:sz="4" w:space="0" w:color="auto"/>
              <w:bottom w:val="single" w:sz="4" w:space="0" w:color="auto"/>
              <w:right w:val="single" w:sz="4" w:space="0" w:color="auto"/>
            </w:tcBorders>
            <w:vAlign w:val="center"/>
            <w:hideMark/>
          </w:tcPr>
          <w:p w14:paraId="40EF70AC" w14:textId="77777777" w:rsidR="008F475D" w:rsidRPr="00852C5C" w:rsidRDefault="008F475D" w:rsidP="008F475D">
            <w:pPr>
              <w:jc w:val="center"/>
              <w:rPr>
                <w:rFonts w:cs="Arial"/>
                <w:sz w:val="16"/>
                <w:szCs w:val="18"/>
              </w:rPr>
            </w:pPr>
            <w:r w:rsidRPr="00852C5C">
              <w:rPr>
                <w:rFonts w:cs="Arial"/>
                <w:sz w:val="16"/>
                <w:szCs w:val="18"/>
              </w:rPr>
              <w:t>-</w:t>
            </w:r>
          </w:p>
        </w:tc>
        <w:tc>
          <w:tcPr>
            <w:tcW w:w="721" w:type="pct"/>
            <w:tcBorders>
              <w:top w:val="single" w:sz="4" w:space="0" w:color="auto"/>
              <w:left w:val="single" w:sz="4" w:space="0" w:color="auto"/>
              <w:bottom w:val="single" w:sz="4" w:space="0" w:color="auto"/>
              <w:right w:val="single" w:sz="4" w:space="0" w:color="auto"/>
            </w:tcBorders>
            <w:vAlign w:val="center"/>
            <w:hideMark/>
          </w:tcPr>
          <w:p w14:paraId="3CC244B6" w14:textId="77777777" w:rsidR="008F475D" w:rsidRPr="00852C5C" w:rsidRDefault="008F475D" w:rsidP="008F475D">
            <w:pPr>
              <w:jc w:val="center"/>
              <w:rPr>
                <w:rFonts w:cs="Arial"/>
                <w:sz w:val="16"/>
                <w:szCs w:val="18"/>
              </w:rPr>
            </w:pPr>
            <w:r w:rsidRPr="00852C5C">
              <w:rPr>
                <w:rFonts w:cs="Arial"/>
                <w:sz w:val="16"/>
                <w:szCs w:val="18"/>
              </w:rPr>
              <w:t>-</w:t>
            </w:r>
          </w:p>
        </w:tc>
        <w:tc>
          <w:tcPr>
            <w:tcW w:w="2316" w:type="pct"/>
            <w:tcBorders>
              <w:top w:val="single" w:sz="4" w:space="0" w:color="auto"/>
              <w:left w:val="single" w:sz="4" w:space="0" w:color="auto"/>
              <w:bottom w:val="single" w:sz="4" w:space="0" w:color="auto"/>
              <w:right w:val="single" w:sz="4" w:space="0" w:color="auto"/>
            </w:tcBorders>
            <w:vAlign w:val="center"/>
            <w:hideMark/>
          </w:tcPr>
          <w:p w14:paraId="03D2C5E0" w14:textId="77777777" w:rsidR="008F475D" w:rsidRPr="00852C5C" w:rsidRDefault="008F475D" w:rsidP="008F475D">
            <w:pPr>
              <w:rPr>
                <w:rFonts w:cs="Arial"/>
                <w:sz w:val="16"/>
                <w:szCs w:val="18"/>
              </w:rPr>
            </w:pPr>
            <w:r w:rsidRPr="00852C5C">
              <w:rPr>
                <w:rFonts w:cs="Arial"/>
                <w:sz w:val="16"/>
                <w:szCs w:val="18"/>
              </w:rPr>
              <w:t>Compilation of 228 studies (1976-1997) and 647 intervention-comparator pairs, grouped by disease category and type of intervention.</w:t>
            </w:r>
          </w:p>
        </w:tc>
      </w:tr>
      <w:tr w:rsidR="00852C5C" w:rsidRPr="00852C5C" w14:paraId="51A12DF6" w14:textId="77777777" w:rsidTr="008F475D">
        <w:tc>
          <w:tcPr>
            <w:tcW w:w="928" w:type="pct"/>
            <w:tcBorders>
              <w:top w:val="single" w:sz="4" w:space="0" w:color="auto"/>
              <w:left w:val="single" w:sz="4" w:space="0" w:color="auto"/>
              <w:bottom w:val="single" w:sz="4" w:space="0" w:color="auto"/>
              <w:right w:val="single" w:sz="4" w:space="0" w:color="auto"/>
            </w:tcBorders>
            <w:vAlign w:val="center"/>
            <w:hideMark/>
          </w:tcPr>
          <w:p w14:paraId="6DEE15CA" w14:textId="07C05239" w:rsidR="008F475D" w:rsidRPr="00852C5C" w:rsidRDefault="008F475D" w:rsidP="00FC3DDD">
            <w:pPr>
              <w:rPr>
                <w:rFonts w:cs="Arial"/>
                <w:sz w:val="16"/>
                <w:szCs w:val="18"/>
              </w:rPr>
            </w:pPr>
            <w:r w:rsidRPr="00852C5C">
              <w:rPr>
                <w:rFonts w:cs="Arial"/>
                <w:sz w:val="16"/>
                <w:szCs w:val="18"/>
              </w:rPr>
              <w:t>George, Harrys &amp; Mitchell</w:t>
            </w:r>
            <w:r w:rsidRPr="00852C5C">
              <w:rPr>
                <w:rFonts w:cs="Arial"/>
                <w:sz w:val="16"/>
                <w:szCs w:val="18"/>
              </w:rPr>
              <w:br/>
            </w:r>
            <w:r w:rsidR="00FC3DDD" w:rsidRPr="00852C5C">
              <w:rPr>
                <w:rFonts w:cs="Arial"/>
                <w:sz w:val="16"/>
                <w:szCs w:val="18"/>
              </w:rPr>
              <w:fldChar w:fldCharType="begin"/>
            </w:r>
            <w:r w:rsidR="003D55B9">
              <w:rPr>
                <w:rFonts w:cs="Arial"/>
                <w:sz w:val="16"/>
                <w:szCs w:val="18"/>
              </w:rPr>
              <w:instrText xml:space="preserve"> ADDIN EN.CITE &lt;EndNote&gt;&lt;Cite&gt;&lt;Author&gt;George&lt;/Author&gt;&lt;Year&gt;2001&lt;/Year&gt;&lt;RecNum&gt;24&lt;/RecNum&gt;&lt;DisplayText&gt;(3)&lt;/DisplayText&gt;&lt;record&gt;&lt;rec-number&gt;24&lt;/rec-number&gt;&lt;foreign-keys&gt;&lt;key app="EN" db-id="rxw0ard092apvse2rzlvtfdxvxef2zd25vz5" timestamp="1612755819"&gt;24&lt;/key&gt;&lt;/foreign-keys&gt;&lt;ref-type name="Journal Article"&gt;17&lt;/ref-type&gt;&lt;contributors&gt;&lt;authors&gt;&lt;author&gt;George, B.&lt;/author&gt;&lt;author&gt;Harris, A.&lt;/author&gt;&lt;author&gt;Mitchell, A.&lt;/author&gt;&lt;/authors&gt;&lt;/contributors&gt;&lt;auth-address&gt;Centre for Policy and Practice, University of London School of Pharmacy, Tower Hamlets PCG and Barts&amp;apos; and the London NHS Trust, London, UK. bethan.george@ulsop.ac.uk&lt;/auth-address&gt;&lt;titles&gt;&lt;title&gt;Cost-effectiveness analysis and the consistency of decision making: evidence from pharmaceutical reimbursement in australia (1991 to 1996)&lt;/title&gt;&lt;secondary-title&gt;Pharmacoeconomics&lt;/secondary-title&gt;&lt;/titles&gt;&lt;periodical&gt;&lt;full-title&gt;Pharmacoeconomics&lt;/full-title&gt;&lt;abbr-1&gt;PharmacoEconomics&lt;/abbr-1&gt;&lt;/periodical&gt;&lt;pages&gt;1103-9&lt;/pages&gt;&lt;volume&gt;19&lt;/volume&gt;&lt;number&gt;11&lt;/number&gt;&lt;keywords&gt;&lt;keyword&gt;Australia&lt;/keyword&gt;&lt;keyword&gt;Cost-Benefit Analysis/*economics&lt;/keyword&gt;&lt;keyword&gt;*Decision Making&lt;/keyword&gt;&lt;keyword&gt;*Drug Approval/economics/methods&lt;/keyword&gt;&lt;keyword&gt;Humans&lt;/keyword&gt;&lt;keyword&gt;*Quality-Adjusted Life Years&lt;/keyword&gt;&lt;/keywords&gt;&lt;dates&gt;&lt;year&gt;2001&lt;/year&gt;&lt;/dates&gt;&lt;isbn&gt;1170-7690 (Print)&amp;#xD;1170-7690 (Linking)&lt;/isbn&gt;&lt;accession-num&gt;11735677&lt;/accession-num&gt;&lt;urls&gt;&lt;related-urls&gt;&lt;url&gt;&lt;style face="underline" font="default" size="100%"&gt;https://www.ncbi.nlm.nih.gov/pubmed/11735677&lt;/style&gt;&lt;/url&gt;&lt;/related-urls&gt;&lt;/urls&gt;&lt;/record&gt;&lt;/Cite&gt;&lt;/EndNote&gt;</w:instrText>
            </w:r>
            <w:r w:rsidR="00FC3DDD" w:rsidRPr="00852C5C">
              <w:rPr>
                <w:rFonts w:cs="Arial"/>
                <w:sz w:val="16"/>
                <w:szCs w:val="18"/>
              </w:rPr>
              <w:fldChar w:fldCharType="separate"/>
            </w:r>
            <w:r w:rsidR="003D55B9">
              <w:rPr>
                <w:rFonts w:cs="Arial"/>
                <w:noProof/>
                <w:sz w:val="16"/>
                <w:szCs w:val="18"/>
              </w:rPr>
              <w:t>(3)</w:t>
            </w:r>
            <w:r w:rsidR="00FC3DDD" w:rsidRPr="00852C5C">
              <w:rPr>
                <w:rFonts w:cs="Arial"/>
                <w:sz w:val="16"/>
                <w:szCs w:val="18"/>
              </w:rPr>
              <w:fldChar w:fldCharType="end"/>
            </w:r>
          </w:p>
        </w:tc>
        <w:tc>
          <w:tcPr>
            <w:tcW w:w="406" w:type="pct"/>
            <w:tcBorders>
              <w:top w:val="single" w:sz="4" w:space="0" w:color="auto"/>
              <w:left w:val="single" w:sz="4" w:space="0" w:color="auto"/>
              <w:bottom w:val="single" w:sz="4" w:space="0" w:color="auto"/>
              <w:right w:val="single" w:sz="4" w:space="0" w:color="auto"/>
            </w:tcBorders>
            <w:vAlign w:val="center"/>
            <w:hideMark/>
          </w:tcPr>
          <w:p w14:paraId="61C6E143" w14:textId="77777777" w:rsidR="008F475D" w:rsidRPr="00852C5C" w:rsidRDefault="008F475D" w:rsidP="008F475D">
            <w:pPr>
              <w:jc w:val="center"/>
              <w:rPr>
                <w:rFonts w:cs="Arial"/>
                <w:sz w:val="16"/>
                <w:szCs w:val="18"/>
              </w:rPr>
            </w:pPr>
            <w:r w:rsidRPr="00852C5C">
              <w:rPr>
                <w:rFonts w:cs="Arial"/>
                <w:sz w:val="16"/>
                <w:szCs w:val="18"/>
              </w:rPr>
              <w:t>2001</w:t>
            </w:r>
          </w:p>
        </w:tc>
        <w:tc>
          <w:tcPr>
            <w:tcW w:w="629" w:type="pct"/>
            <w:tcBorders>
              <w:top w:val="single" w:sz="4" w:space="0" w:color="auto"/>
              <w:left w:val="single" w:sz="4" w:space="0" w:color="auto"/>
              <w:bottom w:val="single" w:sz="4" w:space="0" w:color="auto"/>
              <w:right w:val="single" w:sz="4" w:space="0" w:color="auto"/>
            </w:tcBorders>
            <w:vAlign w:val="center"/>
            <w:hideMark/>
          </w:tcPr>
          <w:p w14:paraId="25BCC359" w14:textId="77777777" w:rsidR="008F475D" w:rsidRPr="00852C5C" w:rsidRDefault="008F475D" w:rsidP="008F475D">
            <w:pPr>
              <w:jc w:val="center"/>
              <w:rPr>
                <w:rFonts w:cs="Arial"/>
                <w:sz w:val="16"/>
                <w:szCs w:val="18"/>
              </w:rPr>
            </w:pPr>
            <w:r w:rsidRPr="00852C5C">
              <w:rPr>
                <w:rFonts w:cs="Arial"/>
                <w:sz w:val="16"/>
                <w:szCs w:val="18"/>
              </w:rPr>
              <w:t>Australia</w:t>
            </w:r>
          </w:p>
        </w:tc>
        <w:tc>
          <w:tcPr>
            <w:tcW w:w="721" w:type="pct"/>
            <w:tcBorders>
              <w:top w:val="single" w:sz="4" w:space="0" w:color="auto"/>
              <w:left w:val="single" w:sz="4" w:space="0" w:color="auto"/>
              <w:bottom w:val="single" w:sz="4" w:space="0" w:color="auto"/>
              <w:right w:val="single" w:sz="4" w:space="0" w:color="auto"/>
            </w:tcBorders>
            <w:vAlign w:val="center"/>
            <w:hideMark/>
          </w:tcPr>
          <w:p w14:paraId="559EF869" w14:textId="77777777" w:rsidR="008F475D" w:rsidRPr="00852C5C" w:rsidRDefault="008F475D" w:rsidP="008F475D">
            <w:pPr>
              <w:jc w:val="center"/>
              <w:rPr>
                <w:rFonts w:cs="Arial"/>
                <w:sz w:val="16"/>
                <w:szCs w:val="18"/>
              </w:rPr>
            </w:pPr>
            <w:r w:rsidRPr="00852C5C">
              <w:rPr>
                <w:rFonts w:cs="Arial"/>
                <w:sz w:val="16"/>
                <w:szCs w:val="18"/>
              </w:rPr>
              <w:t>-</w:t>
            </w:r>
          </w:p>
        </w:tc>
        <w:tc>
          <w:tcPr>
            <w:tcW w:w="2316" w:type="pct"/>
            <w:tcBorders>
              <w:top w:val="single" w:sz="4" w:space="0" w:color="auto"/>
              <w:left w:val="single" w:sz="4" w:space="0" w:color="auto"/>
              <w:bottom w:val="single" w:sz="4" w:space="0" w:color="auto"/>
              <w:right w:val="single" w:sz="4" w:space="0" w:color="auto"/>
            </w:tcBorders>
            <w:vAlign w:val="center"/>
            <w:hideMark/>
          </w:tcPr>
          <w:p w14:paraId="4EACAE22" w14:textId="3521D2FF" w:rsidR="008F475D" w:rsidRPr="00852C5C" w:rsidRDefault="008F475D" w:rsidP="008F475D">
            <w:pPr>
              <w:rPr>
                <w:rFonts w:cs="Arial"/>
                <w:sz w:val="16"/>
                <w:szCs w:val="18"/>
              </w:rPr>
            </w:pPr>
            <w:r w:rsidRPr="00852C5C">
              <w:rPr>
                <w:rFonts w:cs="Arial"/>
                <w:sz w:val="16"/>
                <w:szCs w:val="18"/>
              </w:rPr>
              <w:t xml:space="preserve">Compilation of 355 submissions to the </w:t>
            </w:r>
            <w:r w:rsidR="003D093F">
              <w:rPr>
                <w:rFonts w:cs="Arial"/>
                <w:sz w:val="16"/>
                <w:szCs w:val="18"/>
              </w:rPr>
              <w:t>Pharmaceutical Benefits Advisory Committee (</w:t>
            </w:r>
            <w:r w:rsidRPr="00852C5C">
              <w:rPr>
                <w:rFonts w:cs="Arial"/>
                <w:sz w:val="16"/>
                <w:szCs w:val="18"/>
              </w:rPr>
              <w:t>PBAC</w:t>
            </w:r>
            <w:r w:rsidR="003D093F">
              <w:rPr>
                <w:rFonts w:cs="Arial"/>
                <w:sz w:val="16"/>
                <w:szCs w:val="18"/>
              </w:rPr>
              <w:t>)</w:t>
            </w:r>
            <w:r w:rsidRPr="00852C5C">
              <w:rPr>
                <w:rFonts w:cs="Arial"/>
                <w:sz w:val="16"/>
                <w:szCs w:val="18"/>
              </w:rPr>
              <w:t xml:space="preserve"> (1991-1996) to compare outcome measures: 26 CEA studies and 9 CUA (QALY gained).</w:t>
            </w:r>
          </w:p>
        </w:tc>
      </w:tr>
      <w:tr w:rsidR="00852C5C" w:rsidRPr="00852C5C" w14:paraId="07EA90ED" w14:textId="77777777" w:rsidTr="008F475D">
        <w:tc>
          <w:tcPr>
            <w:tcW w:w="928" w:type="pct"/>
            <w:tcBorders>
              <w:top w:val="single" w:sz="4" w:space="0" w:color="auto"/>
              <w:left w:val="single" w:sz="4" w:space="0" w:color="auto"/>
              <w:bottom w:val="single" w:sz="4" w:space="0" w:color="auto"/>
              <w:right w:val="single" w:sz="4" w:space="0" w:color="auto"/>
            </w:tcBorders>
            <w:vAlign w:val="center"/>
            <w:hideMark/>
          </w:tcPr>
          <w:p w14:paraId="2F6D0784" w14:textId="3DEB1BDC" w:rsidR="008F475D" w:rsidRPr="00852C5C" w:rsidRDefault="008F475D" w:rsidP="00FC3DDD">
            <w:pPr>
              <w:rPr>
                <w:rFonts w:cs="Arial"/>
                <w:sz w:val="16"/>
                <w:szCs w:val="18"/>
              </w:rPr>
            </w:pPr>
            <w:r w:rsidRPr="00852C5C">
              <w:rPr>
                <w:rFonts w:cs="Arial"/>
                <w:sz w:val="16"/>
                <w:szCs w:val="18"/>
              </w:rPr>
              <w:t>Pinkerton et al</w:t>
            </w:r>
            <w:r w:rsidRPr="00852C5C">
              <w:rPr>
                <w:rFonts w:cs="Arial"/>
                <w:sz w:val="16"/>
                <w:szCs w:val="18"/>
              </w:rPr>
              <w:br/>
            </w:r>
            <w:r w:rsidR="00FC3DDD" w:rsidRPr="00852C5C">
              <w:rPr>
                <w:rFonts w:cs="Arial"/>
                <w:sz w:val="16"/>
                <w:szCs w:val="18"/>
              </w:rPr>
              <w:fldChar w:fldCharType="begin"/>
            </w:r>
            <w:r w:rsidR="003D55B9">
              <w:rPr>
                <w:rFonts w:cs="Arial"/>
                <w:sz w:val="16"/>
                <w:szCs w:val="18"/>
              </w:rPr>
              <w:instrText xml:space="preserve"> ADDIN EN.CITE &lt;EndNote&gt;&lt;Cite&gt;&lt;Author&gt;Pinkerton&lt;/Author&gt;&lt;Year&gt;2001&lt;/Year&gt;&lt;RecNum&gt;25&lt;/RecNum&gt;&lt;DisplayText&gt;(4)&lt;/DisplayText&gt;&lt;record&gt;&lt;rec-number&gt;25&lt;/rec-number&gt;&lt;foreign-keys&gt;&lt;key app="EN" db-id="rxw0ard092apvse2rzlvtfdxvxef2zd25vz5" timestamp="1612755819"&gt;25&lt;/key&gt;&lt;/foreign-keys&gt;&lt;ref-type name="Journal Article"&gt;17&lt;/ref-type&gt;&lt;contributors&gt;&lt;authors&gt;&lt;author&gt;Pinkerton, S. D.&lt;/author&gt;&lt;author&gt;Johnson-Masotti, A. P.&lt;/author&gt;&lt;author&gt;Holtgrave, D. R.&lt;/author&gt;&lt;author&gt;Farnham, P. G.&lt;/author&gt;&lt;/authors&gt;&lt;/contributors&gt;&lt;auth-address&gt;Center for AIDS Intervention Research, Department of Psychiatry and Behavioral Medicine, Medical College of Wisconsin, Milwaukee, Wisconsin 53202, USA. pinkrton@mcw.edu&lt;/auth-address&gt;&lt;titles&gt;&lt;title&gt;Using cost-effectiveness league tables to compare interventions to prevent sexual transmission of HIV&lt;/title&gt;&lt;secondary-title&gt;Aids&lt;/secondary-title&gt;&lt;alt-title&gt;AIDS (London, England)&lt;/alt-title&gt;&lt;/titles&gt;&lt;periodical&gt;&lt;full-title&gt;Aids&lt;/full-title&gt;&lt;abbr-1&gt;AIDS (London, England)&lt;/abbr-1&gt;&lt;/periodical&gt;&lt;alt-periodical&gt;&lt;full-title&gt;Aids&lt;/full-title&gt;&lt;abbr-1&gt;AIDS (London, England)&lt;/abbr-1&gt;&lt;/alt-periodical&gt;&lt;pages&gt;917-28&lt;/pages&gt;&lt;volume&gt;15&lt;/volume&gt;&lt;number&gt;7&lt;/number&gt;&lt;edition&gt;2001/06/16&lt;/edition&gt;&lt;keywords&gt;&lt;keyword&gt;Cost-Benefit Analysis&lt;/keyword&gt;&lt;keyword&gt;Female&lt;/keyword&gt;&lt;keyword&gt;HIV Infections/*economics/prevention &amp;amp; control/transmission&lt;/keyword&gt;&lt;keyword&gt;*Hiv-1&lt;/keyword&gt;&lt;keyword&gt;Health Care Costs/*statistics &amp;amp; numerical data&lt;/keyword&gt;&lt;keyword&gt;Humans&lt;/keyword&gt;&lt;keyword&gt;Male&lt;/keyword&gt;&lt;keyword&gt;Sexual Behavior&lt;/keyword&gt;&lt;keyword&gt;United States&lt;/keyword&gt;&lt;/keywords&gt;&lt;dates&gt;&lt;year&gt;2001&lt;/year&gt;&lt;pub-dates&gt;&lt;date&gt;May 04&lt;/date&gt;&lt;/pub-dates&gt;&lt;/dates&gt;&lt;isbn&gt;0269-9370 (Print)&amp;#xD;0269-9370&lt;/isbn&gt;&lt;accession-num&gt;11399964&lt;/accession-num&gt;&lt;urls&gt;&lt;/urls&gt;&lt;remote-database-provider&gt;NLM&lt;/remote-database-provider&gt;&lt;language&gt;eng&lt;/language&gt;&lt;/record&gt;&lt;/Cite&gt;&lt;/EndNote&gt;</w:instrText>
            </w:r>
            <w:r w:rsidR="00FC3DDD" w:rsidRPr="00852C5C">
              <w:rPr>
                <w:rFonts w:cs="Arial"/>
                <w:sz w:val="16"/>
                <w:szCs w:val="18"/>
              </w:rPr>
              <w:fldChar w:fldCharType="separate"/>
            </w:r>
            <w:r w:rsidR="003D55B9">
              <w:rPr>
                <w:rFonts w:cs="Arial"/>
                <w:noProof/>
                <w:sz w:val="16"/>
                <w:szCs w:val="18"/>
              </w:rPr>
              <w:t>(4)</w:t>
            </w:r>
            <w:r w:rsidR="00FC3DDD" w:rsidRPr="00852C5C">
              <w:rPr>
                <w:rFonts w:cs="Arial"/>
                <w:sz w:val="16"/>
                <w:szCs w:val="18"/>
              </w:rPr>
              <w:fldChar w:fldCharType="end"/>
            </w:r>
          </w:p>
        </w:tc>
        <w:tc>
          <w:tcPr>
            <w:tcW w:w="406" w:type="pct"/>
            <w:tcBorders>
              <w:top w:val="single" w:sz="4" w:space="0" w:color="auto"/>
              <w:left w:val="single" w:sz="4" w:space="0" w:color="auto"/>
              <w:bottom w:val="single" w:sz="4" w:space="0" w:color="auto"/>
              <w:right w:val="single" w:sz="4" w:space="0" w:color="auto"/>
            </w:tcBorders>
            <w:vAlign w:val="center"/>
            <w:hideMark/>
          </w:tcPr>
          <w:p w14:paraId="04C621EE" w14:textId="77777777" w:rsidR="008F475D" w:rsidRPr="00852C5C" w:rsidRDefault="008F475D" w:rsidP="008F475D">
            <w:pPr>
              <w:jc w:val="center"/>
              <w:rPr>
                <w:rFonts w:cs="Arial"/>
                <w:sz w:val="16"/>
                <w:szCs w:val="18"/>
              </w:rPr>
            </w:pPr>
            <w:r w:rsidRPr="00852C5C">
              <w:rPr>
                <w:rFonts w:cs="Arial"/>
                <w:sz w:val="16"/>
                <w:szCs w:val="18"/>
              </w:rPr>
              <w:t>2001</w:t>
            </w:r>
          </w:p>
        </w:tc>
        <w:tc>
          <w:tcPr>
            <w:tcW w:w="629" w:type="pct"/>
            <w:tcBorders>
              <w:top w:val="single" w:sz="4" w:space="0" w:color="auto"/>
              <w:left w:val="single" w:sz="4" w:space="0" w:color="auto"/>
              <w:bottom w:val="single" w:sz="4" w:space="0" w:color="auto"/>
              <w:right w:val="single" w:sz="4" w:space="0" w:color="auto"/>
            </w:tcBorders>
            <w:vAlign w:val="center"/>
            <w:hideMark/>
          </w:tcPr>
          <w:p w14:paraId="40106C2C" w14:textId="77777777" w:rsidR="008F475D" w:rsidRPr="00852C5C" w:rsidRDefault="008F475D" w:rsidP="008F475D">
            <w:pPr>
              <w:jc w:val="center"/>
              <w:rPr>
                <w:rFonts w:cs="Arial"/>
                <w:sz w:val="16"/>
                <w:szCs w:val="18"/>
              </w:rPr>
            </w:pPr>
            <w:r w:rsidRPr="00852C5C">
              <w:rPr>
                <w:rFonts w:cs="Arial"/>
                <w:sz w:val="16"/>
                <w:szCs w:val="18"/>
              </w:rPr>
              <w:t>United States of America</w:t>
            </w:r>
          </w:p>
        </w:tc>
        <w:tc>
          <w:tcPr>
            <w:tcW w:w="721" w:type="pct"/>
            <w:tcBorders>
              <w:top w:val="single" w:sz="4" w:space="0" w:color="auto"/>
              <w:left w:val="single" w:sz="4" w:space="0" w:color="auto"/>
              <w:bottom w:val="single" w:sz="4" w:space="0" w:color="auto"/>
              <w:right w:val="single" w:sz="4" w:space="0" w:color="auto"/>
            </w:tcBorders>
            <w:vAlign w:val="center"/>
            <w:hideMark/>
          </w:tcPr>
          <w:p w14:paraId="51129D1D" w14:textId="77777777" w:rsidR="008F475D" w:rsidRPr="00852C5C" w:rsidRDefault="008F475D" w:rsidP="008F475D">
            <w:pPr>
              <w:jc w:val="center"/>
              <w:rPr>
                <w:rFonts w:cs="Arial"/>
                <w:sz w:val="16"/>
                <w:szCs w:val="18"/>
              </w:rPr>
            </w:pPr>
            <w:r w:rsidRPr="00852C5C">
              <w:rPr>
                <w:rFonts w:cs="Arial"/>
                <w:sz w:val="16"/>
                <w:szCs w:val="18"/>
              </w:rPr>
              <w:t>Reduction of sexual transmission of HIV</w:t>
            </w:r>
          </w:p>
        </w:tc>
        <w:tc>
          <w:tcPr>
            <w:tcW w:w="2316" w:type="pct"/>
            <w:tcBorders>
              <w:top w:val="single" w:sz="4" w:space="0" w:color="auto"/>
              <w:left w:val="single" w:sz="4" w:space="0" w:color="auto"/>
              <w:bottom w:val="single" w:sz="4" w:space="0" w:color="auto"/>
              <w:right w:val="single" w:sz="4" w:space="0" w:color="auto"/>
            </w:tcBorders>
            <w:vAlign w:val="center"/>
            <w:hideMark/>
          </w:tcPr>
          <w:p w14:paraId="5222462A" w14:textId="77777777" w:rsidR="008F475D" w:rsidRPr="00852C5C" w:rsidRDefault="008F475D" w:rsidP="008F475D">
            <w:pPr>
              <w:rPr>
                <w:rFonts w:cs="Arial"/>
                <w:sz w:val="16"/>
                <w:szCs w:val="18"/>
              </w:rPr>
            </w:pPr>
            <w:r w:rsidRPr="00852C5C">
              <w:rPr>
                <w:rFonts w:cs="Arial"/>
                <w:sz w:val="16"/>
                <w:szCs w:val="18"/>
              </w:rPr>
              <w:t>Presents 15 studies, including multiples interventions (29 in total), using as outcome “infection averted”.</w:t>
            </w:r>
          </w:p>
        </w:tc>
      </w:tr>
      <w:tr w:rsidR="00852C5C" w:rsidRPr="00852C5C" w14:paraId="5E295B3F" w14:textId="77777777" w:rsidTr="008F475D">
        <w:tc>
          <w:tcPr>
            <w:tcW w:w="928" w:type="pct"/>
            <w:tcBorders>
              <w:top w:val="single" w:sz="4" w:space="0" w:color="auto"/>
              <w:left w:val="single" w:sz="4" w:space="0" w:color="auto"/>
              <w:bottom w:val="single" w:sz="4" w:space="0" w:color="auto"/>
              <w:right w:val="single" w:sz="4" w:space="0" w:color="auto"/>
            </w:tcBorders>
            <w:vAlign w:val="center"/>
            <w:hideMark/>
          </w:tcPr>
          <w:p w14:paraId="4CC69B81" w14:textId="70A281C0" w:rsidR="008F475D" w:rsidRPr="00852C5C" w:rsidRDefault="008F475D" w:rsidP="00FC3DDD">
            <w:pPr>
              <w:rPr>
                <w:rFonts w:cs="Arial"/>
                <w:sz w:val="16"/>
                <w:szCs w:val="18"/>
              </w:rPr>
            </w:pPr>
            <w:proofErr w:type="spellStart"/>
            <w:r w:rsidRPr="00852C5C">
              <w:rPr>
                <w:rFonts w:cs="Arial"/>
                <w:sz w:val="16"/>
                <w:szCs w:val="18"/>
              </w:rPr>
              <w:t>Hutubessy</w:t>
            </w:r>
            <w:proofErr w:type="spellEnd"/>
            <w:r w:rsidRPr="00852C5C">
              <w:rPr>
                <w:rFonts w:cs="Arial"/>
                <w:sz w:val="16"/>
                <w:szCs w:val="18"/>
              </w:rPr>
              <w:t xml:space="preserve"> et al</w:t>
            </w:r>
            <w:r w:rsidRPr="00852C5C">
              <w:rPr>
                <w:rFonts w:cs="Arial"/>
                <w:sz w:val="16"/>
                <w:szCs w:val="18"/>
              </w:rPr>
              <w:br/>
            </w:r>
            <w:r w:rsidR="00FC3DDD" w:rsidRPr="00852C5C">
              <w:rPr>
                <w:rFonts w:cs="Arial"/>
                <w:sz w:val="16"/>
                <w:szCs w:val="18"/>
              </w:rPr>
              <w:fldChar w:fldCharType="begin">
                <w:fldData xml:space="preserve">PEVuZE5vdGU+PENpdGU+PEF1dGhvcj5IdXR1YmVzc3k8L0F1dGhvcj48WWVhcj4yMDA1PC9ZZWFy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</w:fldData>
              </w:fldChar>
            </w:r>
            <w:r w:rsidR="003D55B9">
              <w:rPr>
                <w:rFonts w:cs="Arial"/>
                <w:sz w:val="16"/>
                <w:szCs w:val="18"/>
              </w:rPr>
              <w:instrText xml:space="preserve"> ADDIN EN.CITE </w:instrText>
            </w:r>
            <w:r w:rsidR="003D55B9">
              <w:rPr>
                <w:rFonts w:cs="Arial"/>
                <w:sz w:val="16"/>
                <w:szCs w:val="18"/>
              </w:rPr>
              <w:fldChar w:fldCharType="begin">
                <w:fldData xml:space="preserve">PEVuZE5vdGU+PENpdGU+PEF1dGhvcj5IdXR1YmVzc3k8L0F1dGhvcj48WWVhcj4yMDA1PC9ZZWFy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</w:fldData>
              </w:fldChar>
            </w:r>
            <w:r w:rsidR="003D55B9">
              <w:rPr>
                <w:rFonts w:cs="Arial"/>
                <w:sz w:val="16"/>
                <w:szCs w:val="18"/>
              </w:rPr>
              <w:instrText xml:space="preserve"> ADDIN EN.CITE.DATA </w:instrText>
            </w:r>
            <w:r w:rsidR="003D55B9">
              <w:rPr>
                <w:rFonts w:cs="Arial"/>
                <w:sz w:val="16"/>
                <w:szCs w:val="18"/>
              </w:rPr>
            </w:r>
            <w:r w:rsidR="003D55B9">
              <w:rPr>
                <w:rFonts w:cs="Arial"/>
                <w:sz w:val="16"/>
                <w:szCs w:val="18"/>
              </w:rPr>
              <w:fldChar w:fldCharType="end"/>
            </w:r>
            <w:r w:rsidR="00FC3DDD" w:rsidRPr="00852C5C">
              <w:rPr>
                <w:rFonts w:cs="Arial"/>
                <w:sz w:val="16"/>
                <w:szCs w:val="18"/>
              </w:rPr>
            </w:r>
            <w:r w:rsidR="00FC3DDD" w:rsidRPr="00852C5C">
              <w:rPr>
                <w:rFonts w:cs="Arial"/>
                <w:sz w:val="16"/>
                <w:szCs w:val="18"/>
              </w:rPr>
              <w:fldChar w:fldCharType="separate"/>
            </w:r>
            <w:r w:rsidR="003D55B9">
              <w:rPr>
                <w:rFonts w:cs="Arial"/>
                <w:noProof/>
                <w:sz w:val="16"/>
                <w:szCs w:val="18"/>
              </w:rPr>
              <w:t>(5)</w:t>
            </w:r>
            <w:r w:rsidR="00FC3DDD" w:rsidRPr="00852C5C">
              <w:rPr>
                <w:rFonts w:cs="Arial"/>
                <w:sz w:val="16"/>
                <w:szCs w:val="18"/>
              </w:rPr>
              <w:fldChar w:fldCharType="end"/>
            </w:r>
          </w:p>
        </w:tc>
        <w:tc>
          <w:tcPr>
            <w:tcW w:w="406" w:type="pct"/>
            <w:tcBorders>
              <w:top w:val="single" w:sz="4" w:space="0" w:color="auto"/>
              <w:left w:val="single" w:sz="4" w:space="0" w:color="auto"/>
              <w:bottom w:val="single" w:sz="4" w:space="0" w:color="auto"/>
              <w:right w:val="single" w:sz="4" w:space="0" w:color="auto"/>
            </w:tcBorders>
            <w:vAlign w:val="center"/>
            <w:hideMark/>
          </w:tcPr>
          <w:p w14:paraId="7A4881AC" w14:textId="77777777" w:rsidR="008F475D" w:rsidRPr="00852C5C" w:rsidRDefault="008F475D" w:rsidP="008F475D">
            <w:pPr>
              <w:jc w:val="center"/>
              <w:rPr>
                <w:rFonts w:cs="Arial"/>
                <w:sz w:val="16"/>
                <w:szCs w:val="18"/>
              </w:rPr>
            </w:pPr>
            <w:r w:rsidRPr="00852C5C">
              <w:rPr>
                <w:rFonts w:cs="Arial"/>
                <w:sz w:val="16"/>
                <w:szCs w:val="18"/>
              </w:rPr>
              <w:t>2005</w:t>
            </w:r>
          </w:p>
        </w:tc>
        <w:tc>
          <w:tcPr>
            <w:tcW w:w="629" w:type="pct"/>
            <w:tcBorders>
              <w:top w:val="single" w:sz="4" w:space="0" w:color="auto"/>
              <w:left w:val="single" w:sz="4" w:space="0" w:color="auto"/>
              <w:bottom w:val="single" w:sz="4" w:space="0" w:color="auto"/>
              <w:right w:val="single" w:sz="4" w:space="0" w:color="auto"/>
            </w:tcBorders>
            <w:vAlign w:val="center"/>
            <w:hideMark/>
          </w:tcPr>
          <w:p w14:paraId="4AA38D35" w14:textId="77777777" w:rsidR="008F475D" w:rsidRPr="00852C5C" w:rsidRDefault="008F475D" w:rsidP="008F475D">
            <w:pPr>
              <w:jc w:val="center"/>
              <w:rPr>
                <w:rFonts w:cs="Arial"/>
                <w:sz w:val="16"/>
                <w:szCs w:val="18"/>
              </w:rPr>
            </w:pPr>
            <w:r w:rsidRPr="00852C5C">
              <w:rPr>
                <w:rFonts w:cs="Arial"/>
                <w:sz w:val="16"/>
                <w:szCs w:val="18"/>
              </w:rPr>
              <w:t>Netherlands</w:t>
            </w:r>
          </w:p>
        </w:tc>
        <w:tc>
          <w:tcPr>
            <w:tcW w:w="721" w:type="pct"/>
            <w:tcBorders>
              <w:top w:val="single" w:sz="4" w:space="0" w:color="auto"/>
              <w:left w:val="single" w:sz="4" w:space="0" w:color="auto"/>
              <w:bottom w:val="single" w:sz="4" w:space="0" w:color="auto"/>
              <w:right w:val="single" w:sz="4" w:space="0" w:color="auto"/>
            </w:tcBorders>
            <w:vAlign w:val="center"/>
            <w:hideMark/>
          </w:tcPr>
          <w:p w14:paraId="7F6D0F7A" w14:textId="77777777" w:rsidR="008F475D" w:rsidRPr="00852C5C" w:rsidRDefault="008F475D" w:rsidP="008F475D">
            <w:pPr>
              <w:jc w:val="center"/>
              <w:rPr>
                <w:rFonts w:cs="Arial"/>
                <w:sz w:val="16"/>
                <w:szCs w:val="18"/>
              </w:rPr>
            </w:pPr>
            <w:r w:rsidRPr="00852C5C">
              <w:rPr>
                <w:rFonts w:cs="Arial"/>
                <w:sz w:val="16"/>
                <w:szCs w:val="18"/>
              </w:rPr>
              <w:t>Diabetes type 2</w:t>
            </w:r>
          </w:p>
        </w:tc>
        <w:tc>
          <w:tcPr>
            <w:tcW w:w="2316" w:type="pct"/>
            <w:tcBorders>
              <w:top w:val="single" w:sz="4" w:space="0" w:color="auto"/>
              <w:left w:val="single" w:sz="4" w:space="0" w:color="auto"/>
              <w:bottom w:val="single" w:sz="4" w:space="0" w:color="auto"/>
              <w:right w:val="single" w:sz="4" w:space="0" w:color="auto"/>
            </w:tcBorders>
            <w:vAlign w:val="center"/>
            <w:hideMark/>
          </w:tcPr>
          <w:p w14:paraId="15F7CABC" w14:textId="77777777" w:rsidR="008F475D" w:rsidRPr="00852C5C" w:rsidRDefault="008F475D" w:rsidP="008F475D">
            <w:pPr>
              <w:rPr>
                <w:rFonts w:cs="Arial"/>
                <w:sz w:val="16"/>
                <w:szCs w:val="18"/>
              </w:rPr>
            </w:pPr>
            <w:r w:rsidRPr="00852C5C">
              <w:rPr>
                <w:rFonts w:cs="Arial"/>
                <w:i/>
                <w:sz w:val="16"/>
                <w:szCs w:val="18"/>
              </w:rPr>
              <w:t>Stochastic</w:t>
            </w:r>
            <w:r w:rsidRPr="00852C5C">
              <w:rPr>
                <w:rFonts w:cs="Arial"/>
                <w:sz w:val="16"/>
                <w:szCs w:val="18"/>
              </w:rPr>
              <w:t xml:space="preserve"> league table application using cost-effectiveness results of medical guidelines for patients in primary and secondary care.</w:t>
            </w:r>
          </w:p>
        </w:tc>
      </w:tr>
      <w:tr w:rsidR="00852C5C" w:rsidRPr="00852C5C" w14:paraId="5204D94D" w14:textId="77777777" w:rsidTr="008F475D">
        <w:tc>
          <w:tcPr>
            <w:tcW w:w="928" w:type="pct"/>
            <w:tcBorders>
              <w:top w:val="single" w:sz="4" w:space="0" w:color="auto"/>
              <w:left w:val="single" w:sz="4" w:space="0" w:color="auto"/>
              <w:bottom w:val="single" w:sz="4" w:space="0" w:color="auto"/>
              <w:right w:val="single" w:sz="4" w:space="0" w:color="auto"/>
            </w:tcBorders>
            <w:vAlign w:val="center"/>
            <w:hideMark/>
          </w:tcPr>
          <w:p w14:paraId="739E6EA1" w14:textId="7A65C62E" w:rsidR="008F475D" w:rsidRPr="00852C5C" w:rsidRDefault="008F475D" w:rsidP="00FC3DDD">
            <w:pPr>
              <w:rPr>
                <w:rFonts w:cs="Arial"/>
                <w:sz w:val="16"/>
                <w:szCs w:val="18"/>
              </w:rPr>
            </w:pPr>
            <w:r w:rsidRPr="00852C5C">
              <w:rPr>
                <w:rFonts w:cs="Arial"/>
                <w:sz w:val="16"/>
                <w:szCs w:val="18"/>
              </w:rPr>
              <w:t>Mortimer &amp; Segal</w:t>
            </w:r>
            <w:r w:rsidRPr="00852C5C">
              <w:rPr>
                <w:rFonts w:cs="Arial"/>
                <w:sz w:val="16"/>
                <w:szCs w:val="18"/>
              </w:rPr>
              <w:br/>
            </w:r>
            <w:r w:rsidR="00FC3DDD" w:rsidRPr="00852C5C">
              <w:rPr>
                <w:rFonts w:cs="Arial"/>
                <w:sz w:val="16"/>
                <w:szCs w:val="18"/>
                <w:lang w:val="en-AU"/>
              </w:rPr>
              <w:fldChar w:fldCharType="begin">
                <w:fldData xml:space="preserve">PEVuZE5vdGU+PENpdGU+PEF1dGhvcj5Nb3J0aW1lcjwvQXV0aG9yPjxZZWFyPjIwMDU8L1llYXI+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==
</w:fldData>
              </w:fldChar>
            </w:r>
            <w:r w:rsidR="003D55B9">
              <w:rPr>
                <w:rFonts w:cs="Arial"/>
                <w:sz w:val="16"/>
                <w:szCs w:val="18"/>
                <w:lang w:val="en-AU"/>
              </w:rPr>
              <w:instrText xml:space="preserve"> ADDIN EN.CITE </w:instrText>
            </w:r>
            <w:r w:rsidR="003D55B9">
              <w:rPr>
                <w:rFonts w:cs="Arial"/>
                <w:sz w:val="16"/>
                <w:szCs w:val="18"/>
                <w:lang w:val="en-AU"/>
              </w:rPr>
              <w:fldChar w:fldCharType="begin">
                <w:fldData xml:space="preserve">PEVuZE5vdGU+PENpdGU+PEF1dGhvcj5Nb3J0aW1lcjwvQXV0aG9yPjxZZWFyPjIwMDU8L1llYXI+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==
</w:fldData>
              </w:fldChar>
            </w:r>
            <w:r w:rsidR="003D55B9">
              <w:rPr>
                <w:rFonts w:cs="Arial"/>
                <w:sz w:val="16"/>
                <w:szCs w:val="18"/>
                <w:lang w:val="en-AU"/>
              </w:rPr>
              <w:instrText xml:space="preserve"> ADDIN EN.CITE.DATA </w:instrText>
            </w:r>
            <w:r w:rsidR="003D55B9">
              <w:rPr>
                <w:rFonts w:cs="Arial"/>
                <w:sz w:val="16"/>
                <w:szCs w:val="18"/>
                <w:lang w:val="en-AU"/>
              </w:rPr>
            </w:r>
            <w:r w:rsidR="003D55B9">
              <w:rPr>
                <w:rFonts w:cs="Arial"/>
                <w:sz w:val="16"/>
                <w:szCs w:val="18"/>
                <w:lang w:val="en-AU"/>
              </w:rPr>
              <w:fldChar w:fldCharType="end"/>
            </w:r>
            <w:r w:rsidR="00FC3DDD" w:rsidRPr="00852C5C">
              <w:rPr>
                <w:rFonts w:cs="Arial"/>
                <w:sz w:val="16"/>
                <w:szCs w:val="18"/>
                <w:lang w:val="en-AU"/>
              </w:rPr>
            </w:r>
            <w:r w:rsidR="00FC3DDD" w:rsidRPr="00852C5C">
              <w:rPr>
                <w:rFonts w:cs="Arial"/>
                <w:sz w:val="16"/>
                <w:szCs w:val="18"/>
                <w:lang w:val="en-AU"/>
              </w:rPr>
              <w:fldChar w:fldCharType="separate"/>
            </w:r>
            <w:r w:rsidR="003D55B9">
              <w:rPr>
                <w:rFonts w:cs="Arial"/>
                <w:noProof/>
                <w:sz w:val="16"/>
                <w:szCs w:val="18"/>
                <w:lang w:val="en-AU"/>
              </w:rPr>
              <w:t>(6)</w:t>
            </w:r>
            <w:r w:rsidR="00FC3DDD" w:rsidRPr="00852C5C">
              <w:rPr>
                <w:rFonts w:cs="Arial"/>
                <w:sz w:val="16"/>
                <w:szCs w:val="18"/>
                <w:lang w:val="en-AU"/>
              </w:rPr>
              <w:fldChar w:fldCharType="end"/>
            </w:r>
          </w:p>
        </w:tc>
        <w:tc>
          <w:tcPr>
            <w:tcW w:w="406" w:type="pct"/>
            <w:tcBorders>
              <w:top w:val="single" w:sz="4" w:space="0" w:color="auto"/>
              <w:left w:val="single" w:sz="4" w:space="0" w:color="auto"/>
              <w:bottom w:val="single" w:sz="4" w:space="0" w:color="auto"/>
              <w:right w:val="single" w:sz="4" w:space="0" w:color="auto"/>
            </w:tcBorders>
            <w:vAlign w:val="center"/>
            <w:hideMark/>
          </w:tcPr>
          <w:p w14:paraId="2007022A" w14:textId="77777777" w:rsidR="008F475D" w:rsidRPr="00852C5C" w:rsidRDefault="008F475D" w:rsidP="008F475D">
            <w:pPr>
              <w:jc w:val="center"/>
              <w:rPr>
                <w:rFonts w:cs="Arial"/>
                <w:sz w:val="16"/>
                <w:szCs w:val="18"/>
              </w:rPr>
            </w:pPr>
            <w:r w:rsidRPr="00852C5C">
              <w:rPr>
                <w:rFonts w:cs="Arial"/>
                <w:sz w:val="16"/>
                <w:szCs w:val="18"/>
              </w:rPr>
              <w:t>2005</w:t>
            </w:r>
          </w:p>
        </w:tc>
        <w:tc>
          <w:tcPr>
            <w:tcW w:w="629" w:type="pct"/>
            <w:tcBorders>
              <w:top w:val="single" w:sz="4" w:space="0" w:color="auto"/>
              <w:left w:val="single" w:sz="4" w:space="0" w:color="auto"/>
              <w:bottom w:val="single" w:sz="4" w:space="0" w:color="auto"/>
              <w:right w:val="single" w:sz="4" w:space="0" w:color="auto"/>
            </w:tcBorders>
            <w:vAlign w:val="center"/>
            <w:hideMark/>
          </w:tcPr>
          <w:p w14:paraId="47EAB97C" w14:textId="77777777" w:rsidR="008F475D" w:rsidRPr="00852C5C" w:rsidRDefault="008F475D" w:rsidP="008F475D">
            <w:pPr>
              <w:jc w:val="center"/>
              <w:rPr>
                <w:rFonts w:cs="Arial"/>
                <w:sz w:val="16"/>
                <w:szCs w:val="18"/>
              </w:rPr>
            </w:pPr>
            <w:r w:rsidRPr="00852C5C">
              <w:rPr>
                <w:rFonts w:cs="Arial"/>
                <w:sz w:val="16"/>
                <w:szCs w:val="18"/>
              </w:rPr>
              <w:t>Australia</w:t>
            </w:r>
          </w:p>
        </w:tc>
        <w:tc>
          <w:tcPr>
            <w:tcW w:w="721" w:type="pct"/>
            <w:tcBorders>
              <w:top w:val="single" w:sz="4" w:space="0" w:color="auto"/>
              <w:left w:val="single" w:sz="4" w:space="0" w:color="auto"/>
              <w:bottom w:val="single" w:sz="4" w:space="0" w:color="auto"/>
              <w:right w:val="single" w:sz="4" w:space="0" w:color="auto"/>
            </w:tcBorders>
            <w:vAlign w:val="center"/>
            <w:hideMark/>
          </w:tcPr>
          <w:p w14:paraId="12DA94AE" w14:textId="77777777" w:rsidR="008F475D" w:rsidRPr="00852C5C" w:rsidRDefault="008F475D" w:rsidP="008F475D">
            <w:pPr>
              <w:jc w:val="center"/>
              <w:rPr>
                <w:rFonts w:cs="Arial"/>
                <w:sz w:val="16"/>
                <w:szCs w:val="18"/>
              </w:rPr>
            </w:pPr>
            <w:r w:rsidRPr="00852C5C">
              <w:rPr>
                <w:rFonts w:cs="Arial"/>
                <w:sz w:val="16"/>
                <w:szCs w:val="18"/>
              </w:rPr>
              <w:t>Prevention or treatment of problem drinking and alcohol dependence</w:t>
            </w:r>
          </w:p>
        </w:tc>
        <w:tc>
          <w:tcPr>
            <w:tcW w:w="2316" w:type="pct"/>
            <w:tcBorders>
              <w:top w:val="single" w:sz="4" w:space="0" w:color="auto"/>
              <w:left w:val="single" w:sz="4" w:space="0" w:color="auto"/>
              <w:bottom w:val="single" w:sz="4" w:space="0" w:color="auto"/>
              <w:right w:val="single" w:sz="4" w:space="0" w:color="auto"/>
            </w:tcBorders>
            <w:vAlign w:val="center"/>
            <w:hideMark/>
          </w:tcPr>
          <w:p w14:paraId="66868763" w14:textId="77777777" w:rsidR="008F475D" w:rsidRPr="00852C5C" w:rsidRDefault="008F475D" w:rsidP="008F475D">
            <w:pPr>
              <w:rPr>
                <w:rFonts w:cs="Arial"/>
                <w:sz w:val="16"/>
                <w:szCs w:val="18"/>
              </w:rPr>
            </w:pPr>
            <w:r w:rsidRPr="00852C5C">
              <w:rPr>
                <w:rFonts w:cs="Arial"/>
                <w:sz w:val="16"/>
                <w:szCs w:val="18"/>
              </w:rPr>
              <w:t>A league table with 16 interventions (competing and complementary), using QALY as an outcome, detailed comparator and target population.</w:t>
            </w:r>
          </w:p>
        </w:tc>
      </w:tr>
      <w:tr w:rsidR="00852C5C" w:rsidRPr="00852C5C" w14:paraId="575A9D7C" w14:textId="77777777" w:rsidTr="008F475D">
        <w:tc>
          <w:tcPr>
            <w:tcW w:w="928" w:type="pct"/>
            <w:tcBorders>
              <w:top w:val="single" w:sz="4" w:space="0" w:color="auto"/>
              <w:left w:val="single" w:sz="4" w:space="0" w:color="auto"/>
              <w:bottom w:val="single" w:sz="4" w:space="0" w:color="auto"/>
              <w:right w:val="single" w:sz="4" w:space="0" w:color="auto"/>
            </w:tcBorders>
            <w:vAlign w:val="center"/>
            <w:hideMark/>
          </w:tcPr>
          <w:p w14:paraId="1F112DE0" w14:textId="703BDE7E" w:rsidR="008F475D" w:rsidRPr="00852C5C" w:rsidRDefault="008F475D" w:rsidP="00FC3DDD">
            <w:pPr>
              <w:rPr>
                <w:rFonts w:cs="Arial"/>
                <w:sz w:val="16"/>
                <w:szCs w:val="18"/>
              </w:rPr>
            </w:pPr>
            <w:r w:rsidRPr="00852C5C">
              <w:rPr>
                <w:rFonts w:cs="Arial"/>
                <w:sz w:val="16"/>
                <w:szCs w:val="18"/>
              </w:rPr>
              <w:t>Greenberg et al</w:t>
            </w:r>
            <w:r w:rsidRPr="00852C5C">
              <w:rPr>
                <w:rFonts w:cs="Arial"/>
                <w:sz w:val="16"/>
                <w:szCs w:val="18"/>
              </w:rPr>
              <w:br/>
            </w:r>
            <w:r w:rsidR="00FC3DDD" w:rsidRPr="00852C5C">
              <w:rPr>
                <w:rFonts w:cs="Arial"/>
                <w:sz w:val="16"/>
                <w:szCs w:val="18"/>
              </w:rPr>
              <w:fldChar w:fldCharType="begin"/>
            </w:r>
            <w:r w:rsidR="003D55B9">
              <w:rPr>
                <w:rFonts w:cs="Arial"/>
                <w:sz w:val="16"/>
                <w:szCs w:val="18"/>
              </w:rPr>
              <w:instrText xml:space="preserve"> ADDIN EN.CITE &lt;EndNote&gt;&lt;Cite&gt;&lt;Author&gt;Greenberg&lt;/Author&gt;&lt;Year&gt;2010&lt;/Year&gt;&lt;RecNum&gt;28&lt;/RecNum&gt;&lt;DisplayText&gt;(7)&lt;/DisplayText&gt;&lt;record&gt;&lt;rec-number&gt;28&lt;/rec-number&gt;&lt;foreign-keys&gt;&lt;key app="EN" db-id="rxw0ard092apvse2rzlvtfdxvxef2zd25vz5" timestamp="1612755819"&gt;28&lt;/key&gt;&lt;/foreign-keys&gt;&lt;ref-type name="Journal Article"&gt;17&lt;/ref-type&gt;&lt;contributors&gt;&lt;authors&gt;&lt;author&gt;Greenberg, D.&lt;/author&gt;&lt;author&gt;Earle, C.&lt;/author&gt;&lt;author&gt;Fang, C. H.&lt;/author&gt;&lt;author&gt;Eldar-Lissai, A.&lt;/author&gt;&lt;author&gt;Neumann, P. J.&lt;/author&gt;&lt;/authors&gt;&lt;/contributors&gt;&lt;auth-address&gt;Evaluation of Value and Risk in Health, Institute for Clinical Research and Health Policy Studies, Tufts Medical Center, Boston, MA 02111, USA.&lt;/auth-address&gt;&lt;titles&gt;&lt;title&gt;When is cancer care cost-effective? A systematic overview of cost-utility analyses in oncology&lt;/title&gt;&lt;secondary-title&gt;J Natl Cancer Inst&lt;/secondary-title&gt;&lt;alt-title&gt;Journal of the National Cancer Institute&lt;/alt-title&gt;&lt;/titles&gt;&lt;periodical&gt;&lt;full-title&gt;J Natl Cancer Inst&lt;/full-title&gt;&lt;abbr-1&gt;Journal of the National Cancer Institute&lt;/abbr-1&gt;&lt;/periodical&gt;&lt;alt-periodical&gt;&lt;full-title&gt;J Natl Cancer Inst&lt;/full-title&gt;&lt;abbr-1&gt;Journal of the National Cancer Institute&lt;/abbr-1&gt;&lt;/alt-periodical&gt;&lt;pages&gt;82-8&lt;/pages&gt;&lt;volume&gt;102&lt;/volume&gt;&lt;number&gt;2&lt;/number&gt;&lt;edition&gt;2010/01/09&lt;/edition&gt;&lt;keywords&gt;&lt;keyword&gt;Analysis of Variance&lt;/keyword&gt;&lt;keyword&gt;Clinical Trials as Topic/economics&lt;/keyword&gt;&lt;keyword&gt;Cost-Benefit Analysis&lt;/keyword&gt;&lt;keyword&gt;*Health Care Costs&lt;/keyword&gt;&lt;keyword&gt;Humans&lt;/keyword&gt;&lt;keyword&gt;Medline&lt;/keyword&gt;&lt;keyword&gt;Neoplasms/*economics/*therapy&lt;/keyword&gt;&lt;keyword&gt;United States&lt;/keyword&gt;&lt;/keywords&gt;&lt;dates&gt;&lt;year&gt;2010&lt;/year&gt;&lt;pub-dates&gt;&lt;date&gt;Jan 20&lt;/date&gt;&lt;/pub-dates&gt;&lt;/dates&gt;&lt;isbn&gt;0027-8874&lt;/isbn&gt;&lt;accession-num&gt;20056956&lt;/accession-num&gt;&lt;urls&gt;&lt;/urls&gt;&lt;custom2&gt;PMC2808348&lt;/custom2&gt;&lt;electronic-resource-num&gt;10.1093/jnci/djp472&lt;/electronic-resource-num&gt;&lt;remote-database-provider&gt;NLM&lt;/remote-database-provider&gt;&lt;language&gt;eng&lt;/language&gt;&lt;/record&gt;&lt;/Cite&gt;&lt;/EndNote&gt;</w:instrText>
            </w:r>
            <w:r w:rsidR="00FC3DDD" w:rsidRPr="00852C5C">
              <w:rPr>
                <w:rFonts w:cs="Arial"/>
                <w:sz w:val="16"/>
                <w:szCs w:val="18"/>
              </w:rPr>
              <w:fldChar w:fldCharType="separate"/>
            </w:r>
            <w:r w:rsidR="003D55B9">
              <w:rPr>
                <w:rFonts w:cs="Arial"/>
                <w:noProof/>
                <w:sz w:val="16"/>
                <w:szCs w:val="18"/>
              </w:rPr>
              <w:t>(7)</w:t>
            </w:r>
            <w:r w:rsidR="00FC3DDD" w:rsidRPr="00852C5C">
              <w:rPr>
                <w:rFonts w:cs="Arial"/>
                <w:sz w:val="16"/>
                <w:szCs w:val="18"/>
              </w:rPr>
              <w:fldChar w:fldCharType="end"/>
            </w:r>
          </w:p>
        </w:tc>
        <w:tc>
          <w:tcPr>
            <w:tcW w:w="406" w:type="pct"/>
            <w:tcBorders>
              <w:top w:val="single" w:sz="4" w:space="0" w:color="auto"/>
              <w:left w:val="single" w:sz="4" w:space="0" w:color="auto"/>
              <w:bottom w:val="single" w:sz="4" w:space="0" w:color="auto"/>
              <w:right w:val="single" w:sz="4" w:space="0" w:color="auto"/>
            </w:tcBorders>
            <w:vAlign w:val="center"/>
            <w:hideMark/>
          </w:tcPr>
          <w:p w14:paraId="7119A81D" w14:textId="77777777" w:rsidR="008F475D" w:rsidRPr="00852C5C" w:rsidRDefault="008F475D" w:rsidP="008F475D">
            <w:pPr>
              <w:jc w:val="center"/>
              <w:rPr>
                <w:rFonts w:cs="Arial"/>
                <w:sz w:val="16"/>
                <w:szCs w:val="18"/>
              </w:rPr>
            </w:pPr>
            <w:r w:rsidRPr="00852C5C">
              <w:rPr>
                <w:rFonts w:cs="Arial"/>
                <w:sz w:val="16"/>
                <w:szCs w:val="18"/>
              </w:rPr>
              <w:t>2010</w:t>
            </w:r>
          </w:p>
        </w:tc>
        <w:tc>
          <w:tcPr>
            <w:tcW w:w="629" w:type="pct"/>
            <w:tcBorders>
              <w:top w:val="single" w:sz="4" w:space="0" w:color="auto"/>
              <w:left w:val="single" w:sz="4" w:space="0" w:color="auto"/>
              <w:bottom w:val="single" w:sz="4" w:space="0" w:color="auto"/>
              <w:right w:val="single" w:sz="4" w:space="0" w:color="auto"/>
            </w:tcBorders>
            <w:vAlign w:val="center"/>
            <w:hideMark/>
          </w:tcPr>
          <w:p w14:paraId="00535427" w14:textId="77777777" w:rsidR="008F475D" w:rsidRPr="00852C5C" w:rsidRDefault="008F475D" w:rsidP="008F475D">
            <w:pPr>
              <w:jc w:val="center"/>
              <w:rPr>
                <w:rFonts w:cs="Arial"/>
                <w:sz w:val="16"/>
                <w:szCs w:val="18"/>
              </w:rPr>
            </w:pPr>
            <w:r w:rsidRPr="00852C5C">
              <w:rPr>
                <w:rFonts w:cs="Arial"/>
                <w:sz w:val="16"/>
                <w:szCs w:val="18"/>
              </w:rPr>
              <w:t>50% of the studies from USA</w:t>
            </w:r>
          </w:p>
        </w:tc>
        <w:tc>
          <w:tcPr>
            <w:tcW w:w="721" w:type="pct"/>
            <w:tcBorders>
              <w:top w:val="single" w:sz="4" w:space="0" w:color="auto"/>
              <w:left w:val="single" w:sz="4" w:space="0" w:color="auto"/>
              <w:bottom w:val="single" w:sz="4" w:space="0" w:color="auto"/>
              <w:right w:val="single" w:sz="4" w:space="0" w:color="auto"/>
            </w:tcBorders>
            <w:vAlign w:val="center"/>
            <w:hideMark/>
          </w:tcPr>
          <w:p w14:paraId="17D01A23" w14:textId="3FADE5E6" w:rsidR="008F475D" w:rsidRPr="00852C5C" w:rsidRDefault="008F475D" w:rsidP="008F475D">
            <w:pPr>
              <w:jc w:val="center"/>
              <w:rPr>
                <w:rFonts w:cs="Arial"/>
                <w:sz w:val="16"/>
                <w:szCs w:val="18"/>
              </w:rPr>
            </w:pPr>
            <w:r w:rsidRPr="00852C5C">
              <w:rPr>
                <w:rFonts w:cs="Arial"/>
                <w:sz w:val="16"/>
                <w:szCs w:val="18"/>
              </w:rPr>
              <w:t>Cancer (Breast, colorectal and H</w:t>
            </w:r>
            <w:r w:rsidR="00D65A6A" w:rsidRPr="00852C5C">
              <w:rPr>
                <w:rFonts w:cs="Arial"/>
                <w:sz w:val="16"/>
                <w:szCs w:val="18"/>
              </w:rPr>
              <w:t>a</w:t>
            </w:r>
            <w:r w:rsidRPr="00852C5C">
              <w:rPr>
                <w:rFonts w:cs="Arial"/>
                <w:sz w:val="16"/>
                <w:szCs w:val="18"/>
              </w:rPr>
              <w:t>ematologic)</w:t>
            </w:r>
          </w:p>
        </w:tc>
        <w:tc>
          <w:tcPr>
            <w:tcW w:w="2316" w:type="pct"/>
            <w:tcBorders>
              <w:top w:val="single" w:sz="4" w:space="0" w:color="auto"/>
              <w:left w:val="single" w:sz="4" w:space="0" w:color="auto"/>
              <w:bottom w:val="single" w:sz="4" w:space="0" w:color="auto"/>
              <w:right w:val="single" w:sz="4" w:space="0" w:color="auto"/>
            </w:tcBorders>
            <w:vAlign w:val="center"/>
            <w:hideMark/>
          </w:tcPr>
          <w:p w14:paraId="25876C83" w14:textId="5F7649E6" w:rsidR="008F475D" w:rsidRPr="00852C5C" w:rsidRDefault="008F475D" w:rsidP="008F475D">
            <w:pPr>
              <w:rPr>
                <w:rFonts w:cs="Arial"/>
                <w:sz w:val="16"/>
                <w:szCs w:val="18"/>
              </w:rPr>
            </w:pPr>
            <w:r w:rsidRPr="00852C5C">
              <w:rPr>
                <w:rFonts w:cs="Arial"/>
                <w:sz w:val="16"/>
                <w:szCs w:val="18"/>
              </w:rPr>
              <w:t>Extraction of 242 studies (up to 2007) from Tufts Registry, summarises results by disease (presenting intervention description, comparator, target population, ICER and study rating</w:t>
            </w:r>
            <w:r w:rsidR="00D65A6A" w:rsidRPr="00852C5C">
              <w:rPr>
                <w:rFonts w:cs="Arial"/>
                <w:sz w:val="16"/>
                <w:szCs w:val="18"/>
              </w:rPr>
              <w:t>)</w:t>
            </w:r>
            <w:r w:rsidRPr="00852C5C">
              <w:rPr>
                <w:rFonts w:cs="Arial"/>
                <w:sz w:val="16"/>
                <w:szCs w:val="18"/>
              </w:rPr>
              <w:t>.</w:t>
            </w:r>
          </w:p>
        </w:tc>
      </w:tr>
      <w:tr w:rsidR="00852C5C" w:rsidRPr="00852C5C" w14:paraId="10CDB8D9" w14:textId="77777777" w:rsidTr="008F475D">
        <w:tc>
          <w:tcPr>
            <w:tcW w:w="928" w:type="pct"/>
            <w:tcBorders>
              <w:top w:val="single" w:sz="4" w:space="0" w:color="auto"/>
              <w:left w:val="single" w:sz="4" w:space="0" w:color="auto"/>
              <w:bottom w:val="single" w:sz="4" w:space="0" w:color="auto"/>
              <w:right w:val="single" w:sz="4" w:space="0" w:color="auto"/>
            </w:tcBorders>
            <w:vAlign w:val="center"/>
            <w:hideMark/>
          </w:tcPr>
          <w:p w14:paraId="4A587D6E" w14:textId="33893AEA" w:rsidR="008F475D" w:rsidRPr="00852C5C" w:rsidRDefault="008F475D" w:rsidP="00FC3DDD">
            <w:pPr>
              <w:rPr>
                <w:rFonts w:cs="Arial"/>
                <w:sz w:val="16"/>
                <w:szCs w:val="18"/>
              </w:rPr>
            </w:pPr>
            <w:proofErr w:type="spellStart"/>
            <w:r w:rsidRPr="00852C5C">
              <w:rPr>
                <w:rFonts w:cs="Arial"/>
                <w:sz w:val="16"/>
                <w:szCs w:val="18"/>
              </w:rPr>
              <w:t>Baeten</w:t>
            </w:r>
            <w:proofErr w:type="spellEnd"/>
            <w:r w:rsidRPr="00852C5C">
              <w:rPr>
                <w:rFonts w:cs="Arial"/>
                <w:sz w:val="16"/>
                <w:szCs w:val="18"/>
              </w:rPr>
              <w:t xml:space="preserve"> et al</w:t>
            </w:r>
            <w:r w:rsidRPr="00852C5C">
              <w:rPr>
                <w:rFonts w:cs="Arial"/>
                <w:sz w:val="16"/>
                <w:szCs w:val="18"/>
              </w:rPr>
              <w:br/>
            </w:r>
            <w:r w:rsidR="00FC3DDD" w:rsidRPr="00852C5C">
              <w:rPr>
                <w:rFonts w:cs="Arial"/>
                <w:sz w:val="16"/>
                <w:szCs w:val="18"/>
                <w:lang w:val="en-AU"/>
              </w:rPr>
              <w:fldChar w:fldCharType="begin">
                <w:fldData xml:space="preserve">PEVuZE5vdGU+PENpdGU+PEF1dGhvcj5CYWV0ZW48L0F1dGhvcj48WWVhcj4yMDEwPC9ZZWFyPjxS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=
</w:fldData>
              </w:fldChar>
            </w:r>
            <w:r w:rsidR="003D55B9">
              <w:rPr>
                <w:rFonts w:cs="Arial"/>
                <w:sz w:val="16"/>
                <w:szCs w:val="18"/>
                <w:lang w:val="en-AU"/>
              </w:rPr>
              <w:instrText xml:space="preserve"> ADDIN EN.CITE </w:instrText>
            </w:r>
            <w:r w:rsidR="003D55B9">
              <w:rPr>
                <w:rFonts w:cs="Arial"/>
                <w:sz w:val="16"/>
                <w:szCs w:val="18"/>
                <w:lang w:val="en-AU"/>
              </w:rPr>
              <w:fldChar w:fldCharType="begin">
                <w:fldData xml:space="preserve">PEVuZE5vdGU+PENpdGU+PEF1dGhvcj5CYWV0ZW48L0F1dGhvcj48WWVhcj4yMDEwPC9ZZWFyPjxS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=
</w:fldData>
              </w:fldChar>
            </w:r>
            <w:r w:rsidR="003D55B9">
              <w:rPr>
                <w:rFonts w:cs="Arial"/>
                <w:sz w:val="16"/>
                <w:szCs w:val="18"/>
                <w:lang w:val="en-AU"/>
              </w:rPr>
              <w:instrText xml:space="preserve"> ADDIN EN.CITE.DATA </w:instrText>
            </w:r>
            <w:r w:rsidR="003D55B9">
              <w:rPr>
                <w:rFonts w:cs="Arial"/>
                <w:sz w:val="16"/>
                <w:szCs w:val="18"/>
                <w:lang w:val="en-AU"/>
              </w:rPr>
            </w:r>
            <w:r w:rsidR="003D55B9">
              <w:rPr>
                <w:rFonts w:cs="Arial"/>
                <w:sz w:val="16"/>
                <w:szCs w:val="18"/>
                <w:lang w:val="en-AU"/>
              </w:rPr>
              <w:fldChar w:fldCharType="end"/>
            </w:r>
            <w:r w:rsidR="00FC3DDD" w:rsidRPr="00852C5C">
              <w:rPr>
                <w:rFonts w:cs="Arial"/>
                <w:sz w:val="16"/>
                <w:szCs w:val="18"/>
                <w:lang w:val="en-AU"/>
              </w:rPr>
            </w:r>
            <w:r w:rsidR="00FC3DDD" w:rsidRPr="00852C5C">
              <w:rPr>
                <w:rFonts w:cs="Arial"/>
                <w:sz w:val="16"/>
                <w:szCs w:val="18"/>
                <w:lang w:val="en-AU"/>
              </w:rPr>
              <w:fldChar w:fldCharType="separate"/>
            </w:r>
            <w:r w:rsidR="003D55B9">
              <w:rPr>
                <w:rFonts w:cs="Arial"/>
                <w:noProof/>
                <w:sz w:val="16"/>
                <w:szCs w:val="18"/>
                <w:lang w:val="en-AU"/>
              </w:rPr>
              <w:t>(8)</w:t>
            </w:r>
            <w:r w:rsidR="00FC3DDD" w:rsidRPr="00852C5C">
              <w:rPr>
                <w:rFonts w:cs="Arial"/>
                <w:sz w:val="16"/>
                <w:szCs w:val="18"/>
                <w:lang w:val="en-AU"/>
              </w:rPr>
              <w:fldChar w:fldCharType="end"/>
            </w:r>
          </w:p>
        </w:tc>
        <w:tc>
          <w:tcPr>
            <w:tcW w:w="406" w:type="pct"/>
            <w:tcBorders>
              <w:top w:val="single" w:sz="4" w:space="0" w:color="auto"/>
              <w:left w:val="single" w:sz="4" w:space="0" w:color="auto"/>
              <w:bottom w:val="single" w:sz="4" w:space="0" w:color="auto"/>
              <w:right w:val="single" w:sz="4" w:space="0" w:color="auto"/>
            </w:tcBorders>
            <w:vAlign w:val="center"/>
            <w:hideMark/>
          </w:tcPr>
          <w:p w14:paraId="3FD0C791" w14:textId="77777777" w:rsidR="008F475D" w:rsidRPr="00852C5C" w:rsidRDefault="008F475D" w:rsidP="008F475D">
            <w:pPr>
              <w:jc w:val="center"/>
              <w:rPr>
                <w:rFonts w:cs="Arial"/>
                <w:sz w:val="16"/>
                <w:szCs w:val="18"/>
              </w:rPr>
            </w:pPr>
            <w:r w:rsidRPr="00852C5C">
              <w:rPr>
                <w:rFonts w:cs="Arial"/>
                <w:sz w:val="16"/>
                <w:szCs w:val="18"/>
              </w:rPr>
              <w:t>2010</w:t>
            </w:r>
          </w:p>
        </w:tc>
        <w:tc>
          <w:tcPr>
            <w:tcW w:w="629" w:type="pct"/>
            <w:tcBorders>
              <w:top w:val="single" w:sz="4" w:space="0" w:color="auto"/>
              <w:left w:val="single" w:sz="4" w:space="0" w:color="auto"/>
              <w:bottom w:val="single" w:sz="4" w:space="0" w:color="auto"/>
              <w:right w:val="single" w:sz="4" w:space="0" w:color="auto"/>
            </w:tcBorders>
            <w:vAlign w:val="center"/>
            <w:hideMark/>
          </w:tcPr>
          <w:p w14:paraId="4784E103" w14:textId="77777777" w:rsidR="008F475D" w:rsidRPr="00852C5C" w:rsidRDefault="008F475D" w:rsidP="008F475D">
            <w:pPr>
              <w:autoSpaceDE w:val="0"/>
              <w:autoSpaceDN w:val="0"/>
              <w:adjustRightInd w:val="0"/>
              <w:jc w:val="center"/>
              <w:rPr>
                <w:rFonts w:cs="Arial"/>
                <w:sz w:val="16"/>
                <w:szCs w:val="18"/>
              </w:rPr>
            </w:pPr>
            <w:r w:rsidRPr="00852C5C">
              <w:rPr>
                <w:rFonts w:cs="Arial"/>
                <w:sz w:val="16"/>
                <w:szCs w:val="18"/>
              </w:rPr>
              <w:t>European</w:t>
            </w:r>
          </w:p>
          <w:p w14:paraId="4FB91A0A" w14:textId="77777777" w:rsidR="008F475D" w:rsidRPr="00852C5C" w:rsidRDefault="008F475D" w:rsidP="008F475D">
            <w:pPr>
              <w:jc w:val="center"/>
              <w:rPr>
                <w:rFonts w:cs="Arial"/>
                <w:sz w:val="16"/>
                <w:szCs w:val="18"/>
                <w:lang w:val="en-US"/>
              </w:rPr>
            </w:pPr>
            <w:r w:rsidRPr="00852C5C">
              <w:rPr>
                <w:rFonts w:cs="Arial"/>
                <w:sz w:val="16"/>
                <w:szCs w:val="18"/>
              </w:rPr>
              <w:t>region (data from the Global Burden of Disease Studies)</w:t>
            </w:r>
          </w:p>
        </w:tc>
        <w:tc>
          <w:tcPr>
            <w:tcW w:w="721" w:type="pct"/>
            <w:tcBorders>
              <w:top w:val="single" w:sz="4" w:space="0" w:color="auto"/>
              <w:left w:val="single" w:sz="4" w:space="0" w:color="auto"/>
              <w:bottom w:val="single" w:sz="4" w:space="0" w:color="auto"/>
              <w:right w:val="single" w:sz="4" w:space="0" w:color="auto"/>
            </w:tcBorders>
            <w:vAlign w:val="center"/>
            <w:hideMark/>
          </w:tcPr>
          <w:p w14:paraId="0B28C555" w14:textId="77777777" w:rsidR="008F475D" w:rsidRPr="00852C5C" w:rsidRDefault="008F475D" w:rsidP="008F475D">
            <w:pPr>
              <w:jc w:val="center"/>
              <w:rPr>
                <w:rFonts w:cs="Arial"/>
                <w:sz w:val="16"/>
                <w:szCs w:val="18"/>
              </w:rPr>
            </w:pPr>
            <w:r w:rsidRPr="00852C5C">
              <w:rPr>
                <w:rFonts w:cs="Arial"/>
                <w:sz w:val="16"/>
                <w:szCs w:val="18"/>
              </w:rPr>
              <w:t>Breast cancer</w:t>
            </w:r>
          </w:p>
        </w:tc>
        <w:tc>
          <w:tcPr>
            <w:tcW w:w="2316" w:type="pct"/>
            <w:tcBorders>
              <w:top w:val="single" w:sz="4" w:space="0" w:color="auto"/>
              <w:left w:val="single" w:sz="4" w:space="0" w:color="auto"/>
              <w:bottom w:val="single" w:sz="4" w:space="0" w:color="auto"/>
              <w:right w:val="single" w:sz="4" w:space="0" w:color="auto"/>
            </w:tcBorders>
            <w:vAlign w:val="center"/>
            <w:hideMark/>
          </w:tcPr>
          <w:p w14:paraId="3626FD3C" w14:textId="77777777" w:rsidR="008F475D" w:rsidRPr="00852C5C" w:rsidRDefault="008F475D" w:rsidP="008F475D">
            <w:pPr>
              <w:rPr>
                <w:rFonts w:cs="Arial"/>
                <w:sz w:val="16"/>
                <w:szCs w:val="18"/>
              </w:rPr>
            </w:pPr>
            <w:r w:rsidRPr="00852C5C">
              <w:rPr>
                <w:rFonts w:cs="Arial"/>
                <w:i/>
                <w:sz w:val="16"/>
                <w:szCs w:val="18"/>
              </w:rPr>
              <w:t xml:space="preserve">Composite </w:t>
            </w:r>
            <w:r w:rsidRPr="00852C5C">
              <w:rPr>
                <w:rFonts w:cs="Arial"/>
                <w:sz w:val="16"/>
                <w:szCs w:val="18"/>
              </w:rPr>
              <w:t>league tables using the “usual approach”, target intervention, equity weighting and multicriteria decision analysis; by cancer stage and age group according to the standardized WHO CHOICE method.</w:t>
            </w:r>
          </w:p>
        </w:tc>
      </w:tr>
      <w:tr w:rsidR="00852C5C" w:rsidRPr="00852C5C" w14:paraId="74B317F8" w14:textId="77777777" w:rsidTr="008F475D">
        <w:tc>
          <w:tcPr>
            <w:tcW w:w="928" w:type="pct"/>
            <w:tcBorders>
              <w:top w:val="single" w:sz="4" w:space="0" w:color="auto"/>
              <w:left w:val="single" w:sz="4" w:space="0" w:color="auto"/>
              <w:bottom w:val="single" w:sz="4" w:space="0" w:color="auto"/>
              <w:right w:val="single" w:sz="4" w:space="0" w:color="auto"/>
            </w:tcBorders>
            <w:vAlign w:val="center"/>
            <w:hideMark/>
          </w:tcPr>
          <w:p w14:paraId="3F390C56" w14:textId="047D3B74" w:rsidR="008F475D" w:rsidRPr="00852C5C" w:rsidRDefault="008F475D" w:rsidP="00FC3DDD">
            <w:pPr>
              <w:rPr>
                <w:rFonts w:cs="Arial"/>
                <w:sz w:val="16"/>
                <w:szCs w:val="18"/>
              </w:rPr>
            </w:pPr>
            <w:proofErr w:type="spellStart"/>
            <w:r w:rsidRPr="00852C5C">
              <w:rPr>
                <w:rFonts w:cs="Arial"/>
                <w:sz w:val="16"/>
                <w:szCs w:val="18"/>
              </w:rPr>
              <w:t>Menzin</w:t>
            </w:r>
            <w:proofErr w:type="spellEnd"/>
            <w:r w:rsidRPr="00852C5C">
              <w:rPr>
                <w:rFonts w:cs="Arial"/>
                <w:sz w:val="16"/>
                <w:szCs w:val="18"/>
              </w:rPr>
              <w:t xml:space="preserve"> et al</w:t>
            </w:r>
            <w:r w:rsidRPr="00852C5C">
              <w:rPr>
                <w:rFonts w:cs="Arial"/>
                <w:sz w:val="16"/>
                <w:szCs w:val="18"/>
              </w:rPr>
              <w:br/>
            </w:r>
            <w:r w:rsidR="00FC3DDD" w:rsidRPr="00852C5C">
              <w:rPr>
                <w:rFonts w:cs="Arial"/>
                <w:sz w:val="16"/>
                <w:szCs w:val="18"/>
              </w:rPr>
              <w:fldChar w:fldCharType="begin"/>
            </w:r>
            <w:r w:rsidR="003D55B9">
              <w:rPr>
                <w:rFonts w:cs="Arial"/>
                <w:sz w:val="16"/>
                <w:szCs w:val="18"/>
              </w:rPr>
              <w:instrText xml:space="preserve"> ADDIN EN.CITE &lt;EndNote&gt;&lt;Cite&gt;&lt;Author&gt;Menzin&lt;/Author&gt;&lt;Year&gt;2011&lt;/Year&gt;&lt;RecNum&gt;30&lt;/RecNum&gt;&lt;DisplayText&gt;(9)&lt;/DisplayText&gt;&lt;record&gt;&lt;rec-number&gt;30&lt;/rec-number&gt;&lt;foreign-keys&gt;&lt;key app="EN" db-id="rxw0ard092apvse2rzlvtfdxvxef2zd25vz5" timestamp="1612755819"&gt;30&lt;/key&gt;&lt;/foreign-keys&gt;&lt;ref-type name="Journal Article"&gt;17&lt;/ref-type&gt;&lt;contributors&gt;&lt;authors&gt;&lt;author&gt;Menzin, J.&lt;/author&gt;&lt;author&gt;Lines, L. M.&lt;/author&gt;&lt;author&gt;Weiner, D. E.&lt;/author&gt;&lt;author&gt;Neumann, P. J.&lt;/author&gt;&lt;author&gt;Nichols, C.&lt;/author&gt;&lt;author&gt;Rodriguez, L.&lt;/author&gt;&lt;author&gt;Agodoa, I.&lt;/author&gt;&lt;author&gt;Mayne, T.&lt;/author&gt;&lt;/authors&gt;&lt;/contributors&gt;&lt;auth-address&gt;Boston Health Economics, Inc., Waltham, MA, USA. jmenzin@bhei.com&lt;/auth-address&gt;&lt;titles&gt;&lt;title&gt;A review of the costs and cost effectiveness of interventions in chronic kidney disease: implications for policy&lt;/title&gt;&lt;secondary-title&gt;Pharmacoeconomics&lt;/secondary-title&gt;&lt;alt-title&gt;PharmacoEconomics&lt;/alt-title&gt;&lt;/titles&gt;&lt;periodical&gt;&lt;full-title&gt;Pharmacoeconomics&lt;/full-title&gt;&lt;abbr-1&gt;PharmacoEconomics&lt;/abbr-1&gt;&lt;/periodical&gt;&lt;alt-periodical&gt;&lt;full-title&gt;Pharmacoeconomics&lt;/full-title&gt;&lt;abbr-1&gt;PharmacoEconomics&lt;/abbr-1&gt;&lt;/alt-periodical&gt;&lt;pages&gt;839-61&lt;/pages&gt;&lt;volume&gt;29&lt;/volume&gt;&lt;number&gt;10&lt;/number&gt;&lt;edition&gt;2011/06/16&lt;/edition&gt;&lt;keywords&gt;&lt;keyword&gt;Chronic Disease&lt;/keyword&gt;&lt;keyword&gt;Costs and Cost Analysis&lt;/keyword&gt;&lt;keyword&gt;*Health Policy&lt;/keyword&gt;&lt;keyword&gt;Humans&lt;/keyword&gt;&lt;keyword&gt;*Kidney Diseases/economics/therapy&lt;/keyword&gt;&lt;keyword&gt;Quality-Adjusted Life Years&lt;/keyword&gt;&lt;keyword&gt;Severity of Illness Index&lt;/keyword&gt;&lt;keyword&gt;State Medicine&lt;/keyword&gt;&lt;keyword&gt;United Kingdom&lt;/keyword&gt;&lt;/keywords&gt;&lt;dates&gt;&lt;year&gt;2011&lt;/year&gt;&lt;pub-dates&gt;&lt;date&gt;Oct&lt;/date&gt;&lt;/pub-dates&gt;&lt;/dates&gt;&lt;isbn&gt;1170-7690&lt;/isbn&gt;&lt;accession-num&gt;21671688&lt;/accession-num&gt;&lt;urls&gt;&lt;/urls&gt;&lt;electronic-resource-num&gt;10.2165/11588390-000000000-00000&lt;/electronic-resource-num&gt;&lt;remote-database-provider&gt;NLM&lt;/remote-database-provider&gt;&lt;language&gt;eng&lt;/language&gt;&lt;/record&gt;&lt;/Cite&gt;&lt;/EndNote&gt;</w:instrText>
            </w:r>
            <w:r w:rsidR="00FC3DDD" w:rsidRPr="00852C5C">
              <w:rPr>
                <w:rFonts w:cs="Arial"/>
                <w:sz w:val="16"/>
                <w:szCs w:val="18"/>
              </w:rPr>
              <w:fldChar w:fldCharType="separate"/>
            </w:r>
            <w:r w:rsidR="003D55B9">
              <w:rPr>
                <w:rFonts w:cs="Arial"/>
                <w:noProof/>
                <w:sz w:val="16"/>
                <w:szCs w:val="18"/>
              </w:rPr>
              <w:t>(9)</w:t>
            </w:r>
            <w:r w:rsidR="00FC3DDD" w:rsidRPr="00852C5C">
              <w:rPr>
                <w:rFonts w:cs="Arial"/>
                <w:sz w:val="16"/>
                <w:szCs w:val="18"/>
              </w:rPr>
              <w:fldChar w:fldCharType="end"/>
            </w:r>
          </w:p>
        </w:tc>
        <w:tc>
          <w:tcPr>
            <w:tcW w:w="406" w:type="pct"/>
            <w:tcBorders>
              <w:top w:val="single" w:sz="4" w:space="0" w:color="auto"/>
              <w:left w:val="single" w:sz="4" w:space="0" w:color="auto"/>
              <w:bottom w:val="single" w:sz="4" w:space="0" w:color="auto"/>
              <w:right w:val="single" w:sz="4" w:space="0" w:color="auto"/>
            </w:tcBorders>
            <w:vAlign w:val="center"/>
            <w:hideMark/>
          </w:tcPr>
          <w:p w14:paraId="0A9B1F3B" w14:textId="77777777" w:rsidR="008F475D" w:rsidRPr="00852C5C" w:rsidRDefault="008F475D" w:rsidP="008F475D">
            <w:pPr>
              <w:jc w:val="center"/>
              <w:rPr>
                <w:rFonts w:cs="Arial"/>
                <w:sz w:val="16"/>
                <w:szCs w:val="18"/>
              </w:rPr>
            </w:pPr>
            <w:r w:rsidRPr="00852C5C">
              <w:rPr>
                <w:rFonts w:cs="Arial"/>
                <w:sz w:val="16"/>
                <w:szCs w:val="18"/>
              </w:rPr>
              <w:t>2011</w:t>
            </w:r>
          </w:p>
        </w:tc>
        <w:tc>
          <w:tcPr>
            <w:tcW w:w="629" w:type="pct"/>
            <w:tcBorders>
              <w:top w:val="single" w:sz="4" w:space="0" w:color="auto"/>
              <w:left w:val="single" w:sz="4" w:space="0" w:color="auto"/>
              <w:bottom w:val="single" w:sz="4" w:space="0" w:color="auto"/>
              <w:right w:val="single" w:sz="4" w:space="0" w:color="auto"/>
            </w:tcBorders>
            <w:vAlign w:val="center"/>
            <w:hideMark/>
          </w:tcPr>
          <w:p w14:paraId="7C09C1B1" w14:textId="77777777" w:rsidR="008F475D" w:rsidRPr="00852C5C" w:rsidRDefault="008F475D" w:rsidP="008F475D">
            <w:pPr>
              <w:jc w:val="center"/>
              <w:rPr>
                <w:rFonts w:cs="Arial"/>
                <w:sz w:val="16"/>
                <w:szCs w:val="18"/>
              </w:rPr>
            </w:pPr>
            <w:r w:rsidRPr="00852C5C">
              <w:rPr>
                <w:rFonts w:cs="Arial"/>
                <w:sz w:val="16"/>
                <w:szCs w:val="18"/>
              </w:rPr>
              <w:t>-</w:t>
            </w:r>
          </w:p>
        </w:tc>
        <w:tc>
          <w:tcPr>
            <w:tcW w:w="721" w:type="pct"/>
            <w:tcBorders>
              <w:top w:val="single" w:sz="4" w:space="0" w:color="auto"/>
              <w:left w:val="single" w:sz="4" w:space="0" w:color="auto"/>
              <w:bottom w:val="single" w:sz="4" w:space="0" w:color="auto"/>
              <w:right w:val="single" w:sz="4" w:space="0" w:color="auto"/>
            </w:tcBorders>
            <w:vAlign w:val="center"/>
            <w:hideMark/>
          </w:tcPr>
          <w:p w14:paraId="1D58AA66" w14:textId="77777777" w:rsidR="008F475D" w:rsidRPr="00852C5C" w:rsidRDefault="008F475D" w:rsidP="008F475D">
            <w:pPr>
              <w:jc w:val="center"/>
              <w:rPr>
                <w:rFonts w:cs="Arial"/>
                <w:sz w:val="16"/>
                <w:szCs w:val="18"/>
              </w:rPr>
            </w:pPr>
            <w:r w:rsidRPr="00852C5C">
              <w:rPr>
                <w:rFonts w:cs="Arial"/>
                <w:sz w:val="16"/>
                <w:szCs w:val="18"/>
              </w:rPr>
              <w:t>Chronic Kidney disease (CKD)</w:t>
            </w:r>
          </w:p>
        </w:tc>
        <w:tc>
          <w:tcPr>
            <w:tcW w:w="2316" w:type="pct"/>
            <w:tcBorders>
              <w:top w:val="single" w:sz="4" w:space="0" w:color="auto"/>
              <w:left w:val="single" w:sz="4" w:space="0" w:color="auto"/>
              <w:bottom w:val="single" w:sz="4" w:space="0" w:color="auto"/>
              <w:right w:val="single" w:sz="4" w:space="0" w:color="auto"/>
            </w:tcBorders>
            <w:vAlign w:val="center"/>
            <w:hideMark/>
          </w:tcPr>
          <w:p w14:paraId="6D8DD1B6" w14:textId="77777777" w:rsidR="008F475D" w:rsidRPr="00852C5C" w:rsidRDefault="008F475D" w:rsidP="008F475D">
            <w:pPr>
              <w:rPr>
                <w:rFonts w:cs="Arial"/>
                <w:sz w:val="16"/>
                <w:szCs w:val="18"/>
              </w:rPr>
            </w:pPr>
            <w:r w:rsidRPr="00852C5C">
              <w:rPr>
                <w:rFonts w:cs="Arial"/>
                <w:sz w:val="16"/>
                <w:szCs w:val="18"/>
              </w:rPr>
              <w:t>Systematic Review of 84 studies published between 1998-2008 (72 cost-utilities and 20 cost-effectiveness ratios) including studies from Tufts Registry and UK NHS Economic Evaluations database.</w:t>
            </w:r>
          </w:p>
        </w:tc>
      </w:tr>
      <w:tr w:rsidR="00852C5C" w:rsidRPr="00852C5C" w14:paraId="2406C3B6" w14:textId="77777777" w:rsidTr="008F475D">
        <w:tc>
          <w:tcPr>
            <w:tcW w:w="928" w:type="pct"/>
            <w:tcBorders>
              <w:top w:val="single" w:sz="4" w:space="0" w:color="auto"/>
              <w:left w:val="single" w:sz="4" w:space="0" w:color="auto"/>
              <w:bottom w:val="single" w:sz="4" w:space="0" w:color="auto"/>
              <w:right w:val="single" w:sz="4" w:space="0" w:color="auto"/>
            </w:tcBorders>
            <w:vAlign w:val="center"/>
            <w:hideMark/>
          </w:tcPr>
          <w:p w14:paraId="15AB71D1" w14:textId="6CF9A3D8" w:rsidR="008F475D" w:rsidRPr="00852C5C" w:rsidRDefault="008F475D" w:rsidP="00FC3DDD">
            <w:pPr>
              <w:rPr>
                <w:rFonts w:cs="Arial"/>
                <w:sz w:val="16"/>
                <w:szCs w:val="18"/>
              </w:rPr>
            </w:pPr>
            <w:r w:rsidRPr="00852C5C">
              <w:rPr>
                <w:rFonts w:cs="Arial"/>
                <w:sz w:val="16"/>
                <w:szCs w:val="18"/>
              </w:rPr>
              <w:t>Dobbs et al</w:t>
            </w:r>
            <w:r w:rsidRPr="00852C5C">
              <w:rPr>
                <w:rFonts w:cs="Arial"/>
                <w:sz w:val="16"/>
                <w:szCs w:val="18"/>
              </w:rPr>
              <w:br/>
            </w:r>
            <w:r w:rsidR="00FC3DDD" w:rsidRPr="00852C5C">
              <w:rPr>
                <w:rFonts w:cs="Arial"/>
                <w:sz w:val="16"/>
                <w:szCs w:val="18"/>
              </w:rPr>
              <w:fldChar w:fldCharType="begin"/>
            </w:r>
            <w:r w:rsidR="003D55B9">
              <w:rPr>
                <w:rFonts w:cs="Arial"/>
                <w:sz w:val="16"/>
                <w:szCs w:val="18"/>
              </w:rPr>
              <w:instrText xml:space="preserve"> ADDIN EN.CITE &lt;EndNote&gt;&lt;Cite&gt;&lt;Author&gt;Dobbs&lt;/Author&gt;&lt;Year&gt;2014&lt;/Year&gt;&lt;RecNum&gt;31&lt;/RecNum&gt;&lt;DisplayText&gt;(10)&lt;/DisplayText&gt;&lt;record&gt;&lt;rec-number&gt;31&lt;/rec-number&gt;&lt;foreign-keys&gt;&lt;key app="EN" db-id="rxw0ard092apvse2rzlvtfdxvxef2zd25vz5" timestamp="1612755819"&gt;31&lt;/key&gt;&lt;/foreign-keys&gt;&lt;ref-type name="Report"&gt;27&lt;/ref-type&gt;&lt;contributors&gt;&lt;authors&gt;&lt;author&gt;Dobbs, R&lt;/author&gt;&lt;author&gt;Sawers, C&lt;/author&gt;&lt;author&gt;Thompson, F&lt;/author&gt;&lt;author&gt;Manyika, J&lt;/author&gt;&lt;author&gt;Woetzel, J&lt;/author&gt;&lt;author&gt;Child, P&lt;/author&gt;&lt;author&gt;McKenna, S&lt;/author&gt;&lt;author&gt;Spatharou, A&lt;/author&gt;&lt;/authors&gt;&lt;tertiary-authors&gt;&lt;author&gt;The McKinsey Global Institute&lt;/author&gt;&lt;/tertiary-authors&gt;&lt;/contributors&gt;&lt;titles&gt;&lt;title&gt;Overcoming obesity: An initial economic analysis&lt;/title&gt;&lt;/titles&gt;&lt;dates&gt;&lt;year&gt;2014&lt;/year&gt;&lt;/dates&gt;&lt;urls&gt;&lt;/urls&gt;&lt;/record&gt;&lt;/Cite&gt;&lt;/EndNote&gt;</w:instrText>
            </w:r>
            <w:r w:rsidR="00FC3DDD" w:rsidRPr="00852C5C">
              <w:rPr>
                <w:rFonts w:cs="Arial"/>
                <w:sz w:val="16"/>
                <w:szCs w:val="18"/>
              </w:rPr>
              <w:fldChar w:fldCharType="separate"/>
            </w:r>
            <w:r w:rsidR="003D55B9">
              <w:rPr>
                <w:rFonts w:cs="Arial"/>
                <w:noProof/>
                <w:sz w:val="16"/>
                <w:szCs w:val="18"/>
              </w:rPr>
              <w:t>(10)</w:t>
            </w:r>
            <w:r w:rsidR="00FC3DDD" w:rsidRPr="00852C5C">
              <w:rPr>
                <w:rFonts w:cs="Arial"/>
                <w:sz w:val="16"/>
                <w:szCs w:val="18"/>
              </w:rPr>
              <w:fldChar w:fldCharType="end"/>
            </w:r>
          </w:p>
        </w:tc>
        <w:tc>
          <w:tcPr>
            <w:tcW w:w="406" w:type="pct"/>
            <w:tcBorders>
              <w:top w:val="single" w:sz="4" w:space="0" w:color="auto"/>
              <w:left w:val="single" w:sz="4" w:space="0" w:color="auto"/>
              <w:bottom w:val="single" w:sz="4" w:space="0" w:color="auto"/>
              <w:right w:val="single" w:sz="4" w:space="0" w:color="auto"/>
            </w:tcBorders>
            <w:vAlign w:val="center"/>
            <w:hideMark/>
          </w:tcPr>
          <w:p w14:paraId="6D3A27FA" w14:textId="77777777" w:rsidR="008F475D" w:rsidRPr="00852C5C" w:rsidRDefault="008F475D" w:rsidP="008F475D">
            <w:pPr>
              <w:jc w:val="center"/>
              <w:rPr>
                <w:rFonts w:cs="Arial"/>
                <w:sz w:val="16"/>
                <w:szCs w:val="18"/>
              </w:rPr>
            </w:pPr>
            <w:r w:rsidRPr="00852C5C">
              <w:rPr>
                <w:rFonts w:cs="Arial"/>
                <w:sz w:val="16"/>
                <w:szCs w:val="18"/>
              </w:rPr>
              <w:t>2014</w:t>
            </w:r>
          </w:p>
        </w:tc>
        <w:tc>
          <w:tcPr>
            <w:tcW w:w="629" w:type="pct"/>
            <w:tcBorders>
              <w:top w:val="single" w:sz="4" w:space="0" w:color="auto"/>
              <w:left w:val="single" w:sz="4" w:space="0" w:color="auto"/>
              <w:bottom w:val="single" w:sz="4" w:space="0" w:color="auto"/>
              <w:right w:val="single" w:sz="4" w:space="0" w:color="auto"/>
            </w:tcBorders>
            <w:vAlign w:val="center"/>
            <w:hideMark/>
          </w:tcPr>
          <w:p w14:paraId="6B1CA5D7" w14:textId="77777777" w:rsidR="008F475D" w:rsidRPr="00852C5C" w:rsidRDefault="008F475D" w:rsidP="008F475D">
            <w:pPr>
              <w:jc w:val="center"/>
              <w:rPr>
                <w:rFonts w:cs="Arial"/>
                <w:sz w:val="16"/>
                <w:szCs w:val="18"/>
              </w:rPr>
            </w:pPr>
            <w:r w:rsidRPr="00852C5C">
              <w:rPr>
                <w:rFonts w:cs="Arial"/>
                <w:sz w:val="16"/>
                <w:szCs w:val="18"/>
              </w:rPr>
              <w:t>-</w:t>
            </w:r>
          </w:p>
        </w:tc>
        <w:tc>
          <w:tcPr>
            <w:tcW w:w="721" w:type="pct"/>
            <w:tcBorders>
              <w:top w:val="single" w:sz="4" w:space="0" w:color="auto"/>
              <w:left w:val="single" w:sz="4" w:space="0" w:color="auto"/>
              <w:bottom w:val="single" w:sz="4" w:space="0" w:color="auto"/>
              <w:right w:val="single" w:sz="4" w:space="0" w:color="auto"/>
            </w:tcBorders>
            <w:vAlign w:val="center"/>
            <w:hideMark/>
          </w:tcPr>
          <w:p w14:paraId="45132B68" w14:textId="77777777" w:rsidR="008F475D" w:rsidRPr="00852C5C" w:rsidRDefault="008F475D" w:rsidP="008F475D">
            <w:pPr>
              <w:jc w:val="center"/>
              <w:rPr>
                <w:rFonts w:cs="Arial"/>
                <w:sz w:val="16"/>
                <w:szCs w:val="18"/>
              </w:rPr>
            </w:pPr>
            <w:r w:rsidRPr="00852C5C">
              <w:rPr>
                <w:rFonts w:cs="Arial"/>
                <w:sz w:val="16"/>
                <w:szCs w:val="18"/>
              </w:rPr>
              <w:t>Obesity</w:t>
            </w:r>
          </w:p>
        </w:tc>
        <w:tc>
          <w:tcPr>
            <w:tcW w:w="2316" w:type="pct"/>
            <w:tcBorders>
              <w:top w:val="single" w:sz="4" w:space="0" w:color="auto"/>
              <w:left w:val="single" w:sz="4" w:space="0" w:color="auto"/>
              <w:bottom w:val="single" w:sz="4" w:space="0" w:color="auto"/>
              <w:right w:val="single" w:sz="4" w:space="0" w:color="auto"/>
            </w:tcBorders>
            <w:vAlign w:val="center"/>
            <w:hideMark/>
          </w:tcPr>
          <w:p w14:paraId="0B7509D4" w14:textId="77777777" w:rsidR="008F475D" w:rsidRPr="00852C5C" w:rsidRDefault="008F475D" w:rsidP="008F475D">
            <w:pPr>
              <w:rPr>
                <w:rFonts w:cs="Arial"/>
                <w:sz w:val="16"/>
                <w:szCs w:val="18"/>
              </w:rPr>
            </w:pPr>
            <w:r w:rsidRPr="00852C5C">
              <w:rPr>
                <w:rFonts w:cs="Arial"/>
                <w:sz w:val="16"/>
                <w:szCs w:val="18"/>
              </w:rPr>
              <w:t>Presents a list of interventions ranked by average cost per DALY (74 interventions grouped in 18 areas).</w:t>
            </w:r>
          </w:p>
        </w:tc>
      </w:tr>
      <w:tr w:rsidR="00852C5C" w:rsidRPr="00852C5C" w14:paraId="6CA7F61C" w14:textId="77777777" w:rsidTr="008F475D">
        <w:tc>
          <w:tcPr>
            <w:tcW w:w="928" w:type="pct"/>
            <w:tcBorders>
              <w:top w:val="single" w:sz="4" w:space="0" w:color="auto"/>
              <w:left w:val="single" w:sz="4" w:space="0" w:color="auto"/>
              <w:bottom w:val="single" w:sz="4" w:space="0" w:color="auto"/>
              <w:right w:val="single" w:sz="4" w:space="0" w:color="auto"/>
            </w:tcBorders>
            <w:vAlign w:val="center"/>
            <w:hideMark/>
          </w:tcPr>
          <w:p w14:paraId="328EF1B6" w14:textId="668BA514" w:rsidR="008F475D" w:rsidRPr="00852C5C" w:rsidRDefault="008F475D" w:rsidP="00FC3DDD">
            <w:pPr>
              <w:rPr>
                <w:rFonts w:cs="Arial"/>
                <w:sz w:val="16"/>
                <w:szCs w:val="18"/>
              </w:rPr>
            </w:pPr>
            <w:r w:rsidRPr="00852C5C">
              <w:rPr>
                <w:rFonts w:cs="Arial"/>
                <w:sz w:val="16"/>
                <w:szCs w:val="18"/>
              </w:rPr>
              <w:t>Nichols et al</w:t>
            </w:r>
            <w:r w:rsidRPr="00852C5C">
              <w:rPr>
                <w:rFonts w:cs="Arial"/>
                <w:sz w:val="16"/>
                <w:szCs w:val="18"/>
              </w:rPr>
              <w:br/>
            </w:r>
            <w:r w:rsidR="00FC3DDD" w:rsidRPr="00852C5C">
              <w:rPr>
                <w:rFonts w:cs="Arial"/>
                <w:sz w:val="16"/>
                <w:szCs w:val="18"/>
                <w:lang w:val="en-AU"/>
              </w:rPr>
              <w:fldChar w:fldCharType="begin">
                <w:fldData xml:space="preserve">PEVuZE5vdGU+PENpdGU+PEF1dGhvcj5OaWNob2xzPC9BdXRob3I+PFllYXI+MjAxNDwvWWVhcj48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</w:fldData>
              </w:fldChar>
            </w:r>
            <w:r w:rsidR="003D55B9">
              <w:rPr>
                <w:rFonts w:cs="Arial"/>
                <w:sz w:val="16"/>
                <w:szCs w:val="18"/>
                <w:lang w:val="en-AU"/>
              </w:rPr>
              <w:instrText xml:space="preserve"> ADDIN EN.CITE </w:instrText>
            </w:r>
            <w:r w:rsidR="003D55B9">
              <w:rPr>
                <w:rFonts w:cs="Arial"/>
                <w:sz w:val="16"/>
                <w:szCs w:val="18"/>
                <w:lang w:val="en-AU"/>
              </w:rPr>
              <w:fldChar w:fldCharType="begin">
                <w:fldData xml:space="preserve">PEVuZE5vdGU+PENpdGU+PEF1dGhvcj5OaWNob2xzPC9BdXRob3I+PFllYXI+MjAxNDwvWWVhcj48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</w:fldData>
              </w:fldChar>
            </w:r>
            <w:r w:rsidR="003D55B9">
              <w:rPr>
                <w:rFonts w:cs="Arial"/>
                <w:sz w:val="16"/>
                <w:szCs w:val="18"/>
                <w:lang w:val="en-AU"/>
              </w:rPr>
              <w:instrText xml:space="preserve"> ADDIN EN.CITE.DATA </w:instrText>
            </w:r>
            <w:r w:rsidR="003D55B9">
              <w:rPr>
                <w:rFonts w:cs="Arial"/>
                <w:sz w:val="16"/>
                <w:szCs w:val="18"/>
                <w:lang w:val="en-AU"/>
              </w:rPr>
            </w:r>
            <w:r w:rsidR="003D55B9">
              <w:rPr>
                <w:rFonts w:cs="Arial"/>
                <w:sz w:val="16"/>
                <w:szCs w:val="18"/>
                <w:lang w:val="en-AU"/>
              </w:rPr>
              <w:fldChar w:fldCharType="end"/>
            </w:r>
            <w:r w:rsidR="00FC3DDD" w:rsidRPr="00852C5C">
              <w:rPr>
                <w:rFonts w:cs="Arial"/>
                <w:sz w:val="16"/>
                <w:szCs w:val="18"/>
                <w:lang w:val="en-AU"/>
              </w:rPr>
            </w:r>
            <w:r w:rsidR="00FC3DDD" w:rsidRPr="00852C5C">
              <w:rPr>
                <w:rFonts w:cs="Arial"/>
                <w:sz w:val="16"/>
                <w:szCs w:val="18"/>
                <w:lang w:val="en-AU"/>
              </w:rPr>
              <w:fldChar w:fldCharType="separate"/>
            </w:r>
            <w:r w:rsidR="003D55B9">
              <w:rPr>
                <w:rFonts w:cs="Arial"/>
                <w:noProof/>
                <w:sz w:val="16"/>
                <w:szCs w:val="18"/>
                <w:lang w:val="en-AU"/>
              </w:rPr>
              <w:t>(11)</w:t>
            </w:r>
            <w:r w:rsidR="00FC3DDD" w:rsidRPr="00852C5C">
              <w:rPr>
                <w:rFonts w:cs="Arial"/>
                <w:sz w:val="16"/>
                <w:szCs w:val="18"/>
                <w:lang w:val="en-AU"/>
              </w:rPr>
              <w:fldChar w:fldCharType="end"/>
            </w:r>
          </w:p>
        </w:tc>
        <w:tc>
          <w:tcPr>
            <w:tcW w:w="406" w:type="pct"/>
            <w:tcBorders>
              <w:top w:val="single" w:sz="4" w:space="0" w:color="auto"/>
              <w:left w:val="single" w:sz="4" w:space="0" w:color="auto"/>
              <w:bottom w:val="single" w:sz="4" w:space="0" w:color="auto"/>
              <w:right w:val="single" w:sz="4" w:space="0" w:color="auto"/>
            </w:tcBorders>
            <w:vAlign w:val="center"/>
            <w:hideMark/>
          </w:tcPr>
          <w:p w14:paraId="30DBAFBB" w14:textId="77777777" w:rsidR="008F475D" w:rsidRPr="00852C5C" w:rsidRDefault="008F475D" w:rsidP="008F475D">
            <w:pPr>
              <w:jc w:val="center"/>
              <w:rPr>
                <w:rFonts w:cs="Arial"/>
                <w:sz w:val="16"/>
                <w:szCs w:val="18"/>
              </w:rPr>
            </w:pPr>
            <w:r w:rsidRPr="00852C5C">
              <w:rPr>
                <w:rFonts w:cs="Arial"/>
                <w:sz w:val="16"/>
                <w:szCs w:val="18"/>
              </w:rPr>
              <w:t>2014</w:t>
            </w:r>
          </w:p>
        </w:tc>
        <w:tc>
          <w:tcPr>
            <w:tcW w:w="629" w:type="pct"/>
            <w:tcBorders>
              <w:top w:val="single" w:sz="4" w:space="0" w:color="auto"/>
              <w:left w:val="single" w:sz="4" w:space="0" w:color="auto"/>
              <w:bottom w:val="single" w:sz="4" w:space="0" w:color="auto"/>
              <w:right w:val="single" w:sz="4" w:space="0" w:color="auto"/>
            </w:tcBorders>
            <w:vAlign w:val="center"/>
            <w:hideMark/>
          </w:tcPr>
          <w:p w14:paraId="76F15FE3" w14:textId="77777777" w:rsidR="008F475D" w:rsidRPr="00852C5C" w:rsidRDefault="008F475D" w:rsidP="008F475D">
            <w:pPr>
              <w:jc w:val="center"/>
              <w:rPr>
                <w:rFonts w:cs="Arial"/>
                <w:sz w:val="16"/>
                <w:szCs w:val="18"/>
              </w:rPr>
            </w:pPr>
            <w:r w:rsidRPr="00852C5C">
              <w:rPr>
                <w:rFonts w:cs="Arial"/>
                <w:sz w:val="16"/>
                <w:szCs w:val="18"/>
              </w:rPr>
              <w:t>Zambia (rural area)</w:t>
            </w:r>
          </w:p>
        </w:tc>
        <w:tc>
          <w:tcPr>
            <w:tcW w:w="721" w:type="pct"/>
            <w:tcBorders>
              <w:top w:val="single" w:sz="4" w:space="0" w:color="auto"/>
              <w:left w:val="single" w:sz="4" w:space="0" w:color="auto"/>
              <w:bottom w:val="single" w:sz="4" w:space="0" w:color="auto"/>
              <w:right w:val="single" w:sz="4" w:space="0" w:color="auto"/>
            </w:tcBorders>
            <w:vAlign w:val="center"/>
            <w:hideMark/>
          </w:tcPr>
          <w:p w14:paraId="24F88832" w14:textId="77777777" w:rsidR="008F475D" w:rsidRPr="00852C5C" w:rsidRDefault="008F475D" w:rsidP="008F475D">
            <w:pPr>
              <w:jc w:val="center"/>
              <w:rPr>
                <w:rFonts w:cs="Arial"/>
                <w:sz w:val="16"/>
                <w:szCs w:val="18"/>
              </w:rPr>
            </w:pPr>
            <w:r w:rsidRPr="00852C5C">
              <w:rPr>
                <w:rFonts w:cs="Arial"/>
                <w:sz w:val="16"/>
                <w:szCs w:val="18"/>
              </w:rPr>
              <w:t>HIV/AIDS</w:t>
            </w:r>
          </w:p>
        </w:tc>
        <w:tc>
          <w:tcPr>
            <w:tcW w:w="2316" w:type="pct"/>
            <w:tcBorders>
              <w:top w:val="single" w:sz="4" w:space="0" w:color="auto"/>
              <w:left w:val="single" w:sz="4" w:space="0" w:color="auto"/>
              <w:bottom w:val="single" w:sz="4" w:space="0" w:color="auto"/>
              <w:right w:val="single" w:sz="4" w:space="0" w:color="auto"/>
            </w:tcBorders>
            <w:vAlign w:val="center"/>
            <w:hideMark/>
          </w:tcPr>
          <w:p w14:paraId="6D8D9C09" w14:textId="77777777" w:rsidR="008F475D" w:rsidRPr="00852C5C" w:rsidRDefault="008F475D" w:rsidP="008F475D">
            <w:pPr>
              <w:rPr>
                <w:rFonts w:cs="Arial"/>
                <w:sz w:val="16"/>
                <w:szCs w:val="18"/>
              </w:rPr>
            </w:pPr>
            <w:r w:rsidRPr="00852C5C">
              <w:rPr>
                <w:rFonts w:cs="Arial"/>
                <w:sz w:val="16"/>
                <w:szCs w:val="18"/>
              </w:rPr>
              <w:t xml:space="preserve">Uses </w:t>
            </w:r>
            <w:r w:rsidRPr="00852C5C">
              <w:rPr>
                <w:rFonts w:cs="Arial"/>
                <w:i/>
                <w:sz w:val="16"/>
                <w:szCs w:val="18"/>
              </w:rPr>
              <w:t>Stochastic</w:t>
            </w:r>
            <w:r w:rsidRPr="00852C5C">
              <w:rPr>
                <w:rFonts w:cs="Arial"/>
                <w:sz w:val="16"/>
                <w:szCs w:val="18"/>
              </w:rPr>
              <w:t xml:space="preserve"> league table approach to compare epidemiological and CE impact of the use of pre-exposure prophylaxis (</w:t>
            </w:r>
            <w:proofErr w:type="spellStart"/>
            <w:r w:rsidRPr="00852C5C">
              <w:rPr>
                <w:rFonts w:cs="Arial"/>
                <w:sz w:val="16"/>
                <w:szCs w:val="18"/>
              </w:rPr>
              <w:t>PrEP</w:t>
            </w:r>
            <w:proofErr w:type="spellEnd"/>
            <w:r w:rsidRPr="00852C5C">
              <w:rPr>
                <w:rFonts w:cs="Arial"/>
                <w:sz w:val="16"/>
                <w:szCs w:val="18"/>
              </w:rPr>
              <w:t>) in different scenarios of treatment initiation (per CD4 cell levels) to predict the optimal intervention per budget level.</w:t>
            </w:r>
          </w:p>
        </w:tc>
      </w:tr>
      <w:tr w:rsidR="00852C5C" w:rsidRPr="00852C5C" w14:paraId="56CB5B03" w14:textId="77777777" w:rsidTr="008F475D">
        <w:tc>
          <w:tcPr>
            <w:tcW w:w="928" w:type="pct"/>
            <w:tcBorders>
              <w:top w:val="single" w:sz="4" w:space="0" w:color="auto"/>
              <w:left w:val="single" w:sz="4" w:space="0" w:color="auto"/>
              <w:bottom w:val="single" w:sz="4" w:space="0" w:color="auto"/>
              <w:right w:val="single" w:sz="4" w:space="0" w:color="auto"/>
            </w:tcBorders>
            <w:vAlign w:val="center"/>
            <w:hideMark/>
          </w:tcPr>
          <w:p w14:paraId="02997F4B" w14:textId="2C09EBD0" w:rsidR="008F475D" w:rsidRPr="00852C5C" w:rsidRDefault="008F475D" w:rsidP="00FC3DDD">
            <w:pPr>
              <w:rPr>
                <w:rFonts w:cs="Arial"/>
                <w:sz w:val="16"/>
                <w:szCs w:val="18"/>
              </w:rPr>
            </w:pPr>
            <w:r w:rsidRPr="00852C5C">
              <w:rPr>
                <w:rFonts w:cs="Arial"/>
                <w:sz w:val="16"/>
                <w:szCs w:val="18"/>
              </w:rPr>
              <w:lastRenderedPageBreak/>
              <w:t>Leigh &amp; Granby</w:t>
            </w:r>
            <w:r w:rsidRPr="00852C5C">
              <w:rPr>
                <w:rFonts w:cs="Arial"/>
                <w:sz w:val="16"/>
                <w:szCs w:val="18"/>
              </w:rPr>
              <w:br/>
            </w:r>
            <w:r w:rsidR="001D3AA7">
              <w:rPr>
                <w:rFonts w:cs="Arial"/>
                <w:sz w:val="16"/>
                <w:szCs w:val="18"/>
              </w:rPr>
              <w:fldChar w:fldCharType="begin"/>
            </w:r>
            <w:r w:rsidR="003D55B9">
              <w:rPr>
                <w:rFonts w:cs="Arial"/>
                <w:sz w:val="16"/>
                <w:szCs w:val="18"/>
              </w:rPr>
              <w:instrText xml:space="preserve"> ADDIN EN.CITE &lt;EndNote&gt;&lt;Cite&gt;&lt;Author&gt;Leigh&lt;/Author&gt;&lt;Year&gt;2016&lt;/Year&gt;&lt;RecNum&gt;33&lt;/RecNum&gt;&lt;DisplayText&gt;(12)&lt;/DisplayText&gt;&lt;record&gt;&lt;rec-number&gt;33&lt;/rec-number&gt;&lt;foreign-keys&gt;&lt;key app="EN" db-id="rxw0ard092apvse2rzlvtfdxvxef2zd25vz5" timestamp="1612755819"&gt;33&lt;/key&gt;&lt;/foreign-keys&gt;&lt;ref-type name="Journal Article"&gt;17&lt;/ref-type&gt;&lt;contributors&gt;&lt;authors&gt;&lt;author&gt;Leigh, S.&lt;/author&gt;&lt;author&gt;Granby, P.&lt;/author&gt;&lt;/authors&gt;&lt;/contributors&gt;&lt;auth-address&gt;Lifecode(R) Solutions, Liverpool, UK; Nexus Clinical Analytics, Euxton, UK.&amp;#xD;Lifecode(R) Solutions, Liverpool, UK; Certus Analytics, Formby, UK. Electronic address: paul@certusanalytics.co.uk.&lt;/auth-address&gt;&lt;titles&gt;&lt;title&gt;A Tale of Two Thresholds: A Framework for Prioritization within the Cancer Drugs Fund&lt;/title&gt;&lt;secondary-title&gt;Value Health&lt;/secondary-title&gt;&lt;/titles&gt;&lt;periodical&gt;&lt;full-title&gt;Value Health&lt;/full-title&gt;&lt;abbr-1&gt;Value in health : the journal of the International Society for Pharmacoeconomics and Outcomes Research&lt;/abbr-1&gt;&lt;/periodical&gt;&lt;pages&gt;567-76&lt;/pages&gt;&lt;volume&gt;19&lt;/volume&gt;&lt;number&gt;5&lt;/number&gt;&lt;edition&gt;2016/08/28&lt;/edition&gt;&lt;keywords&gt;&lt;keyword&gt;Antineoplastic Agents/*economics&lt;/keyword&gt;&lt;keyword&gt;*Cost-Benefit Analysis&lt;/keyword&gt;&lt;keyword&gt;*Decision Making, Organizational&lt;/keyword&gt;&lt;keyword&gt;*Financial Management&lt;/keyword&gt;&lt;keyword&gt;Financing, Personal&lt;/keyword&gt;&lt;keyword&gt;Health Policy&lt;/keyword&gt;&lt;keyword&gt;Humans&lt;/keyword&gt;&lt;keyword&gt;*Medical Assistance&lt;/keyword&gt;&lt;keyword&gt;Quality-Adjusted Life Years&lt;/keyword&gt;&lt;keyword&gt;State Medicine&lt;/keyword&gt;&lt;keyword&gt;United Kingdom&lt;/keyword&gt;&lt;keyword&gt;*Cancer Drugs Fund&lt;/keyword&gt;&lt;keyword&gt;*health economics&lt;/keyword&gt;&lt;keyword&gt;*prioritization&lt;/keyword&gt;&lt;/keywords&gt;&lt;dates&gt;&lt;year&gt;2016&lt;/year&gt;&lt;pub-dates&gt;&lt;date&gt;Jul-Aug&lt;/date&gt;&lt;/pub-dates&gt;&lt;/dates&gt;&lt;isbn&gt;1524-4733 (Electronic)&amp;#xD;1098-3015 (Linking)&lt;/isbn&gt;&lt;accession-num&gt;27565274&lt;/accession-num&gt;&lt;urls&gt;&lt;related-urls&gt;&lt;url&gt;https://www.ncbi.nlm.nih.gov/pubmed/27565274&lt;/url&gt;&lt;/related-urls&gt;&lt;/urls&gt;&lt;electronic-resource-num&gt;10.1016/j.jval.2016.02.016&lt;/electronic-resource-num&gt;&lt;/record&gt;&lt;/Cite&gt;&lt;/EndNote&gt;</w:instrText>
            </w:r>
            <w:r w:rsidR="001D3AA7">
              <w:rPr>
                <w:rFonts w:cs="Arial"/>
                <w:sz w:val="16"/>
                <w:szCs w:val="18"/>
              </w:rPr>
              <w:fldChar w:fldCharType="separate"/>
            </w:r>
            <w:r w:rsidR="003D55B9">
              <w:rPr>
                <w:rFonts w:cs="Arial"/>
                <w:noProof/>
                <w:sz w:val="16"/>
                <w:szCs w:val="18"/>
              </w:rPr>
              <w:t>(12)</w:t>
            </w:r>
            <w:r w:rsidR="001D3AA7">
              <w:rPr>
                <w:rFonts w:cs="Arial"/>
                <w:sz w:val="16"/>
                <w:szCs w:val="18"/>
              </w:rPr>
              <w:fldChar w:fldCharType="end"/>
            </w:r>
          </w:p>
        </w:tc>
        <w:tc>
          <w:tcPr>
            <w:tcW w:w="406" w:type="pct"/>
            <w:tcBorders>
              <w:top w:val="single" w:sz="4" w:space="0" w:color="auto"/>
              <w:left w:val="single" w:sz="4" w:space="0" w:color="auto"/>
              <w:bottom w:val="single" w:sz="4" w:space="0" w:color="auto"/>
              <w:right w:val="single" w:sz="4" w:space="0" w:color="auto"/>
            </w:tcBorders>
            <w:vAlign w:val="center"/>
            <w:hideMark/>
          </w:tcPr>
          <w:p w14:paraId="55B5221B" w14:textId="77777777" w:rsidR="008F475D" w:rsidRPr="00852C5C" w:rsidRDefault="008F475D" w:rsidP="008F475D">
            <w:pPr>
              <w:jc w:val="center"/>
              <w:rPr>
                <w:rFonts w:cs="Arial"/>
                <w:sz w:val="16"/>
                <w:szCs w:val="18"/>
              </w:rPr>
            </w:pPr>
            <w:r w:rsidRPr="00852C5C">
              <w:rPr>
                <w:rFonts w:cs="Arial"/>
                <w:sz w:val="16"/>
                <w:szCs w:val="18"/>
              </w:rPr>
              <w:t>2016</w:t>
            </w:r>
          </w:p>
        </w:tc>
        <w:tc>
          <w:tcPr>
            <w:tcW w:w="629" w:type="pct"/>
            <w:tcBorders>
              <w:top w:val="single" w:sz="4" w:space="0" w:color="auto"/>
              <w:left w:val="single" w:sz="4" w:space="0" w:color="auto"/>
              <w:bottom w:val="single" w:sz="4" w:space="0" w:color="auto"/>
              <w:right w:val="single" w:sz="4" w:space="0" w:color="auto"/>
            </w:tcBorders>
            <w:vAlign w:val="center"/>
            <w:hideMark/>
          </w:tcPr>
          <w:p w14:paraId="20EA590E" w14:textId="77777777" w:rsidR="008F475D" w:rsidRPr="00852C5C" w:rsidRDefault="008F475D" w:rsidP="008F475D">
            <w:pPr>
              <w:jc w:val="center"/>
              <w:rPr>
                <w:rFonts w:cs="Arial"/>
                <w:sz w:val="16"/>
                <w:szCs w:val="18"/>
              </w:rPr>
            </w:pPr>
            <w:r w:rsidRPr="00852C5C">
              <w:rPr>
                <w:rFonts w:cs="Arial"/>
                <w:sz w:val="16"/>
                <w:szCs w:val="18"/>
              </w:rPr>
              <w:t>United Kingdom</w:t>
            </w:r>
          </w:p>
        </w:tc>
        <w:tc>
          <w:tcPr>
            <w:tcW w:w="721" w:type="pct"/>
            <w:tcBorders>
              <w:top w:val="single" w:sz="4" w:space="0" w:color="auto"/>
              <w:left w:val="single" w:sz="4" w:space="0" w:color="auto"/>
              <w:bottom w:val="single" w:sz="4" w:space="0" w:color="auto"/>
              <w:right w:val="single" w:sz="4" w:space="0" w:color="auto"/>
            </w:tcBorders>
            <w:vAlign w:val="center"/>
            <w:hideMark/>
          </w:tcPr>
          <w:p w14:paraId="59672023" w14:textId="77777777" w:rsidR="008F475D" w:rsidRPr="00852C5C" w:rsidRDefault="008F475D" w:rsidP="008F475D">
            <w:pPr>
              <w:jc w:val="center"/>
              <w:rPr>
                <w:rFonts w:cs="Arial"/>
                <w:sz w:val="16"/>
                <w:szCs w:val="18"/>
              </w:rPr>
            </w:pPr>
            <w:r w:rsidRPr="00852C5C">
              <w:rPr>
                <w:rFonts w:cs="Arial"/>
                <w:sz w:val="16"/>
                <w:szCs w:val="18"/>
              </w:rPr>
              <w:t>Cancer</w:t>
            </w:r>
          </w:p>
        </w:tc>
        <w:tc>
          <w:tcPr>
            <w:tcW w:w="2316" w:type="pct"/>
            <w:tcBorders>
              <w:top w:val="single" w:sz="4" w:space="0" w:color="auto"/>
              <w:left w:val="single" w:sz="4" w:space="0" w:color="auto"/>
              <w:bottom w:val="single" w:sz="4" w:space="0" w:color="auto"/>
              <w:right w:val="single" w:sz="4" w:space="0" w:color="auto"/>
            </w:tcBorders>
            <w:vAlign w:val="center"/>
            <w:hideMark/>
          </w:tcPr>
          <w:p w14:paraId="6448C571" w14:textId="77777777" w:rsidR="008F475D" w:rsidRPr="00852C5C" w:rsidRDefault="008F475D" w:rsidP="008F475D">
            <w:pPr>
              <w:rPr>
                <w:rFonts w:cs="Arial"/>
                <w:sz w:val="16"/>
                <w:szCs w:val="18"/>
              </w:rPr>
            </w:pPr>
            <w:r w:rsidRPr="00852C5C">
              <w:rPr>
                <w:rFonts w:cs="Arial"/>
                <w:sz w:val="16"/>
                <w:szCs w:val="18"/>
              </w:rPr>
              <w:t>Uses data from NICE to create a league table with 74 cancer treatment interventions (several cancer forms), to estimate the Cancer Drug Fund (CDF) willingness to pay for cancer drugs.</w:t>
            </w:r>
          </w:p>
        </w:tc>
      </w:tr>
      <w:tr w:rsidR="008F475D" w:rsidRPr="00852C5C" w14:paraId="786351D3" w14:textId="77777777" w:rsidTr="008F475D">
        <w:tc>
          <w:tcPr>
            <w:tcW w:w="928" w:type="pct"/>
            <w:tcBorders>
              <w:top w:val="single" w:sz="4" w:space="0" w:color="auto"/>
              <w:left w:val="single" w:sz="4" w:space="0" w:color="auto"/>
              <w:bottom w:val="single" w:sz="4" w:space="0" w:color="auto"/>
              <w:right w:val="single" w:sz="4" w:space="0" w:color="auto"/>
            </w:tcBorders>
            <w:vAlign w:val="center"/>
            <w:hideMark/>
          </w:tcPr>
          <w:p w14:paraId="526F6F8F" w14:textId="402F8F65" w:rsidR="008F475D" w:rsidRPr="00852C5C" w:rsidRDefault="008F475D" w:rsidP="00FC3DDD">
            <w:pPr>
              <w:rPr>
                <w:rFonts w:cs="Arial"/>
                <w:sz w:val="16"/>
                <w:szCs w:val="18"/>
              </w:rPr>
            </w:pPr>
            <w:r w:rsidRPr="00852C5C">
              <w:rPr>
                <w:rFonts w:cs="Arial"/>
                <w:sz w:val="16"/>
                <w:szCs w:val="18"/>
              </w:rPr>
              <w:t>Chiu et al</w:t>
            </w:r>
            <w:r w:rsidRPr="00852C5C">
              <w:rPr>
                <w:rFonts w:cs="Arial"/>
                <w:sz w:val="16"/>
                <w:szCs w:val="18"/>
              </w:rPr>
              <w:br/>
            </w:r>
            <w:r w:rsidR="00FC3DDD" w:rsidRPr="00852C5C">
              <w:rPr>
                <w:rFonts w:cs="Arial"/>
                <w:sz w:val="16"/>
                <w:szCs w:val="18"/>
                <w:lang w:val="en-AU"/>
              </w:rPr>
              <w:fldChar w:fldCharType="begin">
                <w:fldData xml:space="preserve">PEVuZE5vdGU+PENpdGU+PEF1dGhvcj5DaGl1PC9BdXRob3I+PFllYXI+MjAxNzwvWWVhcj48UmVj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</w:fldData>
              </w:fldChar>
            </w:r>
            <w:r w:rsidR="003D55B9">
              <w:rPr>
                <w:rFonts w:cs="Arial"/>
                <w:sz w:val="16"/>
                <w:szCs w:val="18"/>
                <w:lang w:val="en-AU"/>
              </w:rPr>
              <w:instrText xml:space="preserve"> ADDIN EN.CITE </w:instrText>
            </w:r>
            <w:r w:rsidR="003D55B9">
              <w:rPr>
                <w:rFonts w:cs="Arial"/>
                <w:sz w:val="16"/>
                <w:szCs w:val="18"/>
                <w:lang w:val="en-AU"/>
              </w:rPr>
              <w:fldChar w:fldCharType="begin">
                <w:fldData xml:space="preserve">PEVuZE5vdGU+PENpdGU+PEF1dGhvcj5DaGl1PC9BdXRob3I+PFllYXI+MjAxNzwvWWVhcj48UmVj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</w:fldData>
              </w:fldChar>
            </w:r>
            <w:r w:rsidR="003D55B9">
              <w:rPr>
                <w:rFonts w:cs="Arial"/>
                <w:sz w:val="16"/>
                <w:szCs w:val="18"/>
                <w:lang w:val="en-AU"/>
              </w:rPr>
              <w:instrText xml:space="preserve"> ADDIN EN.CITE.DATA </w:instrText>
            </w:r>
            <w:r w:rsidR="003D55B9">
              <w:rPr>
                <w:rFonts w:cs="Arial"/>
                <w:sz w:val="16"/>
                <w:szCs w:val="18"/>
                <w:lang w:val="en-AU"/>
              </w:rPr>
            </w:r>
            <w:r w:rsidR="003D55B9">
              <w:rPr>
                <w:rFonts w:cs="Arial"/>
                <w:sz w:val="16"/>
                <w:szCs w:val="18"/>
                <w:lang w:val="en-AU"/>
              </w:rPr>
              <w:fldChar w:fldCharType="end"/>
            </w:r>
            <w:r w:rsidR="00FC3DDD" w:rsidRPr="00852C5C">
              <w:rPr>
                <w:rFonts w:cs="Arial"/>
                <w:sz w:val="16"/>
                <w:szCs w:val="18"/>
                <w:lang w:val="en-AU"/>
              </w:rPr>
            </w:r>
            <w:r w:rsidR="00FC3DDD" w:rsidRPr="00852C5C">
              <w:rPr>
                <w:rFonts w:cs="Arial"/>
                <w:sz w:val="16"/>
                <w:szCs w:val="18"/>
                <w:lang w:val="en-AU"/>
              </w:rPr>
              <w:fldChar w:fldCharType="separate"/>
            </w:r>
            <w:r w:rsidR="003D55B9">
              <w:rPr>
                <w:rFonts w:cs="Arial"/>
                <w:noProof/>
                <w:sz w:val="16"/>
                <w:szCs w:val="18"/>
                <w:lang w:val="en-AU"/>
              </w:rPr>
              <w:t>(13)</w:t>
            </w:r>
            <w:r w:rsidR="00FC3DDD" w:rsidRPr="00852C5C">
              <w:rPr>
                <w:rFonts w:cs="Arial"/>
                <w:sz w:val="16"/>
                <w:szCs w:val="18"/>
                <w:lang w:val="en-AU"/>
              </w:rPr>
              <w:fldChar w:fldCharType="end"/>
            </w:r>
          </w:p>
        </w:tc>
        <w:tc>
          <w:tcPr>
            <w:tcW w:w="406" w:type="pct"/>
            <w:tcBorders>
              <w:top w:val="single" w:sz="4" w:space="0" w:color="auto"/>
              <w:left w:val="single" w:sz="4" w:space="0" w:color="auto"/>
              <w:bottom w:val="single" w:sz="4" w:space="0" w:color="auto"/>
              <w:right w:val="single" w:sz="4" w:space="0" w:color="auto"/>
            </w:tcBorders>
            <w:vAlign w:val="center"/>
            <w:hideMark/>
          </w:tcPr>
          <w:p w14:paraId="1817A941" w14:textId="77777777" w:rsidR="008F475D" w:rsidRPr="00852C5C" w:rsidRDefault="008F475D" w:rsidP="008F475D">
            <w:pPr>
              <w:jc w:val="center"/>
              <w:rPr>
                <w:rFonts w:cs="Arial"/>
                <w:sz w:val="16"/>
                <w:szCs w:val="18"/>
              </w:rPr>
            </w:pPr>
            <w:r w:rsidRPr="00852C5C">
              <w:rPr>
                <w:rFonts w:cs="Arial"/>
                <w:sz w:val="16"/>
                <w:szCs w:val="18"/>
              </w:rPr>
              <w:t>2017</w:t>
            </w:r>
          </w:p>
        </w:tc>
        <w:tc>
          <w:tcPr>
            <w:tcW w:w="629" w:type="pct"/>
            <w:tcBorders>
              <w:top w:val="single" w:sz="4" w:space="0" w:color="auto"/>
              <w:left w:val="single" w:sz="4" w:space="0" w:color="auto"/>
              <w:bottom w:val="single" w:sz="4" w:space="0" w:color="auto"/>
              <w:right w:val="single" w:sz="4" w:space="0" w:color="auto"/>
            </w:tcBorders>
            <w:vAlign w:val="center"/>
            <w:hideMark/>
          </w:tcPr>
          <w:p w14:paraId="5EC4D018" w14:textId="77777777" w:rsidR="008F475D" w:rsidRPr="00852C5C" w:rsidRDefault="008F475D" w:rsidP="008F475D">
            <w:pPr>
              <w:jc w:val="center"/>
              <w:rPr>
                <w:rFonts w:cs="Arial"/>
                <w:sz w:val="16"/>
                <w:szCs w:val="18"/>
              </w:rPr>
            </w:pPr>
            <w:r w:rsidRPr="00852C5C">
              <w:rPr>
                <w:rFonts w:cs="Arial"/>
                <w:sz w:val="16"/>
                <w:szCs w:val="18"/>
              </w:rPr>
              <w:t>South Africa</w:t>
            </w:r>
          </w:p>
        </w:tc>
        <w:tc>
          <w:tcPr>
            <w:tcW w:w="721" w:type="pct"/>
            <w:tcBorders>
              <w:top w:val="single" w:sz="4" w:space="0" w:color="auto"/>
              <w:left w:val="single" w:sz="4" w:space="0" w:color="auto"/>
              <w:bottom w:val="single" w:sz="4" w:space="0" w:color="auto"/>
              <w:right w:val="single" w:sz="4" w:space="0" w:color="auto"/>
            </w:tcBorders>
            <w:vAlign w:val="center"/>
            <w:hideMark/>
          </w:tcPr>
          <w:p w14:paraId="3F700C60" w14:textId="77777777" w:rsidR="008F475D" w:rsidRPr="00852C5C" w:rsidRDefault="008F475D" w:rsidP="008F475D">
            <w:pPr>
              <w:jc w:val="center"/>
              <w:rPr>
                <w:rFonts w:cs="Arial"/>
                <w:sz w:val="16"/>
                <w:szCs w:val="18"/>
              </w:rPr>
            </w:pPr>
            <w:r w:rsidRPr="00852C5C">
              <w:rPr>
                <w:rFonts w:cs="Arial"/>
                <w:sz w:val="16"/>
                <w:szCs w:val="18"/>
              </w:rPr>
              <w:t>HIV/AIDS</w:t>
            </w:r>
          </w:p>
        </w:tc>
        <w:tc>
          <w:tcPr>
            <w:tcW w:w="2316" w:type="pct"/>
            <w:tcBorders>
              <w:top w:val="single" w:sz="4" w:space="0" w:color="auto"/>
              <w:left w:val="single" w:sz="4" w:space="0" w:color="auto"/>
              <w:bottom w:val="single" w:sz="4" w:space="0" w:color="auto"/>
              <w:right w:val="single" w:sz="4" w:space="0" w:color="auto"/>
            </w:tcBorders>
            <w:vAlign w:val="center"/>
            <w:hideMark/>
          </w:tcPr>
          <w:p w14:paraId="489788AE" w14:textId="7A78CA2C" w:rsidR="008F475D" w:rsidRPr="00852C5C" w:rsidRDefault="008F475D" w:rsidP="008F475D">
            <w:pPr>
              <w:rPr>
                <w:rFonts w:cs="Arial"/>
                <w:sz w:val="16"/>
                <w:szCs w:val="18"/>
              </w:rPr>
            </w:pPr>
            <w:r w:rsidRPr="00852C5C">
              <w:rPr>
                <w:rFonts w:cs="Arial"/>
                <w:sz w:val="16"/>
                <w:szCs w:val="18"/>
              </w:rPr>
              <w:t>Comparison between a Conventional</w:t>
            </w:r>
            <w:r w:rsidR="00E15455" w:rsidRPr="00852C5C">
              <w:rPr>
                <w:rFonts w:cs="Arial"/>
                <w:sz w:val="16"/>
                <w:szCs w:val="18"/>
              </w:rPr>
              <w:t xml:space="preserve"> league table (modified to ICERs</w:t>
            </w:r>
            <w:r w:rsidRPr="00852C5C">
              <w:rPr>
                <w:rFonts w:cs="Arial"/>
                <w:sz w:val="16"/>
                <w:szCs w:val="18"/>
              </w:rPr>
              <w:t xml:space="preserve"> calculated between interventions in the table) with a league table with optimisation routine including the interaction between interventions, different levels of coverage of various interventions in HIV/AIDS.</w:t>
            </w:r>
          </w:p>
        </w:tc>
      </w:tr>
      <w:tr w:rsidR="008550C7" w:rsidRPr="00852C5C" w14:paraId="5F0084EA" w14:textId="77777777" w:rsidTr="008F475D">
        <w:tc>
          <w:tcPr>
            <w:tcW w:w="928" w:type="pct"/>
            <w:tcBorders>
              <w:top w:val="single" w:sz="4" w:space="0" w:color="auto"/>
              <w:left w:val="single" w:sz="4" w:space="0" w:color="auto"/>
              <w:bottom w:val="single" w:sz="4" w:space="0" w:color="auto"/>
              <w:right w:val="single" w:sz="4" w:space="0" w:color="auto"/>
            </w:tcBorders>
            <w:vAlign w:val="center"/>
          </w:tcPr>
          <w:p w14:paraId="09684884" w14:textId="46A7D9E1" w:rsidR="008550C7" w:rsidRPr="00852C5C" w:rsidRDefault="00DC1F3A" w:rsidP="00FC3DDD">
            <w:pPr>
              <w:rPr>
                <w:rFonts w:cs="Arial"/>
                <w:sz w:val="16"/>
                <w:szCs w:val="18"/>
              </w:rPr>
            </w:pPr>
            <w:r>
              <w:rPr>
                <w:rFonts w:cs="Arial"/>
                <w:sz w:val="16"/>
                <w:szCs w:val="18"/>
              </w:rPr>
              <w:t xml:space="preserve">Wilson et al </w:t>
            </w:r>
            <w:r w:rsidR="00622BC4">
              <w:rPr>
                <w:rFonts w:cs="Arial"/>
                <w:sz w:val="16"/>
                <w:szCs w:val="18"/>
              </w:rPr>
              <w:fldChar w:fldCharType="begin"/>
            </w:r>
            <w:r w:rsidR="003D55B9">
              <w:rPr>
                <w:rFonts w:cs="Arial"/>
                <w:sz w:val="16"/>
                <w:szCs w:val="18"/>
              </w:rPr>
              <w:instrText xml:space="preserve"> ADDIN EN.CITE &lt;EndNote&gt;&lt;Cite&gt;&lt;Author&gt;Wilson&lt;/Author&gt;&lt;Year&gt;2019&lt;/Year&gt;&lt;RecNum&gt;35&lt;/RecNum&gt;&lt;DisplayText&gt;(14)&lt;/DisplayText&gt;&lt;record&gt;&lt;rec-number&gt;35&lt;/rec-number&gt;&lt;foreign-keys&gt;&lt;key app="EN" db-id="rxw0ard092apvse2rzlvtfdxvxef2zd25vz5" timestamp="1612756021"&gt;35&lt;/key&gt;&lt;/foreign-keys&gt;&lt;ref-type name="Journal Article"&gt;17&lt;/ref-type&gt;&lt;contributors&gt;&lt;authors&gt;&lt;author&gt;Wilson, N.&lt;/author&gt;&lt;author&gt;Davies, A.&lt;/author&gt;&lt;author&gt;Brewer, N.&lt;/author&gt;&lt;author&gt;Nghiem, N.&lt;/author&gt;&lt;author&gt;Cobiac, L.&lt;/author&gt;&lt;author&gt;Blakely, T.&lt;/author&gt;&lt;/authors&gt;&lt;/contributors&gt;&lt;auth-address&gt;BODE(3) Programme, Department of Public Health, University of Otago Wellington, Wellington, New Zealand. nick.wilson@otago.ac.nz.&amp;#xD;BODE(3) Programme, Department of Public Health, University of Otago Wellington, Wellington, New Zealand.&amp;#xD;Centre for Public Health Research, Massey University, Wellington, New Zealand.&amp;#xD;Nuffield Department of Population Health, University of Oxford, Oxford, UK.&lt;/auth-address&gt;&lt;titles&gt;&lt;title&gt;Can cost-effectiveness results be combined into a coherent league table? Case study from one high-income country&lt;/title&gt;&lt;secondary-title&gt;Popul Health Metr&lt;/secondary-title&gt;&lt;/titles&gt;&lt;periodical&gt;&lt;full-title&gt;Popul Health Metr&lt;/full-title&gt;&lt;/periodical&gt;&lt;pages&gt;10&lt;/pages&gt;&lt;volume&gt;17&lt;/volume&gt;&lt;number&gt;1&lt;/number&gt;&lt;edition&gt;2019/08/07&lt;/edition&gt;&lt;keywords&gt;&lt;keyword&gt;*Cost-Benefit Analysis&lt;/keyword&gt;&lt;keyword&gt;*Health Care Costs&lt;/keyword&gt;&lt;keyword&gt;Humans&lt;/keyword&gt;&lt;keyword&gt;New Zealand&lt;/keyword&gt;&lt;keyword&gt;*Quality-Adjusted Life Years&lt;/keyword&gt;&lt;keyword&gt;*Cost-effectiveness&lt;/keyword&gt;&lt;keyword&gt;*Cost-utility&lt;/keyword&gt;&lt;keyword&gt;*Health interventions&lt;/keyword&gt;&lt;keyword&gt;*League table&lt;/keyword&gt;&lt;/keywords&gt;&lt;dates&gt;&lt;year&gt;2019&lt;/year&gt;&lt;pub-dates&gt;&lt;date&gt;Aug 5&lt;/date&gt;&lt;/pub-dates&gt;&lt;/dates&gt;&lt;isbn&gt;1478-7954 (Electronic)&amp;#xD;1478-7954 (Linking)&lt;/isbn&gt;&lt;accession-num&gt;31382954&lt;/accession-num&gt;&lt;urls&gt;&lt;related-urls&gt;&lt;url&gt;https://www.ncbi.nlm.nih.gov/pubmed/31382954&lt;/url&gt;&lt;/related-urls&gt;&lt;/urls&gt;&lt;custom2&gt;PMC6683509&lt;/custom2&gt;&lt;electronic-resource-num&gt;10.1186/s12963-019-0192-x&lt;/electronic-resource-num&gt;&lt;/record&gt;&lt;/Cite&gt;&lt;/EndNote&gt;</w:instrText>
            </w:r>
            <w:r w:rsidR="00622BC4">
              <w:rPr>
                <w:rFonts w:cs="Arial"/>
                <w:sz w:val="16"/>
                <w:szCs w:val="18"/>
              </w:rPr>
              <w:fldChar w:fldCharType="separate"/>
            </w:r>
            <w:r w:rsidR="003D55B9">
              <w:rPr>
                <w:rFonts w:cs="Arial"/>
                <w:noProof/>
                <w:sz w:val="16"/>
                <w:szCs w:val="18"/>
              </w:rPr>
              <w:t>(14)</w:t>
            </w:r>
            <w:r w:rsidR="00622BC4">
              <w:rPr>
                <w:rFonts w:cs="Arial"/>
                <w:sz w:val="16"/>
                <w:szCs w:val="18"/>
              </w:rPr>
              <w:fldChar w:fldCharType="end"/>
            </w:r>
          </w:p>
        </w:tc>
        <w:tc>
          <w:tcPr>
            <w:tcW w:w="406" w:type="pct"/>
            <w:tcBorders>
              <w:top w:val="single" w:sz="4" w:space="0" w:color="auto"/>
              <w:left w:val="single" w:sz="4" w:space="0" w:color="auto"/>
              <w:bottom w:val="single" w:sz="4" w:space="0" w:color="auto"/>
              <w:right w:val="single" w:sz="4" w:space="0" w:color="auto"/>
            </w:tcBorders>
            <w:vAlign w:val="center"/>
          </w:tcPr>
          <w:p w14:paraId="00B2A8C1" w14:textId="426814EF" w:rsidR="008550C7" w:rsidRPr="00852C5C" w:rsidRDefault="008550C7" w:rsidP="008F475D">
            <w:pPr>
              <w:jc w:val="center"/>
              <w:rPr>
                <w:rFonts w:cs="Arial"/>
                <w:sz w:val="16"/>
                <w:szCs w:val="18"/>
              </w:rPr>
            </w:pPr>
            <w:r>
              <w:rPr>
                <w:rFonts w:cs="Arial"/>
                <w:sz w:val="16"/>
                <w:szCs w:val="18"/>
              </w:rPr>
              <w:t>2019</w:t>
            </w:r>
          </w:p>
        </w:tc>
        <w:tc>
          <w:tcPr>
            <w:tcW w:w="629" w:type="pct"/>
            <w:tcBorders>
              <w:top w:val="single" w:sz="4" w:space="0" w:color="auto"/>
              <w:left w:val="single" w:sz="4" w:space="0" w:color="auto"/>
              <w:bottom w:val="single" w:sz="4" w:space="0" w:color="auto"/>
              <w:right w:val="single" w:sz="4" w:space="0" w:color="auto"/>
            </w:tcBorders>
            <w:vAlign w:val="center"/>
          </w:tcPr>
          <w:p w14:paraId="61009B73" w14:textId="532ABBA1" w:rsidR="008550C7" w:rsidRPr="00852C5C" w:rsidRDefault="00BE0067" w:rsidP="008F475D">
            <w:pPr>
              <w:jc w:val="center"/>
              <w:rPr>
                <w:rFonts w:cs="Arial"/>
                <w:sz w:val="16"/>
                <w:szCs w:val="18"/>
              </w:rPr>
            </w:pPr>
            <w:r>
              <w:rPr>
                <w:rFonts w:cs="Arial"/>
                <w:sz w:val="16"/>
                <w:szCs w:val="18"/>
              </w:rPr>
              <w:t>New Zealand</w:t>
            </w:r>
          </w:p>
        </w:tc>
        <w:tc>
          <w:tcPr>
            <w:tcW w:w="721" w:type="pct"/>
            <w:tcBorders>
              <w:top w:val="single" w:sz="4" w:space="0" w:color="auto"/>
              <w:left w:val="single" w:sz="4" w:space="0" w:color="auto"/>
              <w:bottom w:val="single" w:sz="4" w:space="0" w:color="auto"/>
              <w:right w:val="single" w:sz="4" w:space="0" w:color="auto"/>
            </w:tcBorders>
            <w:vAlign w:val="center"/>
          </w:tcPr>
          <w:p w14:paraId="6F58727A" w14:textId="0CB8CBC6" w:rsidR="008550C7" w:rsidRPr="00852C5C" w:rsidRDefault="00DC3FED" w:rsidP="008F475D">
            <w:pPr>
              <w:jc w:val="center"/>
              <w:rPr>
                <w:rFonts w:cs="Arial"/>
                <w:sz w:val="16"/>
                <w:szCs w:val="18"/>
              </w:rPr>
            </w:pPr>
            <w:r w:rsidRPr="00852C5C">
              <w:rPr>
                <w:rFonts w:cs="Arial"/>
                <w:sz w:val="16"/>
                <w:szCs w:val="18"/>
              </w:rPr>
              <w:t>-</w:t>
            </w:r>
          </w:p>
        </w:tc>
        <w:tc>
          <w:tcPr>
            <w:tcW w:w="2316" w:type="pct"/>
            <w:tcBorders>
              <w:top w:val="single" w:sz="4" w:space="0" w:color="auto"/>
              <w:left w:val="single" w:sz="4" w:space="0" w:color="auto"/>
              <w:bottom w:val="single" w:sz="4" w:space="0" w:color="auto"/>
              <w:right w:val="single" w:sz="4" w:space="0" w:color="auto"/>
            </w:tcBorders>
            <w:vAlign w:val="center"/>
          </w:tcPr>
          <w:p w14:paraId="2F2CA69C" w14:textId="42086493" w:rsidR="008550C7" w:rsidRPr="00852C5C" w:rsidRDefault="00E37A13" w:rsidP="008F475D">
            <w:pPr>
              <w:rPr>
                <w:rFonts w:cs="Arial"/>
                <w:sz w:val="16"/>
                <w:szCs w:val="18"/>
              </w:rPr>
            </w:pPr>
            <w:r>
              <w:rPr>
                <w:rFonts w:cs="Arial"/>
                <w:sz w:val="16"/>
                <w:szCs w:val="18"/>
              </w:rPr>
              <w:t xml:space="preserve">Compilation of 21 studies </w:t>
            </w:r>
            <w:r w:rsidR="00DE3402">
              <w:rPr>
                <w:rFonts w:cs="Arial"/>
                <w:sz w:val="16"/>
                <w:szCs w:val="18"/>
              </w:rPr>
              <w:t>with cost-effectiveness analyses for New Zealand over the period 1 January 2010 to 8 October 2017.</w:t>
            </w:r>
            <w:r w:rsidR="001F275F">
              <w:rPr>
                <w:rFonts w:cs="Arial"/>
                <w:sz w:val="16"/>
                <w:szCs w:val="18"/>
              </w:rPr>
              <w:t xml:space="preserve"> Study outcomes had to include </w:t>
            </w:r>
            <w:r w:rsidR="00A81690">
              <w:rPr>
                <w:rFonts w:cs="Arial"/>
                <w:sz w:val="16"/>
                <w:szCs w:val="18"/>
              </w:rPr>
              <w:t xml:space="preserve">cost-per </w:t>
            </w:r>
            <w:proofErr w:type="gramStart"/>
            <w:r w:rsidR="00A81690">
              <w:rPr>
                <w:rFonts w:cs="Arial"/>
                <w:sz w:val="16"/>
                <w:szCs w:val="18"/>
              </w:rPr>
              <w:t>QALY</w:t>
            </w:r>
            <w:proofErr w:type="gramEnd"/>
            <w:r w:rsidR="00A81690">
              <w:rPr>
                <w:rFonts w:cs="Arial"/>
                <w:sz w:val="16"/>
                <w:szCs w:val="18"/>
              </w:rPr>
              <w:t xml:space="preserve"> or life year (LY) gained, or </w:t>
            </w:r>
            <w:r w:rsidR="004356F7">
              <w:rPr>
                <w:rFonts w:cs="Arial"/>
                <w:sz w:val="16"/>
                <w:szCs w:val="18"/>
              </w:rPr>
              <w:t>cost per DALY averted.</w:t>
            </w:r>
          </w:p>
        </w:tc>
      </w:tr>
    </w:tbl>
    <w:p w14:paraId="15470AF5" w14:textId="77777777" w:rsidR="008F475D" w:rsidRPr="00852C5C" w:rsidRDefault="008F475D" w:rsidP="008F475D"/>
    <w:p w14:paraId="617C23DB" w14:textId="547151D1" w:rsidR="008F475D" w:rsidRDefault="008F475D" w:rsidP="00A77143">
      <w:pPr>
        <w:spacing w:after="40" w:line="240" w:lineRule="auto"/>
        <w:rPr>
          <w:rFonts w:cs="Arial"/>
        </w:rPr>
      </w:pPr>
      <w:r w:rsidRPr="00852C5C">
        <w:rPr>
          <w:rFonts w:cs="Arial"/>
        </w:rPr>
        <w:t xml:space="preserve">Apart from specific examples published </w:t>
      </w:r>
      <w:r w:rsidRPr="00852C5C">
        <w:rPr>
          <w:rFonts w:cs="Arial"/>
        </w:rPr>
        <w:fldChar w:fldCharType="begin"/>
      </w:r>
      <w:r w:rsidRPr="00852C5C">
        <w:rPr>
          <w:rFonts w:cs="Arial"/>
        </w:rPr>
        <w:instrText xml:space="preserve"> REF _Ref497745417 \h  \* MERGEFORMAT </w:instrText>
      </w:r>
      <w:r w:rsidRPr="00852C5C">
        <w:rPr>
          <w:rFonts w:cs="Arial"/>
        </w:rPr>
      </w:r>
      <w:r w:rsidRPr="00852C5C">
        <w:rPr>
          <w:rFonts w:cs="Arial"/>
        </w:rPr>
        <w:fldChar w:fldCharType="separate"/>
      </w:r>
      <w:r w:rsidR="002A0721" w:rsidRPr="00852C5C">
        <w:rPr>
          <w:rFonts w:cs="Arial"/>
        </w:rPr>
        <w:t xml:space="preserve">Table </w:t>
      </w:r>
      <w:r w:rsidR="002A0721" w:rsidRPr="00852C5C">
        <w:rPr>
          <w:rFonts w:cs="Arial"/>
          <w:noProof/>
        </w:rPr>
        <w:t>3</w:t>
      </w:r>
      <w:r w:rsidRPr="00852C5C">
        <w:rPr>
          <w:rFonts w:cs="Arial"/>
        </w:rPr>
        <w:fldChar w:fldCharType="end"/>
      </w:r>
      <w:r w:rsidRPr="00852C5C">
        <w:rPr>
          <w:rFonts w:cs="Arial"/>
        </w:rPr>
        <w:t>, more comprehensive registries of CEA studies have been created and used with the diverse aims – including as league tables.</w:t>
      </w:r>
    </w:p>
    <w:p w14:paraId="1A5CADE6" w14:textId="77777777" w:rsidR="00115E81" w:rsidRPr="00852C5C" w:rsidRDefault="00115E81" w:rsidP="00A77143">
      <w:pPr>
        <w:spacing w:after="40" w:line="240" w:lineRule="auto"/>
        <w:rPr>
          <w:rFonts w:cs="Arial"/>
        </w:rPr>
      </w:pPr>
    </w:p>
    <w:p w14:paraId="72787401" w14:textId="02FF9943" w:rsidR="008F475D" w:rsidRDefault="008F475D" w:rsidP="00A77143">
      <w:pPr>
        <w:spacing w:after="40" w:line="240" w:lineRule="auto"/>
        <w:rPr>
          <w:rFonts w:cs="Arial"/>
        </w:rPr>
      </w:pPr>
      <w:r w:rsidRPr="00852C5C">
        <w:rPr>
          <w:rFonts w:eastAsia="Calibri" w:cs="Arial"/>
          <w:b/>
        </w:rPr>
        <w:t xml:space="preserve">Tufts Medical </w:t>
      </w:r>
      <w:proofErr w:type="spellStart"/>
      <w:r w:rsidRPr="00852C5C">
        <w:rPr>
          <w:rFonts w:eastAsia="Calibri" w:cs="Arial"/>
          <w:b/>
        </w:rPr>
        <w:t>Center</w:t>
      </w:r>
      <w:proofErr w:type="spellEnd"/>
      <w:r w:rsidRPr="00852C5C">
        <w:rPr>
          <w:rFonts w:eastAsia="Calibri" w:cs="Arial"/>
          <w:b/>
        </w:rPr>
        <w:t xml:space="preserve"> Cost-Effectiveness Analysis Registry </w:t>
      </w:r>
      <w:r w:rsidRPr="00852C5C">
        <w:rPr>
          <w:rFonts w:cs="Arial"/>
          <w:b/>
        </w:rPr>
        <w:t>(Tufts CEA Registry):</w:t>
      </w:r>
      <w:r w:rsidRPr="00852C5C">
        <w:rPr>
          <w:rFonts w:cs="Arial"/>
        </w:rPr>
        <w:t xml:space="preserve"> this registry started in 1976 and is a database of </w:t>
      </w:r>
      <w:r w:rsidR="002E5024">
        <w:rPr>
          <w:rFonts w:cs="Arial"/>
        </w:rPr>
        <w:t>over 9,000</w:t>
      </w:r>
      <w:r w:rsidRPr="00852C5C">
        <w:rPr>
          <w:rFonts w:cs="Arial"/>
        </w:rPr>
        <w:t xml:space="preserve"> CUA covering a large variety of diseases and treatments that have been used as a source for many publications (e.g. two are cited in </w:t>
      </w:r>
      <w:r w:rsidRPr="00852C5C">
        <w:rPr>
          <w:rFonts w:cs="Arial"/>
        </w:rPr>
        <w:fldChar w:fldCharType="begin"/>
      </w:r>
      <w:r w:rsidRPr="00852C5C">
        <w:rPr>
          <w:rFonts w:cs="Arial"/>
        </w:rPr>
        <w:instrText xml:space="preserve"> REF _Ref497745417 \h  \* MERGEFORMAT </w:instrText>
      </w:r>
      <w:r w:rsidRPr="00852C5C">
        <w:rPr>
          <w:rFonts w:cs="Arial"/>
        </w:rPr>
      </w:r>
      <w:r w:rsidRPr="00852C5C">
        <w:rPr>
          <w:rFonts w:cs="Arial"/>
        </w:rPr>
        <w:fldChar w:fldCharType="separate"/>
      </w:r>
      <w:r w:rsidR="002A0721" w:rsidRPr="00852C5C">
        <w:rPr>
          <w:rFonts w:cs="Arial"/>
        </w:rPr>
        <w:t xml:space="preserve">Table </w:t>
      </w:r>
      <w:r w:rsidR="002A0721" w:rsidRPr="00852C5C">
        <w:rPr>
          <w:rFonts w:cs="Arial"/>
          <w:noProof/>
        </w:rPr>
        <w:t>3</w:t>
      </w:r>
      <w:r w:rsidRPr="00852C5C">
        <w:rPr>
          <w:rFonts w:cs="Arial"/>
        </w:rPr>
        <w:fldChar w:fldCharType="end"/>
      </w:r>
      <w:r w:rsidRPr="00852C5C">
        <w:rPr>
          <w:rFonts w:cs="Arial"/>
        </w:rPr>
        <w:t>). The registry entries summarize and review published and original CUA articles (in English-language), using a standard auditing form to extract information on methodology, ICERs and utility weights. The review is performed by two trained readers: after an independent read and audit, the discrepancies are solved by consensus, and the disease classification is assigned by a clinician.</w:t>
      </w:r>
    </w:p>
    <w:p w14:paraId="2D1DD7EF" w14:textId="77777777" w:rsidR="00115E81" w:rsidRPr="00852C5C" w:rsidRDefault="00115E81" w:rsidP="00A77143">
      <w:pPr>
        <w:spacing w:after="40" w:line="240" w:lineRule="auto"/>
        <w:rPr>
          <w:rFonts w:cs="Arial"/>
        </w:rPr>
      </w:pPr>
    </w:p>
    <w:p w14:paraId="5D0232A2" w14:textId="02AEFFF4" w:rsidR="00DA1714" w:rsidRDefault="00DA1714" w:rsidP="00A77143">
      <w:pPr>
        <w:spacing w:after="40" w:line="240" w:lineRule="auto"/>
        <w:rPr>
          <w:rFonts w:cs="Arial"/>
        </w:rPr>
      </w:pPr>
      <w:r w:rsidRPr="00852C5C">
        <w:rPr>
          <w:rFonts w:eastAsia="Calibri" w:cs="Arial"/>
          <w:b/>
        </w:rPr>
        <w:t xml:space="preserve">Tufts Medical </w:t>
      </w:r>
      <w:proofErr w:type="spellStart"/>
      <w:r w:rsidRPr="00852C5C">
        <w:rPr>
          <w:rFonts w:eastAsia="Calibri" w:cs="Arial"/>
          <w:b/>
        </w:rPr>
        <w:t>Center</w:t>
      </w:r>
      <w:proofErr w:type="spellEnd"/>
      <w:r w:rsidRPr="00852C5C">
        <w:rPr>
          <w:rFonts w:eastAsia="Calibri" w:cs="Arial"/>
          <w:b/>
        </w:rPr>
        <w:t xml:space="preserve"> </w:t>
      </w:r>
      <w:r w:rsidR="00D92588">
        <w:rPr>
          <w:rFonts w:eastAsia="Calibri" w:cs="Arial"/>
          <w:b/>
        </w:rPr>
        <w:t xml:space="preserve">Global Health </w:t>
      </w:r>
      <w:r w:rsidRPr="00852C5C">
        <w:rPr>
          <w:rFonts w:eastAsia="Calibri" w:cs="Arial"/>
          <w:b/>
        </w:rPr>
        <w:t xml:space="preserve">Cost-Effectiveness Analysis Registry </w:t>
      </w:r>
      <w:r w:rsidRPr="00852C5C">
        <w:rPr>
          <w:rFonts w:cs="Arial"/>
          <w:b/>
        </w:rPr>
        <w:t>(</w:t>
      </w:r>
      <w:r w:rsidR="00D92588">
        <w:rPr>
          <w:rFonts w:cs="Arial"/>
          <w:b/>
        </w:rPr>
        <w:t>GH CEA</w:t>
      </w:r>
      <w:r w:rsidRPr="00852C5C">
        <w:rPr>
          <w:rFonts w:cs="Arial"/>
          <w:b/>
        </w:rPr>
        <w:t xml:space="preserve"> Registry):</w:t>
      </w:r>
      <w:r w:rsidRPr="00852C5C">
        <w:rPr>
          <w:rFonts w:cs="Arial"/>
        </w:rPr>
        <w:t xml:space="preserve"> this registry</w:t>
      </w:r>
      <w:r w:rsidR="000A7D0E">
        <w:rPr>
          <w:rFonts w:cs="Arial"/>
        </w:rPr>
        <w:t xml:space="preserve">, also hosted by Tufts Medical </w:t>
      </w:r>
      <w:proofErr w:type="spellStart"/>
      <w:r w:rsidR="000A7D0E">
        <w:rPr>
          <w:rFonts w:cs="Arial"/>
        </w:rPr>
        <w:t>Center</w:t>
      </w:r>
      <w:proofErr w:type="spellEnd"/>
      <w:r w:rsidR="000A7D0E">
        <w:rPr>
          <w:rFonts w:cs="Arial"/>
        </w:rPr>
        <w:t xml:space="preserve">, </w:t>
      </w:r>
      <w:r w:rsidR="004E573E">
        <w:rPr>
          <w:rFonts w:cs="Arial"/>
        </w:rPr>
        <w:t>is a repository of all peer-reviewed cost-per-DALY studies</w:t>
      </w:r>
      <w:r w:rsidR="009E6BAD">
        <w:rPr>
          <w:rFonts w:cs="Arial"/>
        </w:rPr>
        <w:t xml:space="preserve"> published since the 1990s.</w:t>
      </w:r>
      <w:r w:rsidR="00B9225D">
        <w:rPr>
          <w:rFonts w:cs="Arial"/>
        </w:rPr>
        <w:t xml:space="preserve"> It includes 779 studies</w:t>
      </w:r>
      <w:r w:rsidR="007B0079">
        <w:rPr>
          <w:rFonts w:cs="Arial"/>
        </w:rPr>
        <w:t xml:space="preserve"> covering 2,548 unique interventions across 218 countries, </w:t>
      </w:r>
      <w:r w:rsidRPr="00852C5C">
        <w:rPr>
          <w:rFonts w:cs="Arial"/>
        </w:rPr>
        <w:t>covering a large variety of diseases and treatments</w:t>
      </w:r>
      <w:r w:rsidR="007B0079">
        <w:rPr>
          <w:rFonts w:cs="Arial"/>
        </w:rPr>
        <w:t>.</w:t>
      </w:r>
    </w:p>
    <w:p w14:paraId="6E7FF48A" w14:textId="77777777" w:rsidR="00DA1714" w:rsidRDefault="00DA1714" w:rsidP="00A77143">
      <w:pPr>
        <w:spacing w:after="40" w:line="240" w:lineRule="auto"/>
        <w:rPr>
          <w:rFonts w:cs="Arial"/>
        </w:rPr>
      </w:pPr>
    </w:p>
    <w:p w14:paraId="12073657" w14:textId="124149BB" w:rsidR="008F475D" w:rsidRDefault="008F475D" w:rsidP="00A77143">
      <w:pPr>
        <w:spacing w:after="40" w:line="240" w:lineRule="auto"/>
        <w:rPr>
          <w:rFonts w:cs="Arial"/>
          <w:shd w:val="clear" w:color="auto" w:fill="FFFFFF"/>
        </w:rPr>
      </w:pPr>
      <w:r w:rsidRPr="00852C5C">
        <w:rPr>
          <w:rFonts w:cs="Arial"/>
          <w:b/>
        </w:rPr>
        <w:t>Australian Assessing Cost Effectiveness in Prevention Study (ACE-Prevention):</w:t>
      </w:r>
      <w:r w:rsidRPr="00852C5C">
        <w:rPr>
          <w:rFonts w:cs="Arial"/>
        </w:rPr>
        <w:t xml:space="preserve"> this project evaluated cost-effectiveness of 123 illness prevention measures</w:t>
      </w:r>
      <w:r w:rsidRPr="00852C5C">
        <w:rPr>
          <w:rFonts w:cs="Arial"/>
          <w:shd w:val="clear" w:color="auto" w:fill="FFFFFF"/>
        </w:rPr>
        <w:t xml:space="preserve"> and 27 treatment or infectious disease interventions. The studied risk factors included alcohol, tobacco, illicit drugs, physical activity, nutrition, blood pressure and cholesterol, bone mineral density; and diseases as cervical cancer, pre-diabetes, CKD, vision loss, osteoarthritis, influenza, HIV/AIDS, shingles and several mental health diseases. They were modelled for the Australian population using a standard protocol. A separate chapter was dedicated to the Australian Indigenous population. Results were expressed in cost per DALY averted and published in 2010.</w:t>
      </w:r>
      <w:r w:rsidR="00FC3DDD" w:rsidRPr="00852C5C">
        <w:rPr>
          <w:rFonts w:cs="Arial"/>
          <w:shd w:val="clear" w:color="auto" w:fill="FFFFFF"/>
        </w:rPr>
        <w:fldChar w:fldCharType="begin"/>
      </w:r>
      <w:r w:rsidR="003D55B9">
        <w:rPr>
          <w:rFonts w:cs="Arial"/>
          <w:shd w:val="clear" w:color="auto" w:fill="FFFFFF"/>
        </w:rPr>
        <w:instrText xml:space="preserve"> ADDIN EN.CITE &lt;EndNote&gt;&lt;Cite&gt;&lt;Author&gt;Vos&lt;/Author&gt;&lt;Year&gt;2010&lt;/Year&gt;&lt;RecNum&gt;14&lt;/RecNum&gt;&lt;DisplayText&gt;(15)&lt;/DisplayText&gt;&lt;record&gt;&lt;rec-number&gt;14&lt;/rec-number&gt;&lt;foreign-keys&gt;&lt;key app="EN" db-id="rxw0ard092apvse2rzlvtfdxvxef2zd25vz5" timestamp="1611833086"&gt;14&lt;/key&gt;&lt;/foreign-keys&gt;&lt;ref-type name="Report"&gt;27&lt;/ref-type&gt;&lt;contributors&gt;&lt;authors&gt;&lt;author&gt;Vos, T&lt;/author&gt;&lt;author&gt;Carter, R&lt;/author&gt;&lt;author&gt;Barendregt, J&lt;/author&gt;&lt;author&gt;Mihalopoulis, C.&lt;/author&gt;&lt;author&gt;Veerman, L&lt;/author&gt;&lt;author&gt;Magnus, A.&lt;/author&gt;&lt;author&gt;Cobiac, L&lt;/author&gt;&lt;author&gt;Bertram, M&lt;/author&gt;&lt;author&gt;Wallace, A&lt;/author&gt;&lt;author&gt;For the ACE-Prevention Team,&lt;/author&gt;&lt;/authors&gt;&lt;/contributors&gt;&lt;titles&gt;&lt;title&gt;Assessing Cost-Effectiveness in the Prevention (Ace-Prevention): Final Report&lt;/title&gt;&lt;/titles&gt;&lt;dates&gt;&lt;year&gt;2010&lt;/year&gt;&lt;pub-dates&gt;&lt;date&gt;September 2010&lt;/date&gt;&lt;/pub-dates&gt;&lt;/dates&gt;&lt;publisher&gt;University of Queensland and Deakin University&lt;/publisher&gt;&lt;urls&gt;&lt;related-urls&gt;&lt;url&gt;www.sph.uq.edu.au/bodce-ace-prevention&lt;/url&gt;&lt;/related-urls&gt;&lt;/urls&gt;&lt;/record&gt;&lt;/Cite&gt;&lt;/EndNote&gt;</w:instrText>
      </w:r>
      <w:r w:rsidR="00FC3DDD" w:rsidRPr="00852C5C">
        <w:rPr>
          <w:rFonts w:cs="Arial"/>
          <w:shd w:val="clear" w:color="auto" w:fill="FFFFFF"/>
        </w:rPr>
        <w:fldChar w:fldCharType="separate"/>
      </w:r>
      <w:r w:rsidR="003D55B9">
        <w:rPr>
          <w:rFonts w:cs="Arial"/>
          <w:noProof/>
          <w:shd w:val="clear" w:color="auto" w:fill="FFFFFF"/>
        </w:rPr>
        <w:t>(15)</w:t>
      </w:r>
      <w:r w:rsidR="00FC3DDD" w:rsidRPr="00852C5C">
        <w:rPr>
          <w:rFonts w:cs="Arial"/>
          <w:shd w:val="clear" w:color="auto" w:fill="FFFFFF"/>
        </w:rPr>
        <w:fldChar w:fldCharType="end"/>
      </w:r>
      <w:r w:rsidRPr="00852C5C">
        <w:rPr>
          <w:rFonts w:cs="Arial"/>
          <w:shd w:val="clear" w:color="auto" w:fill="FFFFFF"/>
        </w:rPr>
        <w:t xml:space="preserve"> </w:t>
      </w:r>
    </w:p>
    <w:p w14:paraId="0F1400A5" w14:textId="77777777" w:rsidR="00115E81" w:rsidRPr="00852C5C" w:rsidRDefault="00115E81" w:rsidP="00A77143">
      <w:pPr>
        <w:spacing w:after="40" w:line="240" w:lineRule="auto"/>
        <w:rPr>
          <w:rFonts w:cs="Arial"/>
          <w:shd w:val="clear" w:color="auto" w:fill="FFFFFF"/>
        </w:rPr>
      </w:pPr>
    </w:p>
    <w:p w14:paraId="39BC5157" w14:textId="0D69701E" w:rsidR="008F475D" w:rsidRDefault="008F475D" w:rsidP="00A77143">
      <w:pPr>
        <w:spacing w:after="40" w:line="240" w:lineRule="auto"/>
        <w:rPr>
          <w:rFonts w:cs="Arial"/>
          <w:shd w:val="clear" w:color="auto" w:fill="FFFFFF"/>
        </w:rPr>
      </w:pPr>
      <w:r w:rsidRPr="00852C5C">
        <w:rPr>
          <w:rFonts w:cs="Arial"/>
          <w:b/>
          <w:shd w:val="clear" w:color="auto" w:fill="FFFFFF"/>
        </w:rPr>
        <w:t xml:space="preserve">United Kingdom Economic Evaluation Database (EED): </w:t>
      </w:r>
      <w:r w:rsidRPr="00852C5C">
        <w:rPr>
          <w:rFonts w:cs="Arial"/>
          <w:shd w:val="clear" w:color="auto" w:fill="FFFFFF"/>
        </w:rPr>
        <w:t>similar to the Tufts CEA registry, but collated by the University of York.  Includes about 8000 evaluations.</w:t>
      </w:r>
    </w:p>
    <w:p w14:paraId="20FEEEE4" w14:textId="77777777" w:rsidR="00115E81" w:rsidRPr="00852C5C" w:rsidRDefault="00115E81" w:rsidP="00A77143">
      <w:pPr>
        <w:spacing w:after="40" w:line="240" w:lineRule="auto"/>
        <w:rPr>
          <w:rFonts w:cs="Arial"/>
          <w:b/>
          <w:shd w:val="clear" w:color="auto" w:fill="FFFFFF"/>
        </w:rPr>
      </w:pPr>
    </w:p>
    <w:p w14:paraId="0889571E" w14:textId="1180093E" w:rsidR="008F475D" w:rsidRPr="00852C5C" w:rsidRDefault="008F475D" w:rsidP="00A77143">
      <w:pPr>
        <w:spacing w:after="40" w:line="240" w:lineRule="auto"/>
        <w:rPr>
          <w:rFonts w:cs="Arial"/>
        </w:rPr>
      </w:pPr>
      <w:r w:rsidRPr="00852C5C">
        <w:rPr>
          <w:rFonts w:cs="Arial"/>
          <w:b/>
        </w:rPr>
        <w:t>New Zealand Burden of Disease Epidemiology, Equity &amp; Cost-Effectiveness Programme (BODE</w:t>
      </w:r>
      <w:r w:rsidRPr="00852C5C">
        <w:rPr>
          <w:rFonts w:cs="Arial"/>
          <w:b/>
          <w:vertAlign w:val="superscript"/>
        </w:rPr>
        <w:t>3</w:t>
      </w:r>
      <w:r w:rsidRPr="00852C5C">
        <w:rPr>
          <w:rFonts w:cs="Arial"/>
          <w:b/>
        </w:rPr>
        <w:t>) – Interactive League table:</w:t>
      </w:r>
      <w:r w:rsidRPr="00852C5C">
        <w:rPr>
          <w:rFonts w:cs="Arial"/>
        </w:rPr>
        <w:t xml:space="preserve"> this program was developed to estimate health and societal gains, costs, cost-effectiveness and equity impacts of health sector interventions (</w:t>
      </w:r>
      <w:hyperlink r:id="rId16" w:history="1">
        <w:r w:rsidRPr="00852C5C">
          <w:rPr>
            <w:rStyle w:val="Hyperlink"/>
            <w:rFonts w:cs="Arial"/>
            <w:color w:val="auto"/>
          </w:rPr>
          <w:t>http://www.otago.ac.nz/bode3</w:t>
        </w:r>
      </w:hyperlink>
      <w:r w:rsidRPr="00852C5C">
        <w:rPr>
          <w:rFonts w:cs="Arial"/>
        </w:rPr>
        <w:t xml:space="preserve">). The interventions can be compared and ranked in an interactive league table, by QALYs, costs and ICERS. Currently, there are available interventions for cancer, injury prevention, salt reduction and tobacco control. The results can be displayed with uncertainty and by different levels of heterogeneity (e.g. age, sex and ethnicity), and selected outcomes can be presented graphically.  </w:t>
      </w:r>
    </w:p>
    <w:p w14:paraId="17DFCB94" w14:textId="77777777" w:rsidR="008F475D" w:rsidRPr="00852C5C" w:rsidRDefault="008F475D" w:rsidP="008F475D">
      <w:pPr>
        <w:spacing w:line="276" w:lineRule="auto"/>
        <w:rPr>
          <w:rFonts w:eastAsia="Calibri" w:cs="Arial"/>
        </w:rPr>
      </w:pPr>
    </w:p>
    <w:p w14:paraId="65456D56" w14:textId="15B96828" w:rsidR="009630A4" w:rsidRDefault="009630A4">
      <w:pPr>
        <w:rPr>
          <w:rFonts w:asciiTheme="majorHAnsi" w:eastAsiaTheme="majorEastAsia" w:hAnsiTheme="majorHAnsi" w:cstheme="majorBidi"/>
          <w:color w:val="2E74B5" w:themeColor="accent1" w:themeShade="BF"/>
          <w:sz w:val="32"/>
          <w:szCs w:val="32"/>
        </w:rPr>
      </w:pPr>
    </w:p>
    <w:p w14:paraId="3D387EAE" w14:textId="6171C953" w:rsidR="009630A4" w:rsidRPr="004A592B" w:rsidRDefault="009630A4" w:rsidP="009630A4">
      <w:pPr>
        <w:pStyle w:val="Heading1"/>
      </w:pPr>
      <w:bookmarkStart w:id="13" w:name="_Toc72761545"/>
      <w:r>
        <w:t>References</w:t>
      </w:r>
      <w:bookmarkEnd w:id="13"/>
    </w:p>
    <w:p w14:paraId="60FA700F" w14:textId="77777777" w:rsidR="003D55B9" w:rsidRPr="003D55B9" w:rsidRDefault="005113C2" w:rsidP="003D55B9">
      <w:pPr>
        <w:pStyle w:val="EndNoteBibliography"/>
        <w:spacing w:after="0"/>
      </w:pPr>
      <w:r>
        <w:rPr>
          <w:lang w:val="en-AU"/>
        </w:rPr>
        <w:fldChar w:fldCharType="begin"/>
      </w:r>
      <w:r>
        <w:rPr>
          <w:lang w:val="en-AU"/>
        </w:rPr>
        <w:instrText xml:space="preserve"> ADDIN EN.REFLIST </w:instrText>
      </w:r>
      <w:r>
        <w:rPr>
          <w:lang w:val="en-AU"/>
        </w:rPr>
        <w:fldChar w:fldCharType="separate"/>
      </w:r>
      <w:r w:rsidR="003D55B9" w:rsidRPr="003D55B9">
        <w:t>1.</w:t>
      </w:r>
      <w:r w:rsidR="003D55B9" w:rsidRPr="003D55B9">
        <w:tab/>
        <w:t>Williams A. Economics of coronary artery bypass grafting. Br Med J (Clin Res Ed). 1985;261(6491):326-9.</w:t>
      </w:r>
    </w:p>
    <w:p w14:paraId="5686F666" w14:textId="77777777" w:rsidR="003D55B9" w:rsidRPr="003D55B9" w:rsidRDefault="003D55B9" w:rsidP="003D55B9">
      <w:pPr>
        <w:pStyle w:val="EndNoteBibliography"/>
        <w:spacing w:after="0"/>
      </w:pPr>
      <w:r w:rsidRPr="003D55B9">
        <w:t>2.</w:t>
      </w:r>
      <w:r w:rsidRPr="003D55B9">
        <w:tab/>
        <w:t>Chapman RH, Stone PW, Sandberg EA, Bell C, Neumann PJ. A comprehensive league table of cost-utility ratios and a sub-table of "panel-worthy" studies. Medical decision making : an international journal of the Society for Medical Decision Making. 2000;20(4):451-67.</w:t>
      </w:r>
    </w:p>
    <w:p w14:paraId="3DB53F14" w14:textId="77777777" w:rsidR="003D55B9" w:rsidRPr="003D55B9" w:rsidRDefault="003D55B9" w:rsidP="003D55B9">
      <w:pPr>
        <w:pStyle w:val="EndNoteBibliography"/>
        <w:spacing w:after="0"/>
      </w:pPr>
      <w:r w:rsidRPr="003D55B9">
        <w:t>3.</w:t>
      </w:r>
      <w:r w:rsidRPr="003D55B9">
        <w:tab/>
        <w:t>George B, Harris A, Mitchell A. Cost-effectiveness analysis and the consistency of decision making: evidence from pharmaceutical reimbursement in australia (1991 to 1996). PharmacoEconomics. 2001;19(11):1103-9.</w:t>
      </w:r>
    </w:p>
    <w:p w14:paraId="1361FB22" w14:textId="77777777" w:rsidR="003D55B9" w:rsidRPr="003D55B9" w:rsidRDefault="003D55B9" w:rsidP="003D55B9">
      <w:pPr>
        <w:pStyle w:val="EndNoteBibliography"/>
        <w:spacing w:after="0"/>
      </w:pPr>
      <w:r w:rsidRPr="003D55B9">
        <w:t>4.</w:t>
      </w:r>
      <w:r w:rsidRPr="003D55B9">
        <w:tab/>
        <w:t>Pinkerton SD, Johnson-Masotti AP, Holtgrave DR, Farnham PG. Using cost-effectiveness league tables to compare interventions to prevent sexual transmission of HIV. AIDS (London, England). 2001;15(7):917-28.</w:t>
      </w:r>
    </w:p>
    <w:p w14:paraId="68F6BDB1" w14:textId="77777777" w:rsidR="003D55B9" w:rsidRPr="003D55B9" w:rsidRDefault="003D55B9" w:rsidP="003D55B9">
      <w:pPr>
        <w:pStyle w:val="EndNoteBibliography"/>
        <w:spacing w:after="0"/>
      </w:pPr>
      <w:r w:rsidRPr="003D55B9">
        <w:t>5.</w:t>
      </w:r>
      <w:r w:rsidRPr="003D55B9">
        <w:tab/>
        <w:t>Hutubessy RC, Niessen LW, Dijkstra RF, Casparie TF, Rutten FF. Stochastic league tables: an application to diabetes interventions in the Netherlands. Health economics. 2005;14(5):445-55.</w:t>
      </w:r>
    </w:p>
    <w:p w14:paraId="5ACEE424" w14:textId="77777777" w:rsidR="003D55B9" w:rsidRPr="003D55B9" w:rsidRDefault="003D55B9" w:rsidP="003D55B9">
      <w:pPr>
        <w:pStyle w:val="EndNoteBibliography"/>
        <w:spacing w:after="0"/>
      </w:pPr>
      <w:r w:rsidRPr="003D55B9">
        <w:t>6.</w:t>
      </w:r>
      <w:r w:rsidRPr="003D55B9">
        <w:tab/>
        <w:t>Mortimer D, Segal L. Economic evaluation of interventions for problem drinking and alcohol dependence: cost per QALY estimates. Alcohol and alcoholism (Oxford, Oxfordshire). 2005;40(6):549-55.</w:t>
      </w:r>
    </w:p>
    <w:p w14:paraId="79E79742" w14:textId="77777777" w:rsidR="003D55B9" w:rsidRPr="003D55B9" w:rsidRDefault="003D55B9" w:rsidP="003D55B9">
      <w:pPr>
        <w:pStyle w:val="EndNoteBibliography"/>
        <w:spacing w:after="0"/>
      </w:pPr>
      <w:r w:rsidRPr="003D55B9">
        <w:t>7.</w:t>
      </w:r>
      <w:r w:rsidRPr="003D55B9">
        <w:tab/>
        <w:t>Greenberg D, Earle C, Fang CH, Eldar-Lissai A, Neumann PJ. When is cancer care cost-effective? A systematic overview of cost-utility analyses in oncology. Journal of the National Cancer Institute. 2010;102(2):82-8.</w:t>
      </w:r>
    </w:p>
    <w:p w14:paraId="6A70F54F" w14:textId="77777777" w:rsidR="003D55B9" w:rsidRPr="003D55B9" w:rsidRDefault="003D55B9" w:rsidP="003D55B9">
      <w:pPr>
        <w:pStyle w:val="EndNoteBibliography"/>
        <w:spacing w:after="0"/>
      </w:pPr>
      <w:r w:rsidRPr="003D55B9">
        <w:t>8.</w:t>
      </w:r>
      <w:r w:rsidRPr="003D55B9">
        <w:tab/>
        <w:t>Baeten SA, Baltussen RM, Uyl-de Groot CA, Bridges J, Niessen LW. Incorporating equity-efficiency interactions in cost-effectiveness analysis-three approaches applied to breast cancer control. Value in health : the journal of the International Society for Pharmacoeconomics and Outcomes Research. 2010;13(5):573-9.</w:t>
      </w:r>
    </w:p>
    <w:p w14:paraId="65CBC3D5" w14:textId="77777777" w:rsidR="003D55B9" w:rsidRPr="003D55B9" w:rsidRDefault="003D55B9" w:rsidP="003D55B9">
      <w:pPr>
        <w:pStyle w:val="EndNoteBibliography"/>
        <w:spacing w:after="0"/>
      </w:pPr>
      <w:r w:rsidRPr="003D55B9">
        <w:t>9.</w:t>
      </w:r>
      <w:r w:rsidRPr="003D55B9">
        <w:tab/>
        <w:t>Menzin J, Lines LM, Weiner DE, Neumann PJ, Nichols C, Rodriguez L, et al. A review of the costs and cost effectiveness of interventions in chronic kidney disease: implications for policy. PharmacoEconomics. 2011;29(10):839-61.</w:t>
      </w:r>
    </w:p>
    <w:p w14:paraId="63EEC5C7" w14:textId="77777777" w:rsidR="003D55B9" w:rsidRPr="003D55B9" w:rsidRDefault="003D55B9" w:rsidP="003D55B9">
      <w:pPr>
        <w:pStyle w:val="EndNoteBibliography"/>
        <w:spacing w:after="0"/>
      </w:pPr>
      <w:r w:rsidRPr="003D55B9">
        <w:t>10.</w:t>
      </w:r>
      <w:r w:rsidRPr="003D55B9">
        <w:tab/>
        <w:t>Dobbs R, Sawers C, Thompson F, Manyika J, Woetzel J, Child P, et al. Overcoming obesity: An initial economic analysis. 2014.</w:t>
      </w:r>
    </w:p>
    <w:p w14:paraId="58744E21" w14:textId="77777777" w:rsidR="003D55B9" w:rsidRPr="003D55B9" w:rsidRDefault="003D55B9" w:rsidP="003D55B9">
      <w:pPr>
        <w:pStyle w:val="EndNoteBibliography"/>
        <w:spacing w:after="0"/>
      </w:pPr>
      <w:r w:rsidRPr="003D55B9">
        <w:t>11.</w:t>
      </w:r>
      <w:r w:rsidRPr="003D55B9">
        <w:tab/>
        <w:t>Nichols BE, Baltussen R, van Dijk JH, Thuma PE, Nouwen JL, Boucher CA, et al. Cost-effectiveness of PrEP in HIV/AIDS control in Zambia: a stochastic league approach. Journal of acquired immune deficiency syndromes (1999). 2014;66(2):221-8.</w:t>
      </w:r>
    </w:p>
    <w:p w14:paraId="385C911C" w14:textId="77777777" w:rsidR="003D55B9" w:rsidRPr="003D55B9" w:rsidRDefault="003D55B9" w:rsidP="003D55B9">
      <w:pPr>
        <w:pStyle w:val="EndNoteBibliography"/>
        <w:spacing w:after="0"/>
      </w:pPr>
      <w:r w:rsidRPr="003D55B9">
        <w:t>12.</w:t>
      </w:r>
      <w:r w:rsidRPr="003D55B9">
        <w:tab/>
        <w:t>Leigh S, Granby P. A Tale of Two Thresholds: A Framework for Prioritization within the Cancer Drugs Fund. Value in health : the journal of the International Society for Pharmacoeconomics and Outcomes Research. 2016;19(5):567-76.</w:t>
      </w:r>
    </w:p>
    <w:p w14:paraId="3CE89F13" w14:textId="77777777" w:rsidR="003D55B9" w:rsidRPr="003D55B9" w:rsidRDefault="003D55B9" w:rsidP="003D55B9">
      <w:pPr>
        <w:pStyle w:val="EndNoteBibliography"/>
        <w:spacing w:after="0"/>
      </w:pPr>
      <w:r w:rsidRPr="003D55B9">
        <w:t>13.</w:t>
      </w:r>
      <w:r w:rsidRPr="003D55B9">
        <w:tab/>
        <w:t>Chiu C, Johnson LF, Jamieson L, Larson BA, Meyer-Rath G. Designing an optimal HIV programme for South Africa: Does the optimal package change when diminishing returns are considered? BMC Public Health. 2017;17(1):143.</w:t>
      </w:r>
    </w:p>
    <w:p w14:paraId="146E530D" w14:textId="77777777" w:rsidR="003D55B9" w:rsidRPr="003D55B9" w:rsidRDefault="003D55B9" w:rsidP="003D55B9">
      <w:pPr>
        <w:pStyle w:val="EndNoteBibliography"/>
        <w:spacing w:after="0"/>
      </w:pPr>
      <w:r w:rsidRPr="003D55B9">
        <w:t>14.</w:t>
      </w:r>
      <w:r w:rsidRPr="003D55B9">
        <w:tab/>
        <w:t>Wilson N, Davies A, Brewer N, Nghiem N, Cobiac L, Blakely T. Can cost-effectiveness results be combined into a coherent league table? Case study from one high-income country. Popul Health Metr. 2019;17(1):10.</w:t>
      </w:r>
    </w:p>
    <w:p w14:paraId="775873C4" w14:textId="77777777" w:rsidR="003D55B9" w:rsidRPr="003D55B9" w:rsidRDefault="003D55B9" w:rsidP="003D55B9">
      <w:pPr>
        <w:pStyle w:val="EndNoteBibliography"/>
      </w:pPr>
      <w:r w:rsidRPr="003D55B9">
        <w:t>15.</w:t>
      </w:r>
      <w:r w:rsidRPr="003D55B9">
        <w:tab/>
        <w:t>Vos T, Carter R, Barendregt J, Mihalopoulis C, Veerman L, Magnus A, et al. Assessing Cost-Effectiveness in the Prevention (Ace-Prevention): Final Report. University of Queensland and Deakin University; 2010 September 2010.</w:t>
      </w:r>
    </w:p>
    <w:p w14:paraId="00DC39CF" w14:textId="09861175" w:rsidR="003419E6" w:rsidRPr="00852C5C" w:rsidRDefault="005113C2" w:rsidP="000F4A40">
      <w:pPr>
        <w:rPr>
          <w:lang w:val="en-AU"/>
        </w:rPr>
      </w:pPr>
      <w:r>
        <w:rPr>
          <w:lang w:val="en-AU"/>
        </w:rPr>
        <w:fldChar w:fldCharType="end"/>
      </w:r>
    </w:p>
    <w:sectPr w:rsidR="003419E6" w:rsidRPr="00852C5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747961" w14:textId="77777777" w:rsidR="006145EE" w:rsidRDefault="006145EE" w:rsidP="000C2795">
      <w:pPr>
        <w:spacing w:after="0" w:line="240" w:lineRule="auto"/>
      </w:pPr>
      <w:r>
        <w:separator/>
      </w:r>
    </w:p>
  </w:endnote>
  <w:endnote w:type="continuationSeparator" w:id="0">
    <w:p w14:paraId="2CC44EB0" w14:textId="77777777" w:rsidR="006145EE" w:rsidRDefault="006145EE" w:rsidP="000C2795">
      <w:pPr>
        <w:spacing w:after="0" w:line="240" w:lineRule="auto"/>
      </w:pPr>
      <w:r>
        <w:continuationSeparator/>
      </w:r>
    </w:p>
  </w:endnote>
  <w:endnote w:type="continuationNotice" w:id="1">
    <w:p w14:paraId="0BE32D28" w14:textId="77777777" w:rsidR="006145EE" w:rsidRDefault="006145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altName w:val="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Helvetica Neue">
    <w:altName w:val="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26241139"/>
      <w:docPartObj>
        <w:docPartGallery w:val="Page Numbers (Bottom of Page)"/>
        <w:docPartUnique/>
      </w:docPartObj>
    </w:sdtPr>
    <w:sdtEndPr>
      <w:rPr>
        <w:noProof/>
      </w:rPr>
    </w:sdtEndPr>
    <w:sdtContent>
      <w:p w14:paraId="37D96CE1" w14:textId="2E4D6F78" w:rsidR="00037DA4" w:rsidRDefault="00037DA4">
        <w:pPr>
          <w:pStyle w:val="Footer"/>
          <w:jc w:val="right"/>
        </w:pPr>
        <w:r>
          <w:fldChar w:fldCharType="begin"/>
        </w:r>
        <w:r>
          <w:instrText xml:space="preserve"> PAGE   \* MERGEFORMAT </w:instrText>
        </w:r>
        <w:r>
          <w:fldChar w:fldCharType="separate"/>
        </w:r>
        <w:r w:rsidR="009D1CD8">
          <w:rPr>
            <w:noProof/>
          </w:rPr>
          <w:t>29</w:t>
        </w:r>
        <w:r>
          <w:rPr>
            <w:noProof/>
          </w:rPr>
          <w:fldChar w:fldCharType="end"/>
        </w:r>
      </w:p>
    </w:sdtContent>
  </w:sdt>
  <w:p w14:paraId="3635A723" w14:textId="77777777" w:rsidR="00037DA4" w:rsidRDefault="00037D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649484" w14:textId="77777777" w:rsidR="006145EE" w:rsidRDefault="006145EE" w:rsidP="000C2795">
      <w:pPr>
        <w:spacing w:after="0" w:line="240" w:lineRule="auto"/>
      </w:pPr>
      <w:r>
        <w:separator/>
      </w:r>
    </w:p>
  </w:footnote>
  <w:footnote w:type="continuationSeparator" w:id="0">
    <w:p w14:paraId="2A77BCD5" w14:textId="77777777" w:rsidR="006145EE" w:rsidRDefault="006145EE" w:rsidP="000C2795">
      <w:pPr>
        <w:spacing w:after="0" w:line="240" w:lineRule="auto"/>
      </w:pPr>
      <w:r>
        <w:continuationSeparator/>
      </w:r>
    </w:p>
  </w:footnote>
  <w:footnote w:type="continuationNotice" w:id="1">
    <w:p w14:paraId="20EF8852" w14:textId="77777777" w:rsidR="006145EE" w:rsidRDefault="006145E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EC43A1" w14:textId="08AFECAF" w:rsidR="00037DA4" w:rsidRPr="005113C2" w:rsidRDefault="005113C2" w:rsidP="005113C2">
    <w:pPr>
      <w:pStyle w:val="Header"/>
      <w:jc w:val="center"/>
      <w:rPr>
        <w:lang w:val="en-US"/>
      </w:rPr>
    </w:pPr>
    <w:r>
      <w:rPr>
        <w:lang w:val="en-US"/>
      </w:rPr>
      <w:t>Appendix: ANZ-HILT League Table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63B86"/>
    <w:multiLevelType w:val="hybridMultilevel"/>
    <w:tmpl w:val="81DA1A48"/>
    <w:lvl w:ilvl="0" w:tplc="0C090019">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 w15:restartNumberingAfterBreak="0">
    <w:nsid w:val="02E943A3"/>
    <w:multiLevelType w:val="hybridMultilevel"/>
    <w:tmpl w:val="651C7CEA"/>
    <w:lvl w:ilvl="0" w:tplc="BDD08D04">
      <w:start w:val="30"/>
      <w:numFmt w:val="bullet"/>
      <w:lvlText w:val="-"/>
      <w:lvlJc w:val="left"/>
      <w:pPr>
        <w:ind w:left="720" w:hanging="360"/>
      </w:pPr>
      <w:rPr>
        <w:rFonts w:ascii="Arial" w:eastAsia="Times New Roman" w:hAnsi="Arial" w:cs="Aria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2" w15:restartNumberingAfterBreak="0">
    <w:nsid w:val="03A15810"/>
    <w:multiLevelType w:val="hybridMultilevel"/>
    <w:tmpl w:val="E0E658E2"/>
    <w:lvl w:ilvl="0" w:tplc="2F7E700C">
      <w:numFmt w:val="bullet"/>
      <w:lvlText w:val="-"/>
      <w:lvlJc w:val="left"/>
      <w:pPr>
        <w:ind w:left="720" w:hanging="360"/>
      </w:pPr>
      <w:rPr>
        <w:rFonts w:ascii="Calibri" w:eastAsia="Calibri" w:hAnsi="Calibri" w:cs="Calibri"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3" w15:restartNumberingAfterBreak="0">
    <w:nsid w:val="082C3DF8"/>
    <w:multiLevelType w:val="hybridMultilevel"/>
    <w:tmpl w:val="4ABED83C"/>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15:restartNumberingAfterBreak="0">
    <w:nsid w:val="0D356B49"/>
    <w:multiLevelType w:val="hybridMultilevel"/>
    <w:tmpl w:val="57A254DE"/>
    <w:lvl w:ilvl="0" w:tplc="9BF211C0">
      <w:start w:val="549"/>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B32DF0"/>
    <w:multiLevelType w:val="hybridMultilevel"/>
    <w:tmpl w:val="068467D4"/>
    <w:lvl w:ilvl="0" w:tplc="2E00285E">
      <w:start w:val="591"/>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015267"/>
    <w:multiLevelType w:val="multilevel"/>
    <w:tmpl w:val="F6F474E0"/>
    <w:lvl w:ilvl="0">
      <w:start w:val="1"/>
      <w:numFmt w:val="lowerLetter"/>
      <w:lvlText w:val="%1."/>
      <w:lvlJc w:val="left"/>
      <w:pPr>
        <w:tabs>
          <w:tab w:val="num" w:pos="425"/>
        </w:tabs>
        <w:ind w:left="425" w:hanging="425"/>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644"/>
        </w:tabs>
        <w:ind w:left="644"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1FDC60F7"/>
    <w:multiLevelType w:val="hybridMultilevel"/>
    <w:tmpl w:val="BB54347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23BB6C98"/>
    <w:multiLevelType w:val="hybridMultilevel"/>
    <w:tmpl w:val="5CB027E6"/>
    <w:lvl w:ilvl="0" w:tplc="94C60390">
      <w:start w:val="75"/>
      <w:numFmt w:val="bullet"/>
      <w:lvlText w:val="-"/>
      <w:lvlJc w:val="left"/>
      <w:pPr>
        <w:ind w:left="720" w:hanging="360"/>
      </w:pPr>
      <w:rPr>
        <w:rFonts w:ascii="Calibri" w:eastAsiaTheme="minorHAnsi" w:hAnsi="Calibri" w:cstheme="minorBidi" w:hint="default"/>
      </w:rPr>
    </w:lvl>
    <w:lvl w:ilvl="1" w:tplc="14090003">
      <w:start w:val="1"/>
      <w:numFmt w:val="bullet"/>
      <w:lvlText w:val="o"/>
      <w:lvlJc w:val="left"/>
      <w:pPr>
        <w:ind w:left="1440" w:hanging="360"/>
      </w:pPr>
      <w:rPr>
        <w:rFonts w:ascii="Courier New" w:hAnsi="Courier New" w:cs="Courier New" w:hint="default"/>
      </w:rPr>
    </w:lvl>
    <w:lvl w:ilvl="2" w:tplc="14090017">
      <w:start w:val="1"/>
      <w:numFmt w:val="lowerLetter"/>
      <w:lvlText w:val="%3)"/>
      <w:lvlJc w:val="left"/>
      <w:pPr>
        <w:ind w:left="2160" w:hanging="360"/>
      </w:pPr>
      <w:rPr>
        <w:rFonts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26FF486C"/>
    <w:multiLevelType w:val="hybridMultilevel"/>
    <w:tmpl w:val="372E4F32"/>
    <w:lvl w:ilvl="0" w:tplc="B70CE784">
      <w:start w:val="1"/>
      <w:numFmt w:val="decimal"/>
      <w:lvlText w:val="%1."/>
      <w:lvlJc w:val="left"/>
      <w:pPr>
        <w:ind w:left="720" w:hanging="360"/>
      </w:pPr>
      <w:rPr>
        <w:rFonts w:asciiTheme="minorHAnsi" w:eastAsiaTheme="minorHAnsi" w:hAnsiTheme="minorHAnsi" w:cstheme="minorBidi"/>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10" w15:restartNumberingAfterBreak="0">
    <w:nsid w:val="2A5A72F3"/>
    <w:multiLevelType w:val="hybridMultilevel"/>
    <w:tmpl w:val="65FA94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B8924BB"/>
    <w:multiLevelType w:val="hybridMultilevel"/>
    <w:tmpl w:val="B64C290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3C7C1076"/>
    <w:multiLevelType w:val="hybridMultilevel"/>
    <w:tmpl w:val="6E88CFC2"/>
    <w:lvl w:ilvl="0" w:tplc="800CEA76">
      <w:start w:val="1"/>
      <w:numFmt w:val="bullet"/>
      <w:lvlText w:val="-"/>
      <w:lvlJc w:val="left"/>
      <w:pPr>
        <w:ind w:left="720" w:hanging="360"/>
      </w:pPr>
      <w:rPr>
        <w:rFonts w:ascii="Calibri" w:eastAsiaTheme="minorHAnsi"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40012DA9"/>
    <w:multiLevelType w:val="hybridMultilevel"/>
    <w:tmpl w:val="BAD88328"/>
    <w:lvl w:ilvl="0" w:tplc="3F6A3436">
      <w:start w:val="16"/>
      <w:numFmt w:val="bullet"/>
      <w:lvlText w:val="-"/>
      <w:lvlJc w:val="left"/>
      <w:pPr>
        <w:ind w:left="720" w:hanging="360"/>
      </w:pPr>
      <w:rPr>
        <w:rFonts w:ascii="Calibri" w:eastAsiaTheme="minorHAnsi" w:hAnsi="Calibri" w:cstheme="minorBidi"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438B6577"/>
    <w:multiLevelType w:val="hybridMultilevel"/>
    <w:tmpl w:val="65165E9A"/>
    <w:lvl w:ilvl="0" w:tplc="1409000F">
      <w:start w:val="1"/>
      <w:numFmt w:val="decimal"/>
      <w:lvlText w:val="%1."/>
      <w:lvlJc w:val="left"/>
      <w:pPr>
        <w:ind w:left="720" w:hanging="360"/>
      </w:pPr>
      <w:rPr>
        <w:rFonts w:hint="default"/>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5" w15:restartNumberingAfterBreak="0">
    <w:nsid w:val="464C13F9"/>
    <w:multiLevelType w:val="hybridMultilevel"/>
    <w:tmpl w:val="F634A9FC"/>
    <w:lvl w:ilvl="0" w:tplc="970C3328">
      <w:numFmt w:val="bullet"/>
      <w:lvlText w:val="-"/>
      <w:lvlJc w:val="left"/>
      <w:pPr>
        <w:ind w:left="720" w:hanging="360"/>
      </w:pPr>
      <w:rPr>
        <w:rFonts w:ascii="Calibri" w:eastAsiaTheme="minorHAnsi" w:hAnsi="Calibri" w:cstheme="minorBidi"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A2F2E1D"/>
    <w:multiLevelType w:val="multilevel"/>
    <w:tmpl w:val="C262B402"/>
    <w:lvl w:ilvl="0">
      <w:start w:val="1"/>
      <w:numFmt w:val="lowerLetter"/>
      <w:lvlText w:val="%1."/>
      <w:lvlJc w:val="left"/>
      <w:pPr>
        <w:ind w:left="720" w:hanging="360"/>
      </w:pPr>
      <w:rPr>
        <w:strike w:val="0"/>
        <w:dstrike w:val="0"/>
        <w:u w:val="none"/>
        <w:effect w:val="none"/>
      </w:rPr>
    </w:lvl>
    <w:lvl w:ilvl="1">
      <w:start w:val="1"/>
      <w:numFmt w:val="lowerRoman"/>
      <w:lvlText w:val="%2."/>
      <w:lvlJc w:val="right"/>
      <w:pPr>
        <w:ind w:left="1440" w:hanging="360"/>
      </w:pPr>
      <w:rPr>
        <w:strike w:val="0"/>
        <w:dstrike w:val="0"/>
        <w:u w:val="none"/>
        <w:effect w:val="none"/>
      </w:rPr>
    </w:lvl>
    <w:lvl w:ilvl="2">
      <w:start w:val="1"/>
      <w:numFmt w:val="decimal"/>
      <w:lvlText w:val="%3."/>
      <w:lvlJc w:val="left"/>
      <w:pPr>
        <w:ind w:left="2160" w:hanging="360"/>
      </w:pPr>
      <w:rPr>
        <w:strike w:val="0"/>
        <w:dstrike w:val="0"/>
        <w:u w:val="none"/>
        <w:effect w:val="none"/>
      </w:rPr>
    </w:lvl>
    <w:lvl w:ilvl="3">
      <w:start w:val="1"/>
      <w:numFmt w:val="lowerLetter"/>
      <w:lvlText w:val="%4."/>
      <w:lvlJc w:val="left"/>
      <w:pPr>
        <w:ind w:left="2880" w:hanging="360"/>
      </w:pPr>
      <w:rPr>
        <w:strike w:val="0"/>
        <w:dstrike w:val="0"/>
        <w:u w:val="none"/>
        <w:effect w:val="none"/>
      </w:rPr>
    </w:lvl>
    <w:lvl w:ilvl="4">
      <w:start w:val="1"/>
      <w:numFmt w:val="lowerRoman"/>
      <w:lvlText w:val="%5."/>
      <w:lvlJc w:val="right"/>
      <w:pPr>
        <w:ind w:left="3600" w:hanging="360"/>
      </w:pPr>
      <w:rPr>
        <w:strike w:val="0"/>
        <w:dstrike w:val="0"/>
        <w:u w:val="none"/>
        <w:effect w:val="none"/>
      </w:rPr>
    </w:lvl>
    <w:lvl w:ilvl="5">
      <w:start w:val="1"/>
      <w:numFmt w:val="decimal"/>
      <w:lvlText w:val="%6."/>
      <w:lvlJc w:val="left"/>
      <w:pPr>
        <w:ind w:left="4320" w:hanging="360"/>
      </w:pPr>
      <w:rPr>
        <w:strike w:val="0"/>
        <w:dstrike w:val="0"/>
        <w:u w:val="none"/>
        <w:effect w:val="none"/>
      </w:rPr>
    </w:lvl>
    <w:lvl w:ilvl="6">
      <w:start w:val="1"/>
      <w:numFmt w:val="lowerLetter"/>
      <w:lvlText w:val="%7."/>
      <w:lvlJc w:val="left"/>
      <w:pPr>
        <w:ind w:left="5040" w:hanging="360"/>
      </w:pPr>
      <w:rPr>
        <w:strike w:val="0"/>
        <w:dstrike w:val="0"/>
        <w:u w:val="none"/>
        <w:effect w:val="none"/>
      </w:rPr>
    </w:lvl>
    <w:lvl w:ilvl="7">
      <w:start w:val="1"/>
      <w:numFmt w:val="lowerRoman"/>
      <w:lvlText w:val="%8."/>
      <w:lvlJc w:val="right"/>
      <w:pPr>
        <w:ind w:left="5760" w:hanging="360"/>
      </w:pPr>
      <w:rPr>
        <w:strike w:val="0"/>
        <w:dstrike w:val="0"/>
        <w:u w:val="none"/>
        <w:effect w:val="none"/>
      </w:rPr>
    </w:lvl>
    <w:lvl w:ilvl="8">
      <w:start w:val="1"/>
      <w:numFmt w:val="decimal"/>
      <w:lvlText w:val="%9."/>
      <w:lvlJc w:val="left"/>
      <w:pPr>
        <w:ind w:left="6480" w:hanging="360"/>
      </w:pPr>
      <w:rPr>
        <w:strike w:val="0"/>
        <w:dstrike w:val="0"/>
        <w:u w:val="none"/>
        <w:effect w:val="none"/>
      </w:rPr>
    </w:lvl>
  </w:abstractNum>
  <w:abstractNum w:abstractNumId="17" w15:restartNumberingAfterBreak="0">
    <w:nsid w:val="4B400C28"/>
    <w:multiLevelType w:val="hybridMultilevel"/>
    <w:tmpl w:val="ECAAF3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E2F2FF3"/>
    <w:multiLevelType w:val="multilevel"/>
    <w:tmpl w:val="FAF2BA5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5304023B"/>
    <w:multiLevelType w:val="hybridMultilevel"/>
    <w:tmpl w:val="A0EE5EA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886429A"/>
    <w:multiLevelType w:val="hybridMultilevel"/>
    <w:tmpl w:val="FF1EB384"/>
    <w:lvl w:ilvl="0" w:tplc="D788358E">
      <w:numFmt w:val="bullet"/>
      <w:lvlText w:val="-"/>
      <w:lvlJc w:val="left"/>
      <w:pPr>
        <w:ind w:left="720" w:hanging="360"/>
      </w:pPr>
      <w:rPr>
        <w:rFonts w:ascii="Calibri" w:eastAsiaTheme="minorHAnsi" w:hAnsi="Calibri" w:cstheme="minorBid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5E1D5443"/>
    <w:multiLevelType w:val="hybridMultilevel"/>
    <w:tmpl w:val="90021F58"/>
    <w:lvl w:ilvl="0" w:tplc="1409000F">
      <w:numFmt w:val="decimal"/>
      <w:lvlText w:val="%1."/>
      <w:lvlJc w:val="left"/>
      <w:pPr>
        <w:ind w:left="720" w:hanging="360"/>
      </w:pPr>
      <w:rPr>
        <w:rFonts w:hint="default"/>
      </w:r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2" w15:restartNumberingAfterBreak="0">
    <w:nsid w:val="61001110"/>
    <w:multiLevelType w:val="hybridMultilevel"/>
    <w:tmpl w:val="08A61464"/>
    <w:lvl w:ilvl="0" w:tplc="1C5416FC">
      <w:start w:val="10"/>
      <w:numFmt w:val="bullet"/>
      <w:lvlText w:val=""/>
      <w:lvlJc w:val="left"/>
      <w:pPr>
        <w:ind w:left="720" w:hanging="360"/>
      </w:pPr>
      <w:rPr>
        <w:rFonts w:ascii="Wingdings" w:eastAsiaTheme="minorHAnsi" w:hAnsi="Wingdings" w:cstheme="minorBid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3" w15:restartNumberingAfterBreak="0">
    <w:nsid w:val="627602BC"/>
    <w:multiLevelType w:val="hybridMultilevel"/>
    <w:tmpl w:val="21F4FAD0"/>
    <w:lvl w:ilvl="0" w:tplc="14090015">
      <w:start w:val="1"/>
      <w:numFmt w:val="upperLetter"/>
      <w:lvlText w:val="%1."/>
      <w:lvlJc w:val="left"/>
      <w:pPr>
        <w:ind w:left="720" w:hanging="360"/>
      </w:pPr>
      <w:rPr>
        <w:rFonts w:hint="default"/>
      </w:r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4" w15:restartNumberingAfterBreak="0">
    <w:nsid w:val="63190DF4"/>
    <w:multiLevelType w:val="hybridMultilevel"/>
    <w:tmpl w:val="72407AE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63CE2D86"/>
    <w:multiLevelType w:val="hybridMultilevel"/>
    <w:tmpl w:val="65E8CEE4"/>
    <w:lvl w:ilvl="0" w:tplc="14090017">
      <w:start w:val="1"/>
      <w:numFmt w:val="lowerLetter"/>
      <w:lvlText w:val="%1)"/>
      <w:lvlJc w:val="left"/>
      <w:pPr>
        <w:ind w:left="720" w:hanging="360"/>
      </w:p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1409001B">
      <w:start w:val="1"/>
      <w:numFmt w:val="lowerRoman"/>
      <w:lvlText w:val="%6."/>
      <w:lvlJc w:val="right"/>
      <w:pPr>
        <w:ind w:left="4320" w:hanging="180"/>
      </w:pPr>
    </w:lvl>
    <w:lvl w:ilvl="6" w:tplc="1409000F">
      <w:start w:val="1"/>
      <w:numFmt w:val="decimal"/>
      <w:lvlText w:val="%7."/>
      <w:lvlJc w:val="left"/>
      <w:pPr>
        <w:ind w:left="5040" w:hanging="360"/>
      </w:pPr>
    </w:lvl>
    <w:lvl w:ilvl="7" w:tplc="14090019">
      <w:start w:val="1"/>
      <w:numFmt w:val="lowerLetter"/>
      <w:lvlText w:val="%8."/>
      <w:lvlJc w:val="left"/>
      <w:pPr>
        <w:ind w:left="5760" w:hanging="360"/>
      </w:pPr>
    </w:lvl>
    <w:lvl w:ilvl="8" w:tplc="1409001B">
      <w:start w:val="1"/>
      <w:numFmt w:val="lowerRoman"/>
      <w:lvlText w:val="%9."/>
      <w:lvlJc w:val="right"/>
      <w:pPr>
        <w:ind w:left="6480" w:hanging="180"/>
      </w:pPr>
    </w:lvl>
  </w:abstractNum>
  <w:abstractNum w:abstractNumId="26" w15:restartNumberingAfterBreak="0">
    <w:nsid w:val="63CF53DE"/>
    <w:multiLevelType w:val="multilevel"/>
    <w:tmpl w:val="60DAF10A"/>
    <w:lvl w:ilvl="0">
      <w:start w:val="1"/>
      <w:numFmt w:val="lowerLetter"/>
      <w:pStyle w:val="Plainparaa"/>
      <w:lvlText w:val="%1."/>
      <w:lvlJc w:val="left"/>
      <w:pPr>
        <w:tabs>
          <w:tab w:val="num" w:pos="425"/>
        </w:tabs>
        <w:ind w:left="425" w:hanging="425"/>
      </w:pPr>
    </w:lvl>
    <w:lvl w:ilvl="1">
      <w:start w:val="1"/>
      <w:numFmt w:val="lowerLetter"/>
      <w:lvlText w:val="%2)"/>
      <w:lvlJc w:val="left"/>
      <w:pPr>
        <w:tabs>
          <w:tab w:val="num" w:pos="720"/>
        </w:tabs>
        <w:ind w:left="720" w:hanging="360"/>
      </w:pPr>
    </w:lvl>
    <w:lvl w:ilvl="2">
      <w:start w:val="1"/>
      <w:numFmt w:val="bullet"/>
      <w:lvlText w:val=""/>
      <w:lvlJc w:val="left"/>
      <w:pPr>
        <w:tabs>
          <w:tab w:val="num" w:pos="1080"/>
        </w:tabs>
        <w:ind w:left="1080" w:hanging="360"/>
      </w:pPr>
      <w:rPr>
        <w:rFonts w:ascii="Symbol" w:hAnsi="Symbol" w:hint="default"/>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644"/>
        </w:tabs>
        <w:ind w:left="644"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7" w15:restartNumberingAfterBreak="0">
    <w:nsid w:val="65D1511F"/>
    <w:multiLevelType w:val="hybridMultilevel"/>
    <w:tmpl w:val="D6228952"/>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8" w15:restartNumberingAfterBreak="0">
    <w:nsid w:val="70646EAC"/>
    <w:multiLevelType w:val="hybridMultilevel"/>
    <w:tmpl w:val="82AECF2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9" w15:restartNumberingAfterBreak="0">
    <w:nsid w:val="7067600E"/>
    <w:multiLevelType w:val="hybridMultilevel"/>
    <w:tmpl w:val="092E65BC"/>
    <w:lvl w:ilvl="0" w:tplc="43104AF4">
      <w:start w:val="1"/>
      <w:numFmt w:val="decimal"/>
      <w:lvlText w:val="%1."/>
      <w:lvlJc w:val="left"/>
      <w:pPr>
        <w:ind w:left="1080" w:hanging="36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30" w15:restartNumberingAfterBreak="0">
    <w:nsid w:val="75981ED4"/>
    <w:multiLevelType w:val="hybridMultilevel"/>
    <w:tmpl w:val="A0626806"/>
    <w:lvl w:ilvl="0" w:tplc="3A4AB75A">
      <w:start w:val="1"/>
      <w:numFmt w:val="bullet"/>
      <w:lvlText w:val="•"/>
      <w:lvlJc w:val="left"/>
      <w:pPr>
        <w:tabs>
          <w:tab w:val="num" w:pos="720"/>
        </w:tabs>
        <w:ind w:left="720" w:hanging="360"/>
      </w:pPr>
      <w:rPr>
        <w:rFonts w:ascii="Times New Roman" w:hAnsi="Times New Roman" w:hint="default"/>
      </w:rPr>
    </w:lvl>
    <w:lvl w:ilvl="1" w:tplc="989E8334" w:tentative="1">
      <w:start w:val="1"/>
      <w:numFmt w:val="bullet"/>
      <w:lvlText w:val="•"/>
      <w:lvlJc w:val="left"/>
      <w:pPr>
        <w:tabs>
          <w:tab w:val="num" w:pos="1440"/>
        </w:tabs>
        <w:ind w:left="1440" w:hanging="360"/>
      </w:pPr>
      <w:rPr>
        <w:rFonts w:ascii="Times New Roman" w:hAnsi="Times New Roman" w:hint="default"/>
      </w:rPr>
    </w:lvl>
    <w:lvl w:ilvl="2" w:tplc="D138DAF4" w:tentative="1">
      <w:start w:val="1"/>
      <w:numFmt w:val="bullet"/>
      <w:lvlText w:val="•"/>
      <w:lvlJc w:val="left"/>
      <w:pPr>
        <w:tabs>
          <w:tab w:val="num" w:pos="2160"/>
        </w:tabs>
        <w:ind w:left="2160" w:hanging="360"/>
      </w:pPr>
      <w:rPr>
        <w:rFonts w:ascii="Times New Roman" w:hAnsi="Times New Roman" w:hint="default"/>
      </w:rPr>
    </w:lvl>
    <w:lvl w:ilvl="3" w:tplc="71124B56" w:tentative="1">
      <w:start w:val="1"/>
      <w:numFmt w:val="bullet"/>
      <w:lvlText w:val="•"/>
      <w:lvlJc w:val="left"/>
      <w:pPr>
        <w:tabs>
          <w:tab w:val="num" w:pos="2880"/>
        </w:tabs>
        <w:ind w:left="2880" w:hanging="360"/>
      </w:pPr>
      <w:rPr>
        <w:rFonts w:ascii="Times New Roman" w:hAnsi="Times New Roman" w:hint="default"/>
      </w:rPr>
    </w:lvl>
    <w:lvl w:ilvl="4" w:tplc="7774F752" w:tentative="1">
      <w:start w:val="1"/>
      <w:numFmt w:val="bullet"/>
      <w:lvlText w:val="•"/>
      <w:lvlJc w:val="left"/>
      <w:pPr>
        <w:tabs>
          <w:tab w:val="num" w:pos="3600"/>
        </w:tabs>
        <w:ind w:left="3600" w:hanging="360"/>
      </w:pPr>
      <w:rPr>
        <w:rFonts w:ascii="Times New Roman" w:hAnsi="Times New Roman" w:hint="default"/>
      </w:rPr>
    </w:lvl>
    <w:lvl w:ilvl="5" w:tplc="AEF204D8" w:tentative="1">
      <w:start w:val="1"/>
      <w:numFmt w:val="bullet"/>
      <w:lvlText w:val="•"/>
      <w:lvlJc w:val="left"/>
      <w:pPr>
        <w:tabs>
          <w:tab w:val="num" w:pos="4320"/>
        </w:tabs>
        <w:ind w:left="4320" w:hanging="360"/>
      </w:pPr>
      <w:rPr>
        <w:rFonts w:ascii="Times New Roman" w:hAnsi="Times New Roman" w:hint="default"/>
      </w:rPr>
    </w:lvl>
    <w:lvl w:ilvl="6" w:tplc="28BAC680" w:tentative="1">
      <w:start w:val="1"/>
      <w:numFmt w:val="bullet"/>
      <w:lvlText w:val="•"/>
      <w:lvlJc w:val="left"/>
      <w:pPr>
        <w:tabs>
          <w:tab w:val="num" w:pos="5040"/>
        </w:tabs>
        <w:ind w:left="5040" w:hanging="360"/>
      </w:pPr>
      <w:rPr>
        <w:rFonts w:ascii="Times New Roman" w:hAnsi="Times New Roman" w:hint="default"/>
      </w:rPr>
    </w:lvl>
    <w:lvl w:ilvl="7" w:tplc="CF14BCD4" w:tentative="1">
      <w:start w:val="1"/>
      <w:numFmt w:val="bullet"/>
      <w:lvlText w:val="•"/>
      <w:lvlJc w:val="left"/>
      <w:pPr>
        <w:tabs>
          <w:tab w:val="num" w:pos="5760"/>
        </w:tabs>
        <w:ind w:left="5760" w:hanging="360"/>
      </w:pPr>
      <w:rPr>
        <w:rFonts w:ascii="Times New Roman" w:hAnsi="Times New Roman" w:hint="default"/>
      </w:rPr>
    </w:lvl>
    <w:lvl w:ilvl="8" w:tplc="8E6A19E6" w:tentative="1">
      <w:start w:val="1"/>
      <w:numFmt w:val="bullet"/>
      <w:lvlText w:val="•"/>
      <w:lvlJc w:val="left"/>
      <w:pPr>
        <w:tabs>
          <w:tab w:val="num" w:pos="6480"/>
        </w:tabs>
        <w:ind w:left="6480" w:hanging="360"/>
      </w:pPr>
      <w:rPr>
        <w:rFonts w:ascii="Times New Roman" w:hAnsi="Times New Roman" w:hint="default"/>
      </w:rPr>
    </w:lvl>
  </w:abstractNum>
  <w:abstractNum w:abstractNumId="31" w15:restartNumberingAfterBreak="0">
    <w:nsid w:val="7838546D"/>
    <w:multiLevelType w:val="hybridMultilevel"/>
    <w:tmpl w:val="9CCCDFF0"/>
    <w:lvl w:ilvl="0" w:tplc="7CEAA528">
      <w:numFmt w:val="bullet"/>
      <w:lvlText w:val="-"/>
      <w:lvlJc w:val="left"/>
      <w:pPr>
        <w:ind w:left="720" w:hanging="360"/>
      </w:pPr>
      <w:rPr>
        <w:rFonts w:ascii="Calibri" w:eastAsiaTheme="minorHAnsi" w:hAnsi="Calibri" w:cstheme="minorBid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2" w15:restartNumberingAfterBreak="0">
    <w:nsid w:val="7D805A8A"/>
    <w:multiLevelType w:val="multilevel"/>
    <w:tmpl w:val="6688E4DC"/>
    <w:lvl w:ilvl="0">
      <w:start w:val="1"/>
      <w:numFmt w:val="lowerLetter"/>
      <w:lvlText w:val="%1."/>
      <w:lvlJc w:val="left"/>
      <w:pPr>
        <w:tabs>
          <w:tab w:val="num" w:pos="425"/>
        </w:tabs>
        <w:ind w:left="425" w:hanging="425"/>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644"/>
        </w:tabs>
        <w:ind w:left="644" w:hanging="360"/>
      </w:pPr>
    </w:lvl>
    <w:lvl w:ilvl="7">
      <w:start w:val="1"/>
      <w:numFmt w:val="decimal"/>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3" w15:restartNumberingAfterBreak="0">
    <w:nsid w:val="7F7B6106"/>
    <w:multiLevelType w:val="hybridMultilevel"/>
    <w:tmpl w:val="BE14ABA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13"/>
  </w:num>
  <w:num w:numId="2">
    <w:abstractNumId w:val="26"/>
  </w:num>
  <w:num w:numId="3">
    <w:abstractNumId w:val="1"/>
  </w:num>
  <w:num w:numId="4">
    <w:abstractNumId w:val="2"/>
  </w:num>
  <w:num w:numId="5">
    <w:abstractNumId w:val="1"/>
  </w:num>
  <w:num w:numId="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2"/>
  </w:num>
  <w:num w:numId="8">
    <w:abstractNumId w:val="6"/>
  </w:num>
  <w:num w:numId="9">
    <w:abstractNumId w:val="33"/>
  </w:num>
  <w:num w:numId="10">
    <w:abstractNumId w:val="0"/>
  </w:num>
  <w:num w:numId="11">
    <w:abstractNumId w:val="16"/>
  </w:num>
  <w:num w:numId="12">
    <w:abstractNumId w:val="18"/>
  </w:num>
  <w:num w:numId="13">
    <w:abstractNumId w:val="8"/>
  </w:num>
  <w:num w:numId="14">
    <w:abstractNumId w:val="21"/>
  </w:num>
  <w:num w:numId="15">
    <w:abstractNumId w:val="20"/>
  </w:num>
  <w:num w:numId="16">
    <w:abstractNumId w:val="31"/>
  </w:num>
  <w:num w:numId="17">
    <w:abstractNumId w:val="22"/>
  </w:num>
  <w:num w:numId="18">
    <w:abstractNumId w:val="14"/>
  </w:num>
  <w:num w:numId="19">
    <w:abstractNumId w:val="11"/>
  </w:num>
  <w:num w:numId="20">
    <w:abstractNumId w:val="15"/>
  </w:num>
  <w:num w:numId="21">
    <w:abstractNumId w:val="29"/>
  </w:num>
  <w:num w:numId="22">
    <w:abstractNumId w:val="3"/>
  </w:num>
  <w:num w:numId="23">
    <w:abstractNumId w:val="28"/>
  </w:num>
  <w:num w:numId="24">
    <w:abstractNumId w:val="27"/>
  </w:num>
  <w:num w:numId="25">
    <w:abstractNumId w:val="9"/>
    <w:lvlOverride w:ilvl="0">
      <w:startOverride w:val="1"/>
    </w:lvlOverride>
    <w:lvlOverride w:ilvl="1"/>
    <w:lvlOverride w:ilvl="2"/>
    <w:lvlOverride w:ilvl="3"/>
    <w:lvlOverride w:ilvl="4"/>
    <w:lvlOverride w:ilvl="5"/>
    <w:lvlOverride w:ilvl="6"/>
    <w:lvlOverride w:ilvl="7"/>
    <w:lvlOverride w:ilvl="8"/>
  </w:num>
  <w:num w:numId="2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0"/>
  </w:num>
  <w:num w:numId="28">
    <w:abstractNumId w:val="5"/>
  </w:num>
  <w:num w:numId="29">
    <w:abstractNumId w:val="4"/>
  </w:num>
  <w:num w:numId="30">
    <w:abstractNumId w:val="17"/>
  </w:num>
  <w:num w:numId="31">
    <w:abstractNumId w:val="12"/>
  </w:num>
  <w:num w:numId="32">
    <w:abstractNumId w:val="23"/>
  </w:num>
  <w:num w:numId="33">
    <w:abstractNumId w:val="19"/>
  </w:num>
  <w:num w:numId="34">
    <w:abstractNumId w:val="10"/>
  </w:num>
  <w:num w:numId="35">
    <w:abstractNumId w:val="24"/>
  </w:num>
  <w:num w:numId="3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xw0ard092apvse2rzlvtfdxvxef2zd25vz5&quot;&gt;League Table&lt;record-ids&gt;&lt;item&gt;2&lt;/item&gt;&lt;item&gt;14&lt;/item&gt;&lt;item&gt;23&lt;/item&gt;&lt;item&gt;24&lt;/item&gt;&lt;item&gt;25&lt;/item&gt;&lt;item&gt;26&lt;/item&gt;&lt;item&gt;27&lt;/item&gt;&lt;item&gt;28&lt;/item&gt;&lt;item&gt;29&lt;/item&gt;&lt;item&gt;30&lt;/item&gt;&lt;item&gt;31&lt;/item&gt;&lt;item&gt;32&lt;/item&gt;&lt;item&gt;33&lt;/item&gt;&lt;item&gt;34&lt;/item&gt;&lt;item&gt;35&lt;/item&gt;&lt;/record-ids&gt;&lt;/item&gt;&lt;/Libraries&gt;"/>
  </w:docVars>
  <w:rsids>
    <w:rsidRoot w:val="003D544B"/>
    <w:rsid w:val="000035CA"/>
    <w:rsid w:val="00004C66"/>
    <w:rsid w:val="00007657"/>
    <w:rsid w:val="00007FDB"/>
    <w:rsid w:val="000127F5"/>
    <w:rsid w:val="000128A3"/>
    <w:rsid w:val="00013C82"/>
    <w:rsid w:val="000146D0"/>
    <w:rsid w:val="00016118"/>
    <w:rsid w:val="000165B9"/>
    <w:rsid w:val="000172F7"/>
    <w:rsid w:val="000207E4"/>
    <w:rsid w:val="00020E54"/>
    <w:rsid w:val="000215CF"/>
    <w:rsid w:val="0002181A"/>
    <w:rsid w:val="00026F6E"/>
    <w:rsid w:val="00030EFD"/>
    <w:rsid w:val="00031193"/>
    <w:rsid w:val="000320E0"/>
    <w:rsid w:val="000322FB"/>
    <w:rsid w:val="00037DA4"/>
    <w:rsid w:val="00040164"/>
    <w:rsid w:val="000427D5"/>
    <w:rsid w:val="00042D32"/>
    <w:rsid w:val="000440F7"/>
    <w:rsid w:val="00044BD2"/>
    <w:rsid w:val="00046AC0"/>
    <w:rsid w:val="0005029F"/>
    <w:rsid w:val="00050713"/>
    <w:rsid w:val="00051BA8"/>
    <w:rsid w:val="00052194"/>
    <w:rsid w:val="00053DBD"/>
    <w:rsid w:val="00055565"/>
    <w:rsid w:val="0006347C"/>
    <w:rsid w:val="00065646"/>
    <w:rsid w:val="00067D40"/>
    <w:rsid w:val="00072917"/>
    <w:rsid w:val="00073551"/>
    <w:rsid w:val="00073F5E"/>
    <w:rsid w:val="0007442A"/>
    <w:rsid w:val="00075722"/>
    <w:rsid w:val="0007715F"/>
    <w:rsid w:val="00080969"/>
    <w:rsid w:val="00080C42"/>
    <w:rsid w:val="000861E9"/>
    <w:rsid w:val="00090647"/>
    <w:rsid w:val="00093053"/>
    <w:rsid w:val="00093B60"/>
    <w:rsid w:val="00094DB9"/>
    <w:rsid w:val="0009550F"/>
    <w:rsid w:val="000A1EFC"/>
    <w:rsid w:val="000A23FB"/>
    <w:rsid w:val="000A27D8"/>
    <w:rsid w:val="000A28B5"/>
    <w:rsid w:val="000A5C48"/>
    <w:rsid w:val="000A5C5D"/>
    <w:rsid w:val="000A68F7"/>
    <w:rsid w:val="000A6928"/>
    <w:rsid w:val="000A7D0E"/>
    <w:rsid w:val="000B1518"/>
    <w:rsid w:val="000B422F"/>
    <w:rsid w:val="000C0C0F"/>
    <w:rsid w:val="000C1E95"/>
    <w:rsid w:val="000C2795"/>
    <w:rsid w:val="000C2C87"/>
    <w:rsid w:val="000C5177"/>
    <w:rsid w:val="000C6BA1"/>
    <w:rsid w:val="000C70CF"/>
    <w:rsid w:val="000D07AF"/>
    <w:rsid w:val="000D0A4F"/>
    <w:rsid w:val="000D324E"/>
    <w:rsid w:val="000D4399"/>
    <w:rsid w:val="000D4F52"/>
    <w:rsid w:val="000E0C6C"/>
    <w:rsid w:val="000E2429"/>
    <w:rsid w:val="000E3913"/>
    <w:rsid w:val="000E3FAA"/>
    <w:rsid w:val="000E5A7D"/>
    <w:rsid w:val="000E61C9"/>
    <w:rsid w:val="000E620D"/>
    <w:rsid w:val="000E6CD3"/>
    <w:rsid w:val="000E7760"/>
    <w:rsid w:val="000E7D3A"/>
    <w:rsid w:val="000E7DF5"/>
    <w:rsid w:val="000F27A9"/>
    <w:rsid w:val="000F4A40"/>
    <w:rsid w:val="000F5BD5"/>
    <w:rsid w:val="000F66E1"/>
    <w:rsid w:val="001006B8"/>
    <w:rsid w:val="00106EC9"/>
    <w:rsid w:val="00107FAD"/>
    <w:rsid w:val="00110278"/>
    <w:rsid w:val="00111604"/>
    <w:rsid w:val="00115E81"/>
    <w:rsid w:val="0012076A"/>
    <w:rsid w:val="00121960"/>
    <w:rsid w:val="0012215F"/>
    <w:rsid w:val="00126AE8"/>
    <w:rsid w:val="0013157F"/>
    <w:rsid w:val="00133E64"/>
    <w:rsid w:val="0013543F"/>
    <w:rsid w:val="00137FB7"/>
    <w:rsid w:val="00140403"/>
    <w:rsid w:val="0014094E"/>
    <w:rsid w:val="00141900"/>
    <w:rsid w:val="001434A0"/>
    <w:rsid w:val="00144334"/>
    <w:rsid w:val="00150649"/>
    <w:rsid w:val="001520FF"/>
    <w:rsid w:val="00153CF1"/>
    <w:rsid w:val="00153DD4"/>
    <w:rsid w:val="0015494C"/>
    <w:rsid w:val="0015555E"/>
    <w:rsid w:val="00155971"/>
    <w:rsid w:val="00157B8E"/>
    <w:rsid w:val="00161341"/>
    <w:rsid w:val="00161470"/>
    <w:rsid w:val="00161A3D"/>
    <w:rsid w:val="00165A72"/>
    <w:rsid w:val="001669B8"/>
    <w:rsid w:val="00167323"/>
    <w:rsid w:val="001679F9"/>
    <w:rsid w:val="00170312"/>
    <w:rsid w:val="001710D5"/>
    <w:rsid w:val="00171724"/>
    <w:rsid w:val="0017188D"/>
    <w:rsid w:val="001732FB"/>
    <w:rsid w:val="001739BF"/>
    <w:rsid w:val="0017757A"/>
    <w:rsid w:val="00183A75"/>
    <w:rsid w:val="00183AAF"/>
    <w:rsid w:val="00184BD2"/>
    <w:rsid w:val="0018620E"/>
    <w:rsid w:val="0019658F"/>
    <w:rsid w:val="0019675B"/>
    <w:rsid w:val="001A0F6F"/>
    <w:rsid w:val="001A344D"/>
    <w:rsid w:val="001A49EB"/>
    <w:rsid w:val="001A5533"/>
    <w:rsid w:val="001A67BF"/>
    <w:rsid w:val="001B1134"/>
    <w:rsid w:val="001B4DE8"/>
    <w:rsid w:val="001C0095"/>
    <w:rsid w:val="001C0728"/>
    <w:rsid w:val="001C0EE8"/>
    <w:rsid w:val="001C1207"/>
    <w:rsid w:val="001C24A8"/>
    <w:rsid w:val="001C320C"/>
    <w:rsid w:val="001C5563"/>
    <w:rsid w:val="001C7C62"/>
    <w:rsid w:val="001D0C7F"/>
    <w:rsid w:val="001D19C0"/>
    <w:rsid w:val="001D2C34"/>
    <w:rsid w:val="001D3345"/>
    <w:rsid w:val="001D37C8"/>
    <w:rsid w:val="001D3AA7"/>
    <w:rsid w:val="001D472F"/>
    <w:rsid w:val="001D7344"/>
    <w:rsid w:val="001E0471"/>
    <w:rsid w:val="001E0C1A"/>
    <w:rsid w:val="001E3491"/>
    <w:rsid w:val="001E516B"/>
    <w:rsid w:val="001E74E2"/>
    <w:rsid w:val="001E7669"/>
    <w:rsid w:val="001F02D9"/>
    <w:rsid w:val="001F0513"/>
    <w:rsid w:val="001F12B6"/>
    <w:rsid w:val="001F15B8"/>
    <w:rsid w:val="001F275F"/>
    <w:rsid w:val="001F2FA9"/>
    <w:rsid w:val="001F32C5"/>
    <w:rsid w:val="001F3E4D"/>
    <w:rsid w:val="001F758F"/>
    <w:rsid w:val="00201C9D"/>
    <w:rsid w:val="00202959"/>
    <w:rsid w:val="002041D6"/>
    <w:rsid w:val="002041F6"/>
    <w:rsid w:val="00204445"/>
    <w:rsid w:val="00205193"/>
    <w:rsid w:val="00211F45"/>
    <w:rsid w:val="00213BD8"/>
    <w:rsid w:val="00214390"/>
    <w:rsid w:val="0021537C"/>
    <w:rsid w:val="00215797"/>
    <w:rsid w:val="00216006"/>
    <w:rsid w:val="0021625C"/>
    <w:rsid w:val="00216728"/>
    <w:rsid w:val="002175F7"/>
    <w:rsid w:val="002216FE"/>
    <w:rsid w:val="00222C5C"/>
    <w:rsid w:val="00227E36"/>
    <w:rsid w:val="00231695"/>
    <w:rsid w:val="00231C6A"/>
    <w:rsid w:val="0023268E"/>
    <w:rsid w:val="00233EB3"/>
    <w:rsid w:val="0024242D"/>
    <w:rsid w:val="00242BB5"/>
    <w:rsid w:val="00244EC9"/>
    <w:rsid w:val="002464CF"/>
    <w:rsid w:val="00246641"/>
    <w:rsid w:val="00246F20"/>
    <w:rsid w:val="002505C4"/>
    <w:rsid w:val="002526FE"/>
    <w:rsid w:val="002555FD"/>
    <w:rsid w:val="00255F6D"/>
    <w:rsid w:val="002573C8"/>
    <w:rsid w:val="002602DA"/>
    <w:rsid w:val="002613D6"/>
    <w:rsid w:val="00262A9C"/>
    <w:rsid w:val="00263EC0"/>
    <w:rsid w:val="00265BC7"/>
    <w:rsid w:val="00270946"/>
    <w:rsid w:val="00272500"/>
    <w:rsid w:val="00272FCD"/>
    <w:rsid w:val="00273A43"/>
    <w:rsid w:val="00273CDE"/>
    <w:rsid w:val="00274A7C"/>
    <w:rsid w:val="00274EA8"/>
    <w:rsid w:val="002753DA"/>
    <w:rsid w:val="00275947"/>
    <w:rsid w:val="002779DA"/>
    <w:rsid w:val="0028042B"/>
    <w:rsid w:val="00284CBE"/>
    <w:rsid w:val="00285EEE"/>
    <w:rsid w:val="0028653D"/>
    <w:rsid w:val="00286937"/>
    <w:rsid w:val="00292342"/>
    <w:rsid w:val="002958C6"/>
    <w:rsid w:val="002A03C3"/>
    <w:rsid w:val="002A0721"/>
    <w:rsid w:val="002A0888"/>
    <w:rsid w:val="002A1C6E"/>
    <w:rsid w:val="002A3D48"/>
    <w:rsid w:val="002A3D9B"/>
    <w:rsid w:val="002A64D3"/>
    <w:rsid w:val="002A694F"/>
    <w:rsid w:val="002B1075"/>
    <w:rsid w:val="002B1AF0"/>
    <w:rsid w:val="002B2BEB"/>
    <w:rsid w:val="002B2D86"/>
    <w:rsid w:val="002B7D04"/>
    <w:rsid w:val="002C0C00"/>
    <w:rsid w:val="002C308F"/>
    <w:rsid w:val="002C5481"/>
    <w:rsid w:val="002C6523"/>
    <w:rsid w:val="002C78EA"/>
    <w:rsid w:val="002D5A17"/>
    <w:rsid w:val="002E03B2"/>
    <w:rsid w:val="002E1CBB"/>
    <w:rsid w:val="002E1EF2"/>
    <w:rsid w:val="002E3D5C"/>
    <w:rsid w:val="002E5024"/>
    <w:rsid w:val="002E5C66"/>
    <w:rsid w:val="002E70FD"/>
    <w:rsid w:val="002F2DE1"/>
    <w:rsid w:val="002F3034"/>
    <w:rsid w:val="002F5008"/>
    <w:rsid w:val="002F5F05"/>
    <w:rsid w:val="002F62E0"/>
    <w:rsid w:val="002F6D93"/>
    <w:rsid w:val="002F7013"/>
    <w:rsid w:val="002F76CB"/>
    <w:rsid w:val="00301B66"/>
    <w:rsid w:val="003049EC"/>
    <w:rsid w:val="00305301"/>
    <w:rsid w:val="003066AF"/>
    <w:rsid w:val="00312107"/>
    <w:rsid w:val="0031229C"/>
    <w:rsid w:val="00316477"/>
    <w:rsid w:val="00320604"/>
    <w:rsid w:val="00321F3A"/>
    <w:rsid w:val="00323BDB"/>
    <w:rsid w:val="0032576F"/>
    <w:rsid w:val="00325CED"/>
    <w:rsid w:val="00326357"/>
    <w:rsid w:val="00326560"/>
    <w:rsid w:val="00326AB0"/>
    <w:rsid w:val="00327DEC"/>
    <w:rsid w:val="0033283B"/>
    <w:rsid w:val="003332F7"/>
    <w:rsid w:val="00335CD6"/>
    <w:rsid w:val="0033702A"/>
    <w:rsid w:val="003419E6"/>
    <w:rsid w:val="00342BB8"/>
    <w:rsid w:val="003430C2"/>
    <w:rsid w:val="00346230"/>
    <w:rsid w:val="00355E83"/>
    <w:rsid w:val="003565D0"/>
    <w:rsid w:val="00361494"/>
    <w:rsid w:val="0036322E"/>
    <w:rsid w:val="00363C5D"/>
    <w:rsid w:val="00365491"/>
    <w:rsid w:val="00367537"/>
    <w:rsid w:val="00370FDC"/>
    <w:rsid w:val="003749E1"/>
    <w:rsid w:val="00374B93"/>
    <w:rsid w:val="00374D27"/>
    <w:rsid w:val="0037577D"/>
    <w:rsid w:val="00376FFE"/>
    <w:rsid w:val="00377598"/>
    <w:rsid w:val="00380D2B"/>
    <w:rsid w:val="00382658"/>
    <w:rsid w:val="003829A7"/>
    <w:rsid w:val="003829E7"/>
    <w:rsid w:val="0038428F"/>
    <w:rsid w:val="00390A0D"/>
    <w:rsid w:val="00391B3A"/>
    <w:rsid w:val="00391B4B"/>
    <w:rsid w:val="00392658"/>
    <w:rsid w:val="00392732"/>
    <w:rsid w:val="003940AE"/>
    <w:rsid w:val="00396383"/>
    <w:rsid w:val="0039678B"/>
    <w:rsid w:val="003A1147"/>
    <w:rsid w:val="003A1F19"/>
    <w:rsid w:val="003A3025"/>
    <w:rsid w:val="003A321F"/>
    <w:rsid w:val="003A3DD4"/>
    <w:rsid w:val="003A4C7B"/>
    <w:rsid w:val="003A58AF"/>
    <w:rsid w:val="003A6A7C"/>
    <w:rsid w:val="003B0411"/>
    <w:rsid w:val="003B0519"/>
    <w:rsid w:val="003B2505"/>
    <w:rsid w:val="003B44F7"/>
    <w:rsid w:val="003B54A3"/>
    <w:rsid w:val="003B61C4"/>
    <w:rsid w:val="003B7C68"/>
    <w:rsid w:val="003C0089"/>
    <w:rsid w:val="003C2BB1"/>
    <w:rsid w:val="003C3A1B"/>
    <w:rsid w:val="003C5D5B"/>
    <w:rsid w:val="003D093F"/>
    <w:rsid w:val="003D2823"/>
    <w:rsid w:val="003D2A9F"/>
    <w:rsid w:val="003D544B"/>
    <w:rsid w:val="003D55B9"/>
    <w:rsid w:val="003D5D7A"/>
    <w:rsid w:val="003D71DD"/>
    <w:rsid w:val="003E2959"/>
    <w:rsid w:val="003E3101"/>
    <w:rsid w:val="003E322F"/>
    <w:rsid w:val="003E3AF4"/>
    <w:rsid w:val="003E4D6C"/>
    <w:rsid w:val="003E767C"/>
    <w:rsid w:val="003F08B3"/>
    <w:rsid w:val="003F2ADE"/>
    <w:rsid w:val="00400484"/>
    <w:rsid w:val="00402FB9"/>
    <w:rsid w:val="004038A6"/>
    <w:rsid w:val="004038CB"/>
    <w:rsid w:val="00405494"/>
    <w:rsid w:val="00405A07"/>
    <w:rsid w:val="00406B98"/>
    <w:rsid w:val="00410D37"/>
    <w:rsid w:val="00411E19"/>
    <w:rsid w:val="004124C0"/>
    <w:rsid w:val="00412F01"/>
    <w:rsid w:val="004149F0"/>
    <w:rsid w:val="004155F9"/>
    <w:rsid w:val="0041706A"/>
    <w:rsid w:val="0041727D"/>
    <w:rsid w:val="00420FBF"/>
    <w:rsid w:val="004213E5"/>
    <w:rsid w:val="004235AF"/>
    <w:rsid w:val="00425101"/>
    <w:rsid w:val="00427A87"/>
    <w:rsid w:val="0043106F"/>
    <w:rsid w:val="00431475"/>
    <w:rsid w:val="00432739"/>
    <w:rsid w:val="0043291B"/>
    <w:rsid w:val="00433A37"/>
    <w:rsid w:val="0043464D"/>
    <w:rsid w:val="00434ABC"/>
    <w:rsid w:val="004356F7"/>
    <w:rsid w:val="00436AD8"/>
    <w:rsid w:val="00436E84"/>
    <w:rsid w:val="004419EB"/>
    <w:rsid w:val="00442DBF"/>
    <w:rsid w:val="00443D4E"/>
    <w:rsid w:val="0044523C"/>
    <w:rsid w:val="0044576A"/>
    <w:rsid w:val="00445F1D"/>
    <w:rsid w:val="00451572"/>
    <w:rsid w:val="00451A79"/>
    <w:rsid w:val="00455821"/>
    <w:rsid w:val="00455E42"/>
    <w:rsid w:val="00456D4C"/>
    <w:rsid w:val="0045745A"/>
    <w:rsid w:val="004605D2"/>
    <w:rsid w:val="0046388A"/>
    <w:rsid w:val="00463D68"/>
    <w:rsid w:val="004679BE"/>
    <w:rsid w:val="00467E7A"/>
    <w:rsid w:val="00470F82"/>
    <w:rsid w:val="00472B85"/>
    <w:rsid w:val="00473C21"/>
    <w:rsid w:val="00474FE0"/>
    <w:rsid w:val="0047620E"/>
    <w:rsid w:val="004774C0"/>
    <w:rsid w:val="00477865"/>
    <w:rsid w:val="00480518"/>
    <w:rsid w:val="00482003"/>
    <w:rsid w:val="00482E98"/>
    <w:rsid w:val="0048314F"/>
    <w:rsid w:val="00483A5E"/>
    <w:rsid w:val="00485CFA"/>
    <w:rsid w:val="00486538"/>
    <w:rsid w:val="004879D6"/>
    <w:rsid w:val="00494610"/>
    <w:rsid w:val="0049584A"/>
    <w:rsid w:val="004A1F04"/>
    <w:rsid w:val="004A1FD9"/>
    <w:rsid w:val="004A327B"/>
    <w:rsid w:val="004A4E68"/>
    <w:rsid w:val="004A592B"/>
    <w:rsid w:val="004A5F21"/>
    <w:rsid w:val="004B1356"/>
    <w:rsid w:val="004B25EE"/>
    <w:rsid w:val="004B3857"/>
    <w:rsid w:val="004B3D61"/>
    <w:rsid w:val="004B5197"/>
    <w:rsid w:val="004B68CF"/>
    <w:rsid w:val="004C187F"/>
    <w:rsid w:val="004C1A26"/>
    <w:rsid w:val="004C60DE"/>
    <w:rsid w:val="004C618E"/>
    <w:rsid w:val="004C67DB"/>
    <w:rsid w:val="004C68B3"/>
    <w:rsid w:val="004D2E1D"/>
    <w:rsid w:val="004D4CD7"/>
    <w:rsid w:val="004D64F8"/>
    <w:rsid w:val="004D752C"/>
    <w:rsid w:val="004D7CC5"/>
    <w:rsid w:val="004E1DDC"/>
    <w:rsid w:val="004E2839"/>
    <w:rsid w:val="004E573E"/>
    <w:rsid w:val="004F435B"/>
    <w:rsid w:val="004F5B81"/>
    <w:rsid w:val="004F6D90"/>
    <w:rsid w:val="00501333"/>
    <w:rsid w:val="00501FF0"/>
    <w:rsid w:val="00503006"/>
    <w:rsid w:val="00507893"/>
    <w:rsid w:val="005079D8"/>
    <w:rsid w:val="005113C2"/>
    <w:rsid w:val="00511F23"/>
    <w:rsid w:val="005237E9"/>
    <w:rsid w:val="00523E39"/>
    <w:rsid w:val="0052460B"/>
    <w:rsid w:val="00524A57"/>
    <w:rsid w:val="00530892"/>
    <w:rsid w:val="00530CFD"/>
    <w:rsid w:val="005320C7"/>
    <w:rsid w:val="00537558"/>
    <w:rsid w:val="0054045D"/>
    <w:rsid w:val="005429FF"/>
    <w:rsid w:val="00545BBD"/>
    <w:rsid w:val="0055069F"/>
    <w:rsid w:val="00551674"/>
    <w:rsid w:val="005525BE"/>
    <w:rsid w:val="00552BD8"/>
    <w:rsid w:val="00553BE8"/>
    <w:rsid w:val="00554022"/>
    <w:rsid w:val="00560751"/>
    <w:rsid w:val="00563D9F"/>
    <w:rsid w:val="00565369"/>
    <w:rsid w:val="00570363"/>
    <w:rsid w:val="005719D8"/>
    <w:rsid w:val="00573584"/>
    <w:rsid w:val="00573951"/>
    <w:rsid w:val="005755AD"/>
    <w:rsid w:val="00575B95"/>
    <w:rsid w:val="005763A0"/>
    <w:rsid w:val="00577832"/>
    <w:rsid w:val="00577E41"/>
    <w:rsid w:val="005804DF"/>
    <w:rsid w:val="00582A7D"/>
    <w:rsid w:val="00583CD5"/>
    <w:rsid w:val="00585B94"/>
    <w:rsid w:val="005901DB"/>
    <w:rsid w:val="005905E3"/>
    <w:rsid w:val="0059140F"/>
    <w:rsid w:val="00593B50"/>
    <w:rsid w:val="0059621C"/>
    <w:rsid w:val="005A0DC1"/>
    <w:rsid w:val="005A4C30"/>
    <w:rsid w:val="005A5076"/>
    <w:rsid w:val="005A6BE6"/>
    <w:rsid w:val="005A78F6"/>
    <w:rsid w:val="005B03BC"/>
    <w:rsid w:val="005B117A"/>
    <w:rsid w:val="005B1716"/>
    <w:rsid w:val="005B6074"/>
    <w:rsid w:val="005B653D"/>
    <w:rsid w:val="005B73DD"/>
    <w:rsid w:val="005C411F"/>
    <w:rsid w:val="005D7CD7"/>
    <w:rsid w:val="005E0EE1"/>
    <w:rsid w:val="005E1096"/>
    <w:rsid w:val="005E391D"/>
    <w:rsid w:val="005E55BB"/>
    <w:rsid w:val="005F0AE4"/>
    <w:rsid w:val="005F3FF9"/>
    <w:rsid w:val="005F560F"/>
    <w:rsid w:val="005F7367"/>
    <w:rsid w:val="005F7A4B"/>
    <w:rsid w:val="006003A7"/>
    <w:rsid w:val="006005CA"/>
    <w:rsid w:val="00600934"/>
    <w:rsid w:val="006012ED"/>
    <w:rsid w:val="00601C84"/>
    <w:rsid w:val="00602AE2"/>
    <w:rsid w:val="00603A81"/>
    <w:rsid w:val="00604CDD"/>
    <w:rsid w:val="00606753"/>
    <w:rsid w:val="00606B17"/>
    <w:rsid w:val="006078E2"/>
    <w:rsid w:val="0061122B"/>
    <w:rsid w:val="006145EE"/>
    <w:rsid w:val="00614688"/>
    <w:rsid w:val="00615017"/>
    <w:rsid w:val="00616A22"/>
    <w:rsid w:val="006172F8"/>
    <w:rsid w:val="006176D9"/>
    <w:rsid w:val="00617BC6"/>
    <w:rsid w:val="00622BC4"/>
    <w:rsid w:val="006236D5"/>
    <w:rsid w:val="0062375E"/>
    <w:rsid w:val="00625A1C"/>
    <w:rsid w:val="00630A0D"/>
    <w:rsid w:val="006311C6"/>
    <w:rsid w:val="0063146A"/>
    <w:rsid w:val="00634A7C"/>
    <w:rsid w:val="00635400"/>
    <w:rsid w:val="00635D36"/>
    <w:rsid w:val="006424EE"/>
    <w:rsid w:val="00642BCD"/>
    <w:rsid w:val="00643FE4"/>
    <w:rsid w:val="00646B73"/>
    <w:rsid w:val="00647375"/>
    <w:rsid w:val="00650C53"/>
    <w:rsid w:val="006539DC"/>
    <w:rsid w:val="00655988"/>
    <w:rsid w:val="00656195"/>
    <w:rsid w:val="006622A6"/>
    <w:rsid w:val="00663C2F"/>
    <w:rsid w:val="00665AC3"/>
    <w:rsid w:val="00665B5C"/>
    <w:rsid w:val="00665D93"/>
    <w:rsid w:val="006661E1"/>
    <w:rsid w:val="0066687F"/>
    <w:rsid w:val="006668FE"/>
    <w:rsid w:val="006672C5"/>
    <w:rsid w:val="0066769D"/>
    <w:rsid w:val="00673B87"/>
    <w:rsid w:val="00674172"/>
    <w:rsid w:val="00675B1E"/>
    <w:rsid w:val="0067775C"/>
    <w:rsid w:val="00677AEF"/>
    <w:rsid w:val="006813AD"/>
    <w:rsid w:val="00681C24"/>
    <w:rsid w:val="00683870"/>
    <w:rsid w:val="00690B2E"/>
    <w:rsid w:val="00692C16"/>
    <w:rsid w:val="00695046"/>
    <w:rsid w:val="0069555E"/>
    <w:rsid w:val="00696C7A"/>
    <w:rsid w:val="00696F5F"/>
    <w:rsid w:val="006A013E"/>
    <w:rsid w:val="006A3DA0"/>
    <w:rsid w:val="006A51F6"/>
    <w:rsid w:val="006A666E"/>
    <w:rsid w:val="006B45BC"/>
    <w:rsid w:val="006B6236"/>
    <w:rsid w:val="006B6637"/>
    <w:rsid w:val="006B6C62"/>
    <w:rsid w:val="006B7EB7"/>
    <w:rsid w:val="006C32E2"/>
    <w:rsid w:val="006D192E"/>
    <w:rsid w:val="006D3047"/>
    <w:rsid w:val="006D531E"/>
    <w:rsid w:val="006D54DE"/>
    <w:rsid w:val="006D717C"/>
    <w:rsid w:val="006D76E3"/>
    <w:rsid w:val="006D7E7C"/>
    <w:rsid w:val="006E1640"/>
    <w:rsid w:val="006E189D"/>
    <w:rsid w:val="006E2EE4"/>
    <w:rsid w:val="006E45C3"/>
    <w:rsid w:val="006E6A62"/>
    <w:rsid w:val="006E72CC"/>
    <w:rsid w:val="006E7B6C"/>
    <w:rsid w:val="006F16F9"/>
    <w:rsid w:val="006F32BE"/>
    <w:rsid w:val="006F5CAC"/>
    <w:rsid w:val="006F5CF0"/>
    <w:rsid w:val="0070199C"/>
    <w:rsid w:val="00701FC3"/>
    <w:rsid w:val="007026F1"/>
    <w:rsid w:val="00703326"/>
    <w:rsid w:val="00705945"/>
    <w:rsid w:val="00711382"/>
    <w:rsid w:val="00712EB3"/>
    <w:rsid w:val="00713982"/>
    <w:rsid w:val="007139E2"/>
    <w:rsid w:val="00715920"/>
    <w:rsid w:val="00715D76"/>
    <w:rsid w:val="00717692"/>
    <w:rsid w:val="007201C9"/>
    <w:rsid w:val="007201D3"/>
    <w:rsid w:val="0072216F"/>
    <w:rsid w:val="00724362"/>
    <w:rsid w:val="00724D40"/>
    <w:rsid w:val="00725774"/>
    <w:rsid w:val="007265F2"/>
    <w:rsid w:val="00726DB6"/>
    <w:rsid w:val="0072782E"/>
    <w:rsid w:val="00730C41"/>
    <w:rsid w:val="00733AB6"/>
    <w:rsid w:val="00733FC0"/>
    <w:rsid w:val="00735C21"/>
    <w:rsid w:val="0074022F"/>
    <w:rsid w:val="00740422"/>
    <w:rsid w:val="007437BE"/>
    <w:rsid w:val="00744C17"/>
    <w:rsid w:val="00744C19"/>
    <w:rsid w:val="00746D32"/>
    <w:rsid w:val="0075049C"/>
    <w:rsid w:val="00757430"/>
    <w:rsid w:val="00763974"/>
    <w:rsid w:val="007654E8"/>
    <w:rsid w:val="0076626E"/>
    <w:rsid w:val="00770B87"/>
    <w:rsid w:val="00771D98"/>
    <w:rsid w:val="00773FBB"/>
    <w:rsid w:val="0077454C"/>
    <w:rsid w:val="00775639"/>
    <w:rsid w:val="007758D6"/>
    <w:rsid w:val="00777A4B"/>
    <w:rsid w:val="00781B5A"/>
    <w:rsid w:val="00782B20"/>
    <w:rsid w:val="00785433"/>
    <w:rsid w:val="00790EEC"/>
    <w:rsid w:val="00792419"/>
    <w:rsid w:val="00795FB4"/>
    <w:rsid w:val="0079785E"/>
    <w:rsid w:val="00797ED1"/>
    <w:rsid w:val="007A3515"/>
    <w:rsid w:val="007A3D85"/>
    <w:rsid w:val="007A6072"/>
    <w:rsid w:val="007A7871"/>
    <w:rsid w:val="007B0079"/>
    <w:rsid w:val="007B0E27"/>
    <w:rsid w:val="007B2851"/>
    <w:rsid w:val="007B577F"/>
    <w:rsid w:val="007B63B3"/>
    <w:rsid w:val="007B6B9F"/>
    <w:rsid w:val="007B7B3C"/>
    <w:rsid w:val="007C071F"/>
    <w:rsid w:val="007D471D"/>
    <w:rsid w:val="007D741A"/>
    <w:rsid w:val="007D7595"/>
    <w:rsid w:val="007E4011"/>
    <w:rsid w:val="007E6B6C"/>
    <w:rsid w:val="007E713C"/>
    <w:rsid w:val="007F1213"/>
    <w:rsid w:val="007F4BFF"/>
    <w:rsid w:val="007F5382"/>
    <w:rsid w:val="0080264C"/>
    <w:rsid w:val="0080592C"/>
    <w:rsid w:val="0080730B"/>
    <w:rsid w:val="0081060D"/>
    <w:rsid w:val="00811E6B"/>
    <w:rsid w:val="0081234A"/>
    <w:rsid w:val="008144D7"/>
    <w:rsid w:val="00814683"/>
    <w:rsid w:val="00815292"/>
    <w:rsid w:val="00815D99"/>
    <w:rsid w:val="00821E24"/>
    <w:rsid w:val="00822781"/>
    <w:rsid w:val="0082603B"/>
    <w:rsid w:val="00826D93"/>
    <w:rsid w:val="00826F1E"/>
    <w:rsid w:val="00832B09"/>
    <w:rsid w:val="008339A7"/>
    <w:rsid w:val="008408C7"/>
    <w:rsid w:val="00841708"/>
    <w:rsid w:val="00841833"/>
    <w:rsid w:val="0084546C"/>
    <w:rsid w:val="00845B17"/>
    <w:rsid w:val="008514F4"/>
    <w:rsid w:val="008516C0"/>
    <w:rsid w:val="00851B71"/>
    <w:rsid w:val="00852C5C"/>
    <w:rsid w:val="008542E9"/>
    <w:rsid w:val="008550C7"/>
    <w:rsid w:val="00855B43"/>
    <w:rsid w:val="008579C9"/>
    <w:rsid w:val="008619B6"/>
    <w:rsid w:val="00861E0D"/>
    <w:rsid w:val="00862D0D"/>
    <w:rsid w:val="00863947"/>
    <w:rsid w:val="00870DA0"/>
    <w:rsid w:val="0087257F"/>
    <w:rsid w:val="00873591"/>
    <w:rsid w:val="00874134"/>
    <w:rsid w:val="00874D50"/>
    <w:rsid w:val="00877677"/>
    <w:rsid w:val="00877BD7"/>
    <w:rsid w:val="008809CA"/>
    <w:rsid w:val="008811CB"/>
    <w:rsid w:val="00883A96"/>
    <w:rsid w:val="00883D98"/>
    <w:rsid w:val="008843CA"/>
    <w:rsid w:val="0088478A"/>
    <w:rsid w:val="008871C6"/>
    <w:rsid w:val="008921DF"/>
    <w:rsid w:val="008923DD"/>
    <w:rsid w:val="00894412"/>
    <w:rsid w:val="00894804"/>
    <w:rsid w:val="00896FC2"/>
    <w:rsid w:val="00897108"/>
    <w:rsid w:val="008A50EE"/>
    <w:rsid w:val="008B0A06"/>
    <w:rsid w:val="008B1E0B"/>
    <w:rsid w:val="008B2BA9"/>
    <w:rsid w:val="008B2F14"/>
    <w:rsid w:val="008B4FEA"/>
    <w:rsid w:val="008B7E53"/>
    <w:rsid w:val="008C3A22"/>
    <w:rsid w:val="008C528E"/>
    <w:rsid w:val="008C55E8"/>
    <w:rsid w:val="008C5884"/>
    <w:rsid w:val="008D2AF2"/>
    <w:rsid w:val="008D331E"/>
    <w:rsid w:val="008D73DA"/>
    <w:rsid w:val="008E0502"/>
    <w:rsid w:val="008E167E"/>
    <w:rsid w:val="008E32B2"/>
    <w:rsid w:val="008E43C5"/>
    <w:rsid w:val="008E6060"/>
    <w:rsid w:val="008E653C"/>
    <w:rsid w:val="008F2935"/>
    <w:rsid w:val="008F3491"/>
    <w:rsid w:val="008F475D"/>
    <w:rsid w:val="008F4DA3"/>
    <w:rsid w:val="008F6100"/>
    <w:rsid w:val="009004EF"/>
    <w:rsid w:val="00901159"/>
    <w:rsid w:val="009011CA"/>
    <w:rsid w:val="009028AF"/>
    <w:rsid w:val="00903C18"/>
    <w:rsid w:val="00904415"/>
    <w:rsid w:val="00904B73"/>
    <w:rsid w:val="0090571B"/>
    <w:rsid w:val="009076AB"/>
    <w:rsid w:val="00907A40"/>
    <w:rsid w:val="00910AE2"/>
    <w:rsid w:val="00913C5D"/>
    <w:rsid w:val="009141B5"/>
    <w:rsid w:val="00916FDB"/>
    <w:rsid w:val="00922022"/>
    <w:rsid w:val="00923844"/>
    <w:rsid w:val="00924FB3"/>
    <w:rsid w:val="00925265"/>
    <w:rsid w:val="00927729"/>
    <w:rsid w:val="009351E5"/>
    <w:rsid w:val="00936F34"/>
    <w:rsid w:val="00942BF7"/>
    <w:rsid w:val="00943ABF"/>
    <w:rsid w:val="00945927"/>
    <w:rsid w:val="00950343"/>
    <w:rsid w:val="009509F1"/>
    <w:rsid w:val="00950B7E"/>
    <w:rsid w:val="00956369"/>
    <w:rsid w:val="009563A1"/>
    <w:rsid w:val="009577CD"/>
    <w:rsid w:val="009602AF"/>
    <w:rsid w:val="009604C8"/>
    <w:rsid w:val="0096079C"/>
    <w:rsid w:val="00960E03"/>
    <w:rsid w:val="009630A4"/>
    <w:rsid w:val="00967C33"/>
    <w:rsid w:val="00970DFE"/>
    <w:rsid w:val="00971E8E"/>
    <w:rsid w:val="00971ECF"/>
    <w:rsid w:val="0097304C"/>
    <w:rsid w:val="00973169"/>
    <w:rsid w:val="00974A42"/>
    <w:rsid w:val="00974E8E"/>
    <w:rsid w:val="0097668E"/>
    <w:rsid w:val="00976B85"/>
    <w:rsid w:val="00977959"/>
    <w:rsid w:val="009810E9"/>
    <w:rsid w:val="00983AA6"/>
    <w:rsid w:val="0098603F"/>
    <w:rsid w:val="00986088"/>
    <w:rsid w:val="00990A4E"/>
    <w:rsid w:val="00990F72"/>
    <w:rsid w:val="00991C95"/>
    <w:rsid w:val="0099202C"/>
    <w:rsid w:val="0099674B"/>
    <w:rsid w:val="00997900"/>
    <w:rsid w:val="009A20E9"/>
    <w:rsid w:val="009A239F"/>
    <w:rsid w:val="009A479E"/>
    <w:rsid w:val="009A4942"/>
    <w:rsid w:val="009A5DC9"/>
    <w:rsid w:val="009A780B"/>
    <w:rsid w:val="009A7D07"/>
    <w:rsid w:val="009B00DE"/>
    <w:rsid w:val="009B4F91"/>
    <w:rsid w:val="009B534C"/>
    <w:rsid w:val="009C000F"/>
    <w:rsid w:val="009C0059"/>
    <w:rsid w:val="009C00A5"/>
    <w:rsid w:val="009C1689"/>
    <w:rsid w:val="009C1DFB"/>
    <w:rsid w:val="009C4ADE"/>
    <w:rsid w:val="009C5680"/>
    <w:rsid w:val="009C629D"/>
    <w:rsid w:val="009D09C5"/>
    <w:rsid w:val="009D0F7E"/>
    <w:rsid w:val="009D1CD8"/>
    <w:rsid w:val="009D1D16"/>
    <w:rsid w:val="009D337E"/>
    <w:rsid w:val="009D50D4"/>
    <w:rsid w:val="009D62B0"/>
    <w:rsid w:val="009D716A"/>
    <w:rsid w:val="009E243B"/>
    <w:rsid w:val="009E6BAD"/>
    <w:rsid w:val="009F38BE"/>
    <w:rsid w:val="009F4147"/>
    <w:rsid w:val="009F4B02"/>
    <w:rsid w:val="009F53B0"/>
    <w:rsid w:val="00A00A81"/>
    <w:rsid w:val="00A00DB9"/>
    <w:rsid w:val="00A033EF"/>
    <w:rsid w:val="00A0396F"/>
    <w:rsid w:val="00A03A1B"/>
    <w:rsid w:val="00A06624"/>
    <w:rsid w:val="00A15A7D"/>
    <w:rsid w:val="00A1703F"/>
    <w:rsid w:val="00A2242B"/>
    <w:rsid w:val="00A23BB3"/>
    <w:rsid w:val="00A243D3"/>
    <w:rsid w:val="00A2661E"/>
    <w:rsid w:val="00A35C3E"/>
    <w:rsid w:val="00A36E91"/>
    <w:rsid w:val="00A4395A"/>
    <w:rsid w:val="00A43A86"/>
    <w:rsid w:val="00A457DD"/>
    <w:rsid w:val="00A45F21"/>
    <w:rsid w:val="00A46A5D"/>
    <w:rsid w:val="00A475E2"/>
    <w:rsid w:val="00A47B5D"/>
    <w:rsid w:val="00A47BA7"/>
    <w:rsid w:val="00A47BE7"/>
    <w:rsid w:val="00A55D65"/>
    <w:rsid w:val="00A56F90"/>
    <w:rsid w:val="00A6039D"/>
    <w:rsid w:val="00A63CA4"/>
    <w:rsid w:val="00A660E3"/>
    <w:rsid w:val="00A66631"/>
    <w:rsid w:val="00A70782"/>
    <w:rsid w:val="00A70DC3"/>
    <w:rsid w:val="00A71191"/>
    <w:rsid w:val="00A7403E"/>
    <w:rsid w:val="00A755F6"/>
    <w:rsid w:val="00A768EF"/>
    <w:rsid w:val="00A77143"/>
    <w:rsid w:val="00A80CF2"/>
    <w:rsid w:val="00A81690"/>
    <w:rsid w:val="00A85438"/>
    <w:rsid w:val="00A8739D"/>
    <w:rsid w:val="00A8763A"/>
    <w:rsid w:val="00A87775"/>
    <w:rsid w:val="00A905F5"/>
    <w:rsid w:val="00A9138B"/>
    <w:rsid w:val="00A921E7"/>
    <w:rsid w:val="00A944D3"/>
    <w:rsid w:val="00A94C5D"/>
    <w:rsid w:val="00A956D4"/>
    <w:rsid w:val="00A971BA"/>
    <w:rsid w:val="00A97A6D"/>
    <w:rsid w:val="00AA0215"/>
    <w:rsid w:val="00AA1B7E"/>
    <w:rsid w:val="00AA2170"/>
    <w:rsid w:val="00AA3502"/>
    <w:rsid w:val="00AA350F"/>
    <w:rsid w:val="00AA51F5"/>
    <w:rsid w:val="00AA748A"/>
    <w:rsid w:val="00AB0610"/>
    <w:rsid w:val="00AB16BB"/>
    <w:rsid w:val="00AB22CC"/>
    <w:rsid w:val="00AB78C2"/>
    <w:rsid w:val="00AC0B4D"/>
    <w:rsid w:val="00AC6D60"/>
    <w:rsid w:val="00AD292F"/>
    <w:rsid w:val="00AD2AED"/>
    <w:rsid w:val="00AD71B6"/>
    <w:rsid w:val="00AD7840"/>
    <w:rsid w:val="00AE1C4E"/>
    <w:rsid w:val="00AE3BEF"/>
    <w:rsid w:val="00AE6416"/>
    <w:rsid w:val="00AE6D7B"/>
    <w:rsid w:val="00AE7462"/>
    <w:rsid w:val="00AE7A72"/>
    <w:rsid w:val="00AF20C0"/>
    <w:rsid w:val="00AF3E03"/>
    <w:rsid w:val="00AF414F"/>
    <w:rsid w:val="00B0127D"/>
    <w:rsid w:val="00B023EC"/>
    <w:rsid w:val="00B04A4A"/>
    <w:rsid w:val="00B05436"/>
    <w:rsid w:val="00B05D4E"/>
    <w:rsid w:val="00B07C4E"/>
    <w:rsid w:val="00B11B28"/>
    <w:rsid w:val="00B12C46"/>
    <w:rsid w:val="00B14ABF"/>
    <w:rsid w:val="00B20C39"/>
    <w:rsid w:val="00B22686"/>
    <w:rsid w:val="00B23739"/>
    <w:rsid w:val="00B23B56"/>
    <w:rsid w:val="00B252BB"/>
    <w:rsid w:val="00B25C74"/>
    <w:rsid w:val="00B25EB1"/>
    <w:rsid w:val="00B316AE"/>
    <w:rsid w:val="00B34F70"/>
    <w:rsid w:val="00B36822"/>
    <w:rsid w:val="00B37D28"/>
    <w:rsid w:val="00B42197"/>
    <w:rsid w:val="00B42414"/>
    <w:rsid w:val="00B4411C"/>
    <w:rsid w:val="00B46DAB"/>
    <w:rsid w:val="00B47306"/>
    <w:rsid w:val="00B4794A"/>
    <w:rsid w:val="00B54922"/>
    <w:rsid w:val="00B558DA"/>
    <w:rsid w:val="00B56147"/>
    <w:rsid w:val="00B63632"/>
    <w:rsid w:val="00B63A53"/>
    <w:rsid w:val="00B63E90"/>
    <w:rsid w:val="00B6501B"/>
    <w:rsid w:val="00B65F6E"/>
    <w:rsid w:val="00B65FC9"/>
    <w:rsid w:val="00B71B13"/>
    <w:rsid w:val="00B72F00"/>
    <w:rsid w:val="00B747DB"/>
    <w:rsid w:val="00B753DC"/>
    <w:rsid w:val="00B823D5"/>
    <w:rsid w:val="00B84486"/>
    <w:rsid w:val="00B86E16"/>
    <w:rsid w:val="00B87174"/>
    <w:rsid w:val="00B9225D"/>
    <w:rsid w:val="00B925E9"/>
    <w:rsid w:val="00B93EA4"/>
    <w:rsid w:val="00B95FC4"/>
    <w:rsid w:val="00BA0D32"/>
    <w:rsid w:val="00BA1029"/>
    <w:rsid w:val="00BA12CB"/>
    <w:rsid w:val="00BA1BC2"/>
    <w:rsid w:val="00BA33F8"/>
    <w:rsid w:val="00BA572F"/>
    <w:rsid w:val="00BA6927"/>
    <w:rsid w:val="00BB04F4"/>
    <w:rsid w:val="00BB1B4F"/>
    <w:rsid w:val="00BB1F8B"/>
    <w:rsid w:val="00BB20F2"/>
    <w:rsid w:val="00BB3C30"/>
    <w:rsid w:val="00BB7013"/>
    <w:rsid w:val="00BC11E6"/>
    <w:rsid w:val="00BC335E"/>
    <w:rsid w:val="00BC35ED"/>
    <w:rsid w:val="00BC3BA8"/>
    <w:rsid w:val="00BC585E"/>
    <w:rsid w:val="00BC6AA8"/>
    <w:rsid w:val="00BC6AEF"/>
    <w:rsid w:val="00BD3055"/>
    <w:rsid w:val="00BD343F"/>
    <w:rsid w:val="00BD79AB"/>
    <w:rsid w:val="00BE0067"/>
    <w:rsid w:val="00BE27BC"/>
    <w:rsid w:val="00BE37EB"/>
    <w:rsid w:val="00BE6303"/>
    <w:rsid w:val="00BE6950"/>
    <w:rsid w:val="00BE7ACC"/>
    <w:rsid w:val="00BE7D25"/>
    <w:rsid w:val="00BF0BEB"/>
    <w:rsid w:val="00BF727E"/>
    <w:rsid w:val="00C00196"/>
    <w:rsid w:val="00C1079B"/>
    <w:rsid w:val="00C109D0"/>
    <w:rsid w:val="00C13048"/>
    <w:rsid w:val="00C1368B"/>
    <w:rsid w:val="00C13752"/>
    <w:rsid w:val="00C13FEA"/>
    <w:rsid w:val="00C14076"/>
    <w:rsid w:val="00C150C4"/>
    <w:rsid w:val="00C167D3"/>
    <w:rsid w:val="00C20641"/>
    <w:rsid w:val="00C20E66"/>
    <w:rsid w:val="00C21016"/>
    <w:rsid w:val="00C24230"/>
    <w:rsid w:val="00C26263"/>
    <w:rsid w:val="00C26F71"/>
    <w:rsid w:val="00C305E0"/>
    <w:rsid w:val="00C30817"/>
    <w:rsid w:val="00C31638"/>
    <w:rsid w:val="00C31DE5"/>
    <w:rsid w:val="00C31F8B"/>
    <w:rsid w:val="00C32FB5"/>
    <w:rsid w:val="00C35920"/>
    <w:rsid w:val="00C36940"/>
    <w:rsid w:val="00C3731D"/>
    <w:rsid w:val="00C4013F"/>
    <w:rsid w:val="00C430C7"/>
    <w:rsid w:val="00C4673E"/>
    <w:rsid w:val="00C53A16"/>
    <w:rsid w:val="00C55F87"/>
    <w:rsid w:val="00C626E0"/>
    <w:rsid w:val="00C6572D"/>
    <w:rsid w:val="00C679EA"/>
    <w:rsid w:val="00C71522"/>
    <w:rsid w:val="00C72434"/>
    <w:rsid w:val="00C725E5"/>
    <w:rsid w:val="00C726E6"/>
    <w:rsid w:val="00C73F03"/>
    <w:rsid w:val="00C775C9"/>
    <w:rsid w:val="00C80F01"/>
    <w:rsid w:val="00C81363"/>
    <w:rsid w:val="00C817DD"/>
    <w:rsid w:val="00C8461F"/>
    <w:rsid w:val="00C84AD9"/>
    <w:rsid w:val="00C87F8B"/>
    <w:rsid w:val="00C9145C"/>
    <w:rsid w:val="00C93808"/>
    <w:rsid w:val="00C93AB3"/>
    <w:rsid w:val="00C96635"/>
    <w:rsid w:val="00CA0712"/>
    <w:rsid w:val="00CA2A00"/>
    <w:rsid w:val="00CA4DCD"/>
    <w:rsid w:val="00CA650A"/>
    <w:rsid w:val="00CA7DCC"/>
    <w:rsid w:val="00CB0043"/>
    <w:rsid w:val="00CB00F6"/>
    <w:rsid w:val="00CB346C"/>
    <w:rsid w:val="00CB774C"/>
    <w:rsid w:val="00CC05CF"/>
    <w:rsid w:val="00CC3E51"/>
    <w:rsid w:val="00CC4F98"/>
    <w:rsid w:val="00CC5A54"/>
    <w:rsid w:val="00CC7E9E"/>
    <w:rsid w:val="00CD4673"/>
    <w:rsid w:val="00CD606F"/>
    <w:rsid w:val="00CD66F9"/>
    <w:rsid w:val="00CD6B04"/>
    <w:rsid w:val="00CE4E28"/>
    <w:rsid w:val="00CE70C2"/>
    <w:rsid w:val="00CE7556"/>
    <w:rsid w:val="00CE755C"/>
    <w:rsid w:val="00CF119F"/>
    <w:rsid w:val="00CF3A54"/>
    <w:rsid w:val="00CF611F"/>
    <w:rsid w:val="00D01B37"/>
    <w:rsid w:val="00D02C3C"/>
    <w:rsid w:val="00D02F4C"/>
    <w:rsid w:val="00D04502"/>
    <w:rsid w:val="00D06ED5"/>
    <w:rsid w:val="00D07167"/>
    <w:rsid w:val="00D11AD4"/>
    <w:rsid w:val="00D12BB6"/>
    <w:rsid w:val="00D13BFF"/>
    <w:rsid w:val="00D14B28"/>
    <w:rsid w:val="00D14DC1"/>
    <w:rsid w:val="00D16069"/>
    <w:rsid w:val="00D16AFE"/>
    <w:rsid w:val="00D21B2C"/>
    <w:rsid w:val="00D2453F"/>
    <w:rsid w:val="00D259F6"/>
    <w:rsid w:val="00D32FE2"/>
    <w:rsid w:val="00D3384B"/>
    <w:rsid w:val="00D35846"/>
    <w:rsid w:val="00D359EA"/>
    <w:rsid w:val="00D35F19"/>
    <w:rsid w:val="00D40A53"/>
    <w:rsid w:val="00D416B3"/>
    <w:rsid w:val="00D41F95"/>
    <w:rsid w:val="00D43450"/>
    <w:rsid w:val="00D4630D"/>
    <w:rsid w:val="00D50263"/>
    <w:rsid w:val="00D51552"/>
    <w:rsid w:val="00D51BA1"/>
    <w:rsid w:val="00D54AE5"/>
    <w:rsid w:val="00D578D3"/>
    <w:rsid w:val="00D57B1D"/>
    <w:rsid w:val="00D61942"/>
    <w:rsid w:val="00D6274B"/>
    <w:rsid w:val="00D62D40"/>
    <w:rsid w:val="00D62E92"/>
    <w:rsid w:val="00D63E78"/>
    <w:rsid w:val="00D63FB6"/>
    <w:rsid w:val="00D64662"/>
    <w:rsid w:val="00D647F7"/>
    <w:rsid w:val="00D64BD3"/>
    <w:rsid w:val="00D65A6A"/>
    <w:rsid w:val="00D65CF7"/>
    <w:rsid w:val="00D661A6"/>
    <w:rsid w:val="00D67D09"/>
    <w:rsid w:val="00D700C1"/>
    <w:rsid w:val="00D71154"/>
    <w:rsid w:val="00D717A1"/>
    <w:rsid w:val="00D71B69"/>
    <w:rsid w:val="00D723E8"/>
    <w:rsid w:val="00D747DF"/>
    <w:rsid w:val="00D80B5B"/>
    <w:rsid w:val="00D81F02"/>
    <w:rsid w:val="00D8248A"/>
    <w:rsid w:val="00D84CA3"/>
    <w:rsid w:val="00D84DFD"/>
    <w:rsid w:val="00D863AF"/>
    <w:rsid w:val="00D86B52"/>
    <w:rsid w:val="00D92588"/>
    <w:rsid w:val="00D936AB"/>
    <w:rsid w:val="00DA1714"/>
    <w:rsid w:val="00DA2D6D"/>
    <w:rsid w:val="00DA55E9"/>
    <w:rsid w:val="00DA65B3"/>
    <w:rsid w:val="00DA6B24"/>
    <w:rsid w:val="00DA745F"/>
    <w:rsid w:val="00DA7F76"/>
    <w:rsid w:val="00DB25FB"/>
    <w:rsid w:val="00DB2686"/>
    <w:rsid w:val="00DB3260"/>
    <w:rsid w:val="00DB6FD9"/>
    <w:rsid w:val="00DC1F3A"/>
    <w:rsid w:val="00DC2644"/>
    <w:rsid w:val="00DC3FED"/>
    <w:rsid w:val="00DC5ED8"/>
    <w:rsid w:val="00DC6C9B"/>
    <w:rsid w:val="00DD1AC1"/>
    <w:rsid w:val="00DD2C6B"/>
    <w:rsid w:val="00DD397F"/>
    <w:rsid w:val="00DD3B0C"/>
    <w:rsid w:val="00DD639D"/>
    <w:rsid w:val="00DD69A1"/>
    <w:rsid w:val="00DD6AE7"/>
    <w:rsid w:val="00DD7C7B"/>
    <w:rsid w:val="00DE24DE"/>
    <w:rsid w:val="00DE2B25"/>
    <w:rsid w:val="00DE3402"/>
    <w:rsid w:val="00DE50E5"/>
    <w:rsid w:val="00DE70CD"/>
    <w:rsid w:val="00DE781D"/>
    <w:rsid w:val="00DF3205"/>
    <w:rsid w:val="00DF3D4F"/>
    <w:rsid w:val="00DF428B"/>
    <w:rsid w:val="00DF4D86"/>
    <w:rsid w:val="00DF58B3"/>
    <w:rsid w:val="00E00337"/>
    <w:rsid w:val="00E012E8"/>
    <w:rsid w:val="00E016F3"/>
    <w:rsid w:val="00E066EE"/>
    <w:rsid w:val="00E13F9A"/>
    <w:rsid w:val="00E1428B"/>
    <w:rsid w:val="00E15455"/>
    <w:rsid w:val="00E21C2B"/>
    <w:rsid w:val="00E22432"/>
    <w:rsid w:val="00E23646"/>
    <w:rsid w:val="00E237A4"/>
    <w:rsid w:val="00E23ED5"/>
    <w:rsid w:val="00E30F5E"/>
    <w:rsid w:val="00E32841"/>
    <w:rsid w:val="00E32EB1"/>
    <w:rsid w:val="00E35ECD"/>
    <w:rsid w:val="00E37A13"/>
    <w:rsid w:val="00E40036"/>
    <w:rsid w:val="00E436CA"/>
    <w:rsid w:val="00E44C2A"/>
    <w:rsid w:val="00E46ED6"/>
    <w:rsid w:val="00E473BA"/>
    <w:rsid w:val="00E52F82"/>
    <w:rsid w:val="00E5389E"/>
    <w:rsid w:val="00E5518D"/>
    <w:rsid w:val="00E552EE"/>
    <w:rsid w:val="00E562FA"/>
    <w:rsid w:val="00E613F1"/>
    <w:rsid w:val="00E636F7"/>
    <w:rsid w:val="00E65D51"/>
    <w:rsid w:val="00E675CC"/>
    <w:rsid w:val="00E677A6"/>
    <w:rsid w:val="00E733C2"/>
    <w:rsid w:val="00E73C59"/>
    <w:rsid w:val="00E745E6"/>
    <w:rsid w:val="00E74EEF"/>
    <w:rsid w:val="00E74F46"/>
    <w:rsid w:val="00E76211"/>
    <w:rsid w:val="00E77385"/>
    <w:rsid w:val="00E77419"/>
    <w:rsid w:val="00E7759A"/>
    <w:rsid w:val="00E80F2C"/>
    <w:rsid w:val="00E81BE1"/>
    <w:rsid w:val="00E87513"/>
    <w:rsid w:val="00E91584"/>
    <w:rsid w:val="00E91CF0"/>
    <w:rsid w:val="00E91FA4"/>
    <w:rsid w:val="00E959EE"/>
    <w:rsid w:val="00E95E95"/>
    <w:rsid w:val="00EA1D2B"/>
    <w:rsid w:val="00EA2BE2"/>
    <w:rsid w:val="00EA503E"/>
    <w:rsid w:val="00EA6759"/>
    <w:rsid w:val="00EA6C6B"/>
    <w:rsid w:val="00EA7BB0"/>
    <w:rsid w:val="00EA7EDF"/>
    <w:rsid w:val="00EB2DB9"/>
    <w:rsid w:val="00EB3FA4"/>
    <w:rsid w:val="00EB4890"/>
    <w:rsid w:val="00EB4BC8"/>
    <w:rsid w:val="00EC3FBC"/>
    <w:rsid w:val="00EC7DD5"/>
    <w:rsid w:val="00ED0062"/>
    <w:rsid w:val="00ED19B5"/>
    <w:rsid w:val="00ED2299"/>
    <w:rsid w:val="00EE119C"/>
    <w:rsid w:val="00EE4176"/>
    <w:rsid w:val="00EE4553"/>
    <w:rsid w:val="00EE4F51"/>
    <w:rsid w:val="00EF0794"/>
    <w:rsid w:val="00EF08B8"/>
    <w:rsid w:val="00EF288D"/>
    <w:rsid w:val="00EF2D82"/>
    <w:rsid w:val="00EF6FE2"/>
    <w:rsid w:val="00F03106"/>
    <w:rsid w:val="00F03241"/>
    <w:rsid w:val="00F06105"/>
    <w:rsid w:val="00F10880"/>
    <w:rsid w:val="00F11D96"/>
    <w:rsid w:val="00F1381A"/>
    <w:rsid w:val="00F1542A"/>
    <w:rsid w:val="00F154AE"/>
    <w:rsid w:val="00F15E85"/>
    <w:rsid w:val="00F16899"/>
    <w:rsid w:val="00F16C60"/>
    <w:rsid w:val="00F2099E"/>
    <w:rsid w:val="00F209DC"/>
    <w:rsid w:val="00F20AC8"/>
    <w:rsid w:val="00F21E83"/>
    <w:rsid w:val="00F271EC"/>
    <w:rsid w:val="00F275CA"/>
    <w:rsid w:val="00F31396"/>
    <w:rsid w:val="00F32F67"/>
    <w:rsid w:val="00F35152"/>
    <w:rsid w:val="00F43A0B"/>
    <w:rsid w:val="00F45DA7"/>
    <w:rsid w:val="00F47A14"/>
    <w:rsid w:val="00F5293A"/>
    <w:rsid w:val="00F543F7"/>
    <w:rsid w:val="00F574CB"/>
    <w:rsid w:val="00F61763"/>
    <w:rsid w:val="00F64FB0"/>
    <w:rsid w:val="00F656A2"/>
    <w:rsid w:val="00F67C76"/>
    <w:rsid w:val="00F67D65"/>
    <w:rsid w:val="00F702E8"/>
    <w:rsid w:val="00F70A14"/>
    <w:rsid w:val="00F72CBA"/>
    <w:rsid w:val="00F81B69"/>
    <w:rsid w:val="00F827BE"/>
    <w:rsid w:val="00F82E7F"/>
    <w:rsid w:val="00F85063"/>
    <w:rsid w:val="00F851EB"/>
    <w:rsid w:val="00F86263"/>
    <w:rsid w:val="00F86690"/>
    <w:rsid w:val="00F8773E"/>
    <w:rsid w:val="00F87C29"/>
    <w:rsid w:val="00F90E3B"/>
    <w:rsid w:val="00F91037"/>
    <w:rsid w:val="00F92B58"/>
    <w:rsid w:val="00F92DD4"/>
    <w:rsid w:val="00F94B00"/>
    <w:rsid w:val="00F9665B"/>
    <w:rsid w:val="00F973B8"/>
    <w:rsid w:val="00FA0C70"/>
    <w:rsid w:val="00FA186D"/>
    <w:rsid w:val="00FA27E8"/>
    <w:rsid w:val="00FA31CB"/>
    <w:rsid w:val="00FA385E"/>
    <w:rsid w:val="00FA4176"/>
    <w:rsid w:val="00FA50D7"/>
    <w:rsid w:val="00FA5990"/>
    <w:rsid w:val="00FA6EE3"/>
    <w:rsid w:val="00FA6F7F"/>
    <w:rsid w:val="00FA7DC6"/>
    <w:rsid w:val="00FB0275"/>
    <w:rsid w:val="00FB0BEC"/>
    <w:rsid w:val="00FB372C"/>
    <w:rsid w:val="00FB4BEB"/>
    <w:rsid w:val="00FB665D"/>
    <w:rsid w:val="00FB68E5"/>
    <w:rsid w:val="00FC0A14"/>
    <w:rsid w:val="00FC0DCF"/>
    <w:rsid w:val="00FC0E9F"/>
    <w:rsid w:val="00FC2A13"/>
    <w:rsid w:val="00FC3DDD"/>
    <w:rsid w:val="00FC5217"/>
    <w:rsid w:val="00FC5F5D"/>
    <w:rsid w:val="00FC6314"/>
    <w:rsid w:val="00FC6443"/>
    <w:rsid w:val="00FC67A3"/>
    <w:rsid w:val="00FC7031"/>
    <w:rsid w:val="00FC7ED4"/>
    <w:rsid w:val="00FD06D1"/>
    <w:rsid w:val="00FD0AEA"/>
    <w:rsid w:val="00FD1064"/>
    <w:rsid w:val="00FD2499"/>
    <w:rsid w:val="00FD3460"/>
    <w:rsid w:val="00FD3B90"/>
    <w:rsid w:val="00FD4DB4"/>
    <w:rsid w:val="00FD667E"/>
    <w:rsid w:val="00FD6C70"/>
    <w:rsid w:val="00FD6E38"/>
    <w:rsid w:val="00FD790C"/>
    <w:rsid w:val="00FE0553"/>
    <w:rsid w:val="00FE0BB4"/>
    <w:rsid w:val="00FE2643"/>
    <w:rsid w:val="00FE35BC"/>
    <w:rsid w:val="00FE48F7"/>
    <w:rsid w:val="00FE7D2E"/>
    <w:rsid w:val="00FF0C16"/>
    <w:rsid w:val="00FF1153"/>
    <w:rsid w:val="00FF2002"/>
    <w:rsid w:val="00FF2432"/>
    <w:rsid w:val="00FF5D9F"/>
    <w:rsid w:val="00FF6EA9"/>
    <w:rsid w:val="00FF70A2"/>
    <w:rsid w:val="00FF7F34"/>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C328F0"/>
  <w15:chartTrackingRefBased/>
  <w15:docId w15:val="{32EF854B-9283-4E4D-9F0F-14F6C3687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777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C120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0C279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8777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7775"/>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A87775"/>
    <w:rPr>
      <w:rFonts w:asciiTheme="majorHAnsi" w:eastAsiaTheme="majorEastAsia" w:hAnsiTheme="majorHAnsi" w:cstheme="majorBidi"/>
      <w:color w:val="2E74B5" w:themeColor="accent1" w:themeShade="BF"/>
      <w:sz w:val="32"/>
      <w:szCs w:val="32"/>
    </w:rPr>
  </w:style>
  <w:style w:type="character" w:styleId="Emphasis">
    <w:name w:val="Emphasis"/>
    <w:basedOn w:val="DefaultParagraphFont"/>
    <w:uiPriority w:val="20"/>
    <w:qFormat/>
    <w:rsid w:val="001C1207"/>
    <w:rPr>
      <w:i/>
      <w:iCs/>
    </w:rPr>
  </w:style>
  <w:style w:type="character" w:customStyle="1" w:styleId="Heading2Char">
    <w:name w:val="Heading 2 Char"/>
    <w:basedOn w:val="DefaultParagraphFont"/>
    <w:link w:val="Heading2"/>
    <w:uiPriority w:val="9"/>
    <w:rsid w:val="001C1207"/>
    <w:rPr>
      <w:rFonts w:asciiTheme="majorHAnsi" w:eastAsiaTheme="majorEastAsia" w:hAnsiTheme="majorHAnsi" w:cstheme="majorBidi"/>
      <w:color w:val="2E74B5" w:themeColor="accent1" w:themeShade="BF"/>
      <w:sz w:val="26"/>
      <w:szCs w:val="26"/>
    </w:rPr>
  </w:style>
  <w:style w:type="character" w:styleId="Strong">
    <w:name w:val="Strong"/>
    <w:basedOn w:val="DefaultParagraphFont"/>
    <w:uiPriority w:val="22"/>
    <w:qFormat/>
    <w:rsid w:val="001C1207"/>
    <w:rPr>
      <w:b/>
      <w:bCs/>
    </w:rPr>
  </w:style>
  <w:style w:type="paragraph" w:styleId="ListParagraph">
    <w:name w:val="List Paragraph"/>
    <w:basedOn w:val="Normal"/>
    <w:link w:val="ListParagraphChar"/>
    <w:uiPriority w:val="34"/>
    <w:qFormat/>
    <w:rsid w:val="001C1207"/>
    <w:pPr>
      <w:ind w:left="720"/>
      <w:contextualSpacing/>
    </w:pPr>
  </w:style>
  <w:style w:type="paragraph" w:styleId="NormalWeb">
    <w:name w:val="Normal (Web)"/>
    <w:basedOn w:val="Normal"/>
    <w:uiPriority w:val="99"/>
    <w:semiHidden/>
    <w:unhideWhenUsed/>
    <w:rsid w:val="000C2795"/>
    <w:pPr>
      <w:spacing w:before="60" w:after="120" w:line="260" w:lineRule="atLeast"/>
    </w:pPr>
    <w:rPr>
      <w:rFonts w:ascii="Times New Roman" w:hAnsi="Times New Roman" w:cs="Times New Roman"/>
      <w:sz w:val="24"/>
      <w:szCs w:val="24"/>
      <w:lang w:eastAsia="en-AU"/>
    </w:rPr>
  </w:style>
  <w:style w:type="paragraph" w:customStyle="1" w:styleId="Plainparaa">
    <w:name w:val="Plain para a."/>
    <w:basedOn w:val="Normal"/>
    <w:uiPriority w:val="99"/>
    <w:semiHidden/>
    <w:rsid w:val="000C2795"/>
    <w:pPr>
      <w:numPr>
        <w:numId w:val="2"/>
      </w:numPr>
      <w:spacing w:after="140" w:line="280" w:lineRule="atLeast"/>
    </w:pPr>
    <w:rPr>
      <w:rFonts w:ascii="Arial" w:hAnsi="Arial" w:cs="Arial"/>
      <w:lang w:eastAsia="en-AU"/>
    </w:rPr>
  </w:style>
  <w:style w:type="paragraph" w:customStyle="1" w:styleId="Default">
    <w:name w:val="Default"/>
    <w:basedOn w:val="Normal"/>
    <w:uiPriority w:val="99"/>
    <w:semiHidden/>
    <w:rsid w:val="000C2795"/>
    <w:pPr>
      <w:autoSpaceDE w:val="0"/>
      <w:autoSpaceDN w:val="0"/>
      <w:spacing w:after="0" w:line="240" w:lineRule="auto"/>
    </w:pPr>
    <w:rPr>
      <w:rFonts w:ascii="Arial" w:hAnsi="Arial" w:cs="Arial"/>
      <w:color w:val="000000"/>
      <w:sz w:val="24"/>
      <w:szCs w:val="24"/>
    </w:rPr>
  </w:style>
  <w:style w:type="character" w:styleId="FootnoteReference">
    <w:name w:val="footnote reference"/>
    <w:basedOn w:val="DefaultParagraphFont"/>
    <w:uiPriority w:val="99"/>
    <w:semiHidden/>
    <w:unhideWhenUsed/>
    <w:rsid w:val="000C2795"/>
    <w:rPr>
      <w:vertAlign w:val="superscript"/>
    </w:rPr>
  </w:style>
  <w:style w:type="character" w:customStyle="1" w:styleId="Heading3Char">
    <w:name w:val="Heading 3 Char"/>
    <w:basedOn w:val="DefaultParagraphFont"/>
    <w:link w:val="Heading3"/>
    <w:uiPriority w:val="9"/>
    <w:rsid w:val="000C2795"/>
    <w:rPr>
      <w:rFonts w:asciiTheme="majorHAnsi" w:eastAsiaTheme="majorEastAsia" w:hAnsiTheme="majorHAnsi" w:cstheme="majorBidi"/>
      <w:color w:val="1F4D78" w:themeColor="accent1" w:themeShade="7F"/>
      <w:sz w:val="24"/>
      <w:szCs w:val="24"/>
    </w:rPr>
  </w:style>
  <w:style w:type="paragraph" w:customStyle="1" w:styleId="EndNoteBibliographyTitle">
    <w:name w:val="EndNote Bibliography Title"/>
    <w:basedOn w:val="Normal"/>
    <w:link w:val="EndNoteBibliographyTitleChar"/>
    <w:rsid w:val="009011CA"/>
    <w:pPr>
      <w:spacing w:after="0"/>
      <w:jc w:val="center"/>
    </w:pPr>
    <w:rPr>
      <w:rFonts w:ascii="Calibri" w:hAnsi="Calibri" w:cs="Calibri"/>
      <w:noProof/>
      <w:lang w:val="en-US"/>
    </w:rPr>
  </w:style>
  <w:style w:type="character" w:customStyle="1" w:styleId="ListParagraphChar">
    <w:name w:val="List Paragraph Char"/>
    <w:basedOn w:val="DefaultParagraphFont"/>
    <w:link w:val="ListParagraph"/>
    <w:uiPriority w:val="34"/>
    <w:rsid w:val="009011CA"/>
  </w:style>
  <w:style w:type="character" w:customStyle="1" w:styleId="EndNoteBibliographyTitleChar">
    <w:name w:val="EndNote Bibliography Title Char"/>
    <w:basedOn w:val="ListParagraphChar"/>
    <w:link w:val="EndNoteBibliographyTitle"/>
    <w:rsid w:val="009011CA"/>
    <w:rPr>
      <w:rFonts w:ascii="Calibri" w:hAnsi="Calibri" w:cs="Calibri"/>
      <w:noProof/>
      <w:lang w:val="en-US"/>
    </w:rPr>
  </w:style>
  <w:style w:type="paragraph" w:customStyle="1" w:styleId="EndNoteBibliography">
    <w:name w:val="EndNote Bibliography"/>
    <w:basedOn w:val="Normal"/>
    <w:link w:val="EndNoteBibliographyChar"/>
    <w:rsid w:val="009011CA"/>
    <w:pPr>
      <w:spacing w:line="240" w:lineRule="auto"/>
    </w:pPr>
    <w:rPr>
      <w:rFonts w:ascii="Calibri" w:hAnsi="Calibri" w:cs="Calibri"/>
      <w:noProof/>
      <w:lang w:val="en-US"/>
    </w:rPr>
  </w:style>
  <w:style w:type="character" w:customStyle="1" w:styleId="EndNoteBibliographyChar">
    <w:name w:val="EndNote Bibliography Char"/>
    <w:basedOn w:val="ListParagraphChar"/>
    <w:link w:val="EndNoteBibliography"/>
    <w:rsid w:val="009011CA"/>
    <w:rPr>
      <w:rFonts w:ascii="Calibri" w:hAnsi="Calibri" w:cs="Calibri"/>
      <w:noProof/>
      <w:lang w:val="en-US"/>
    </w:rPr>
  </w:style>
  <w:style w:type="character" w:styleId="CommentReference">
    <w:name w:val="annotation reference"/>
    <w:basedOn w:val="DefaultParagraphFont"/>
    <w:uiPriority w:val="99"/>
    <w:semiHidden/>
    <w:unhideWhenUsed/>
    <w:rsid w:val="003C0089"/>
    <w:rPr>
      <w:sz w:val="16"/>
      <w:szCs w:val="16"/>
    </w:rPr>
  </w:style>
  <w:style w:type="paragraph" w:styleId="CommentText">
    <w:name w:val="annotation text"/>
    <w:basedOn w:val="Normal"/>
    <w:link w:val="CommentTextChar"/>
    <w:uiPriority w:val="99"/>
    <w:unhideWhenUsed/>
    <w:rsid w:val="003C0089"/>
    <w:pPr>
      <w:spacing w:line="240" w:lineRule="auto"/>
    </w:pPr>
    <w:rPr>
      <w:sz w:val="20"/>
      <w:szCs w:val="20"/>
    </w:rPr>
  </w:style>
  <w:style w:type="character" w:customStyle="1" w:styleId="CommentTextChar">
    <w:name w:val="Comment Text Char"/>
    <w:basedOn w:val="DefaultParagraphFont"/>
    <w:link w:val="CommentText"/>
    <w:uiPriority w:val="99"/>
    <w:rsid w:val="003C0089"/>
    <w:rPr>
      <w:sz w:val="20"/>
      <w:szCs w:val="20"/>
    </w:rPr>
  </w:style>
  <w:style w:type="paragraph" w:styleId="CommentSubject">
    <w:name w:val="annotation subject"/>
    <w:basedOn w:val="CommentText"/>
    <w:next w:val="CommentText"/>
    <w:link w:val="CommentSubjectChar"/>
    <w:uiPriority w:val="99"/>
    <w:semiHidden/>
    <w:unhideWhenUsed/>
    <w:rsid w:val="003C0089"/>
    <w:rPr>
      <w:b/>
      <w:bCs/>
    </w:rPr>
  </w:style>
  <w:style w:type="character" w:customStyle="1" w:styleId="CommentSubjectChar">
    <w:name w:val="Comment Subject Char"/>
    <w:basedOn w:val="CommentTextChar"/>
    <w:link w:val="CommentSubject"/>
    <w:uiPriority w:val="99"/>
    <w:semiHidden/>
    <w:rsid w:val="003C0089"/>
    <w:rPr>
      <w:b/>
      <w:bCs/>
      <w:sz w:val="20"/>
      <w:szCs w:val="20"/>
    </w:rPr>
  </w:style>
  <w:style w:type="paragraph" w:styleId="BalloonText">
    <w:name w:val="Balloon Text"/>
    <w:basedOn w:val="Normal"/>
    <w:link w:val="BalloonTextChar"/>
    <w:uiPriority w:val="99"/>
    <w:semiHidden/>
    <w:unhideWhenUsed/>
    <w:rsid w:val="003C008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0089"/>
    <w:rPr>
      <w:rFonts w:ascii="Segoe UI" w:hAnsi="Segoe UI" w:cs="Segoe UI"/>
      <w:sz w:val="18"/>
      <w:szCs w:val="18"/>
    </w:rPr>
  </w:style>
  <w:style w:type="table" w:styleId="TableGrid">
    <w:name w:val="Table Grid"/>
    <w:basedOn w:val="TableNormal"/>
    <w:uiPriority w:val="59"/>
    <w:rsid w:val="004B3857"/>
    <w:pPr>
      <w:spacing w:after="0" w:line="240" w:lineRule="auto"/>
    </w:pPr>
    <w:rPr>
      <w:rFonts w:ascii="Arial" w:hAnsi="Arial"/>
      <w:sz w:val="20"/>
      <w:szCs w:val="20"/>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B3857"/>
    <w:rPr>
      <w:color w:val="0563C1" w:themeColor="hyperlink"/>
      <w:u w:val="single"/>
    </w:rPr>
  </w:style>
  <w:style w:type="paragraph" w:styleId="Caption">
    <w:name w:val="caption"/>
    <w:basedOn w:val="Normal"/>
    <w:next w:val="Normal"/>
    <w:link w:val="CaptionChar"/>
    <w:autoRedefine/>
    <w:uiPriority w:val="35"/>
    <w:unhideWhenUsed/>
    <w:qFormat/>
    <w:rsid w:val="003E2959"/>
    <w:pPr>
      <w:keepNext/>
      <w:spacing w:after="120" w:line="240" w:lineRule="auto"/>
    </w:pPr>
    <w:rPr>
      <w:rFonts w:ascii="Arial" w:hAnsi="Arial" w:cs="Arial"/>
      <w:b/>
      <w:iCs/>
      <w:color w:val="002060"/>
      <w:sz w:val="20"/>
      <w:szCs w:val="18"/>
    </w:rPr>
  </w:style>
  <w:style w:type="paragraph" w:styleId="TOCHeading">
    <w:name w:val="TOC Heading"/>
    <w:basedOn w:val="Heading1"/>
    <w:next w:val="Normal"/>
    <w:uiPriority w:val="39"/>
    <w:unhideWhenUsed/>
    <w:qFormat/>
    <w:rsid w:val="00B42197"/>
    <w:pPr>
      <w:outlineLvl w:val="9"/>
    </w:pPr>
    <w:rPr>
      <w:lang w:val="en-US"/>
    </w:rPr>
  </w:style>
  <w:style w:type="paragraph" w:styleId="TOC1">
    <w:name w:val="toc 1"/>
    <w:basedOn w:val="Normal"/>
    <w:next w:val="Normal"/>
    <w:autoRedefine/>
    <w:uiPriority w:val="39"/>
    <w:unhideWhenUsed/>
    <w:rsid w:val="00B42197"/>
    <w:pPr>
      <w:spacing w:after="100"/>
    </w:pPr>
  </w:style>
  <w:style w:type="paragraph" w:styleId="TOC2">
    <w:name w:val="toc 2"/>
    <w:basedOn w:val="Normal"/>
    <w:next w:val="Normal"/>
    <w:autoRedefine/>
    <w:uiPriority w:val="39"/>
    <w:unhideWhenUsed/>
    <w:rsid w:val="00B42197"/>
    <w:pPr>
      <w:spacing w:after="100"/>
      <w:ind w:left="220"/>
    </w:pPr>
  </w:style>
  <w:style w:type="paragraph" w:styleId="TOC3">
    <w:name w:val="toc 3"/>
    <w:basedOn w:val="Normal"/>
    <w:next w:val="Normal"/>
    <w:autoRedefine/>
    <w:uiPriority w:val="39"/>
    <w:unhideWhenUsed/>
    <w:rsid w:val="00B42197"/>
    <w:pPr>
      <w:spacing w:after="100"/>
      <w:ind w:left="440"/>
    </w:pPr>
  </w:style>
  <w:style w:type="paragraph" w:styleId="Header">
    <w:name w:val="header"/>
    <w:basedOn w:val="Normal"/>
    <w:link w:val="HeaderChar"/>
    <w:uiPriority w:val="99"/>
    <w:unhideWhenUsed/>
    <w:rsid w:val="002505C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05C4"/>
  </w:style>
  <w:style w:type="paragraph" w:styleId="Footer">
    <w:name w:val="footer"/>
    <w:basedOn w:val="Normal"/>
    <w:link w:val="FooterChar"/>
    <w:uiPriority w:val="99"/>
    <w:unhideWhenUsed/>
    <w:rsid w:val="002505C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05C4"/>
  </w:style>
  <w:style w:type="character" w:styleId="EndnoteReference">
    <w:name w:val="endnote reference"/>
    <w:basedOn w:val="DefaultParagraphFont"/>
    <w:uiPriority w:val="99"/>
    <w:semiHidden/>
    <w:unhideWhenUsed/>
    <w:rsid w:val="00942BF7"/>
    <w:rPr>
      <w:vertAlign w:val="superscript"/>
    </w:rPr>
  </w:style>
  <w:style w:type="paragraph" w:styleId="Bibliography">
    <w:name w:val="Bibliography"/>
    <w:basedOn w:val="Normal"/>
    <w:next w:val="Normal"/>
    <w:uiPriority w:val="37"/>
    <w:unhideWhenUsed/>
    <w:rsid w:val="00942BF7"/>
    <w:pPr>
      <w:tabs>
        <w:tab w:val="left" w:pos="380"/>
      </w:tabs>
      <w:spacing w:after="240" w:line="240" w:lineRule="auto"/>
      <w:ind w:left="384" w:hanging="384"/>
    </w:pPr>
  </w:style>
  <w:style w:type="character" w:styleId="FollowedHyperlink">
    <w:name w:val="FollowedHyperlink"/>
    <w:basedOn w:val="DefaultParagraphFont"/>
    <w:uiPriority w:val="99"/>
    <w:semiHidden/>
    <w:unhideWhenUsed/>
    <w:rsid w:val="00655988"/>
    <w:rPr>
      <w:color w:val="954F72" w:themeColor="followedHyperlink"/>
      <w:u w:val="single"/>
    </w:rPr>
  </w:style>
  <w:style w:type="character" w:customStyle="1" w:styleId="CaptionChar">
    <w:name w:val="Caption Char"/>
    <w:basedOn w:val="DefaultParagraphFont"/>
    <w:link w:val="Caption"/>
    <w:uiPriority w:val="35"/>
    <w:rsid w:val="003E2959"/>
    <w:rPr>
      <w:rFonts w:ascii="Arial" w:hAnsi="Arial" w:cs="Arial"/>
      <w:b/>
      <w:iCs/>
      <w:color w:val="002060"/>
      <w:sz w:val="20"/>
      <w:szCs w:val="18"/>
    </w:rPr>
  </w:style>
  <w:style w:type="character" w:customStyle="1" w:styleId="UnresolvedMention1">
    <w:name w:val="Unresolved Mention1"/>
    <w:basedOn w:val="DefaultParagraphFont"/>
    <w:uiPriority w:val="99"/>
    <w:semiHidden/>
    <w:unhideWhenUsed/>
    <w:rsid w:val="00A47B5D"/>
    <w:rPr>
      <w:color w:val="605E5C"/>
      <w:shd w:val="clear" w:color="auto" w:fill="E1DFDD"/>
    </w:rPr>
  </w:style>
  <w:style w:type="paragraph" w:styleId="Revision">
    <w:name w:val="Revision"/>
    <w:hidden/>
    <w:uiPriority w:val="99"/>
    <w:semiHidden/>
    <w:rsid w:val="004213E5"/>
    <w:pPr>
      <w:spacing w:after="0" w:line="240" w:lineRule="auto"/>
    </w:pPr>
  </w:style>
  <w:style w:type="character" w:customStyle="1" w:styleId="UnresolvedMention2">
    <w:name w:val="Unresolved Mention2"/>
    <w:basedOn w:val="DefaultParagraphFont"/>
    <w:uiPriority w:val="99"/>
    <w:rsid w:val="00482E98"/>
    <w:rPr>
      <w:color w:val="605E5C"/>
      <w:shd w:val="clear" w:color="auto" w:fill="E1DFDD"/>
    </w:rPr>
  </w:style>
  <w:style w:type="character" w:customStyle="1" w:styleId="highwire-cite-metadata-year">
    <w:name w:val="highwire-cite-metadata-year"/>
    <w:basedOn w:val="DefaultParagraphFont"/>
    <w:rsid w:val="003E3101"/>
  </w:style>
  <w:style w:type="character" w:customStyle="1" w:styleId="highwire-cite-metadata-volume">
    <w:name w:val="highwire-cite-metadata-volume"/>
    <w:basedOn w:val="DefaultParagraphFont"/>
    <w:rsid w:val="003E3101"/>
  </w:style>
  <w:style w:type="character" w:customStyle="1" w:styleId="highwire-cite-metadata-pages">
    <w:name w:val="highwire-cite-metadata-pages"/>
    <w:basedOn w:val="DefaultParagraphFont"/>
    <w:rsid w:val="003E31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928569">
      <w:bodyDiv w:val="1"/>
      <w:marLeft w:val="0"/>
      <w:marRight w:val="0"/>
      <w:marTop w:val="0"/>
      <w:marBottom w:val="0"/>
      <w:divBdr>
        <w:top w:val="none" w:sz="0" w:space="0" w:color="auto"/>
        <w:left w:val="none" w:sz="0" w:space="0" w:color="auto"/>
        <w:bottom w:val="none" w:sz="0" w:space="0" w:color="auto"/>
        <w:right w:val="none" w:sz="0" w:space="0" w:color="auto"/>
      </w:divBdr>
    </w:div>
    <w:div w:id="190187132">
      <w:bodyDiv w:val="1"/>
      <w:marLeft w:val="0"/>
      <w:marRight w:val="0"/>
      <w:marTop w:val="0"/>
      <w:marBottom w:val="0"/>
      <w:divBdr>
        <w:top w:val="none" w:sz="0" w:space="0" w:color="auto"/>
        <w:left w:val="none" w:sz="0" w:space="0" w:color="auto"/>
        <w:bottom w:val="none" w:sz="0" w:space="0" w:color="auto"/>
        <w:right w:val="none" w:sz="0" w:space="0" w:color="auto"/>
      </w:divBdr>
      <w:divsChild>
        <w:div w:id="98721058">
          <w:marLeft w:val="0"/>
          <w:marRight w:val="0"/>
          <w:marTop w:val="0"/>
          <w:marBottom w:val="0"/>
          <w:divBdr>
            <w:top w:val="none" w:sz="0" w:space="0" w:color="auto"/>
            <w:left w:val="none" w:sz="0" w:space="0" w:color="auto"/>
            <w:bottom w:val="none" w:sz="0" w:space="0" w:color="auto"/>
            <w:right w:val="none" w:sz="0" w:space="0" w:color="auto"/>
          </w:divBdr>
          <w:divsChild>
            <w:div w:id="1445417222">
              <w:marLeft w:val="0"/>
              <w:marRight w:val="0"/>
              <w:marTop w:val="0"/>
              <w:marBottom w:val="0"/>
              <w:divBdr>
                <w:top w:val="none" w:sz="0" w:space="0" w:color="auto"/>
                <w:left w:val="none" w:sz="0" w:space="0" w:color="auto"/>
                <w:bottom w:val="none" w:sz="0" w:space="0" w:color="auto"/>
                <w:right w:val="none" w:sz="0" w:space="0" w:color="auto"/>
              </w:divBdr>
              <w:divsChild>
                <w:div w:id="1689988675">
                  <w:marLeft w:val="0"/>
                  <w:marRight w:val="0"/>
                  <w:marTop w:val="0"/>
                  <w:marBottom w:val="0"/>
                  <w:divBdr>
                    <w:top w:val="none" w:sz="0" w:space="0" w:color="auto"/>
                    <w:left w:val="none" w:sz="0" w:space="0" w:color="auto"/>
                    <w:bottom w:val="none" w:sz="0" w:space="0" w:color="auto"/>
                    <w:right w:val="none" w:sz="0" w:space="0" w:color="auto"/>
                  </w:divBdr>
                  <w:divsChild>
                    <w:div w:id="1381324695">
                      <w:marLeft w:val="0"/>
                      <w:marRight w:val="0"/>
                      <w:marTop w:val="0"/>
                      <w:marBottom w:val="0"/>
                      <w:divBdr>
                        <w:top w:val="none" w:sz="0" w:space="0" w:color="auto"/>
                        <w:left w:val="none" w:sz="0" w:space="0" w:color="auto"/>
                        <w:bottom w:val="none" w:sz="0" w:space="0" w:color="auto"/>
                        <w:right w:val="none" w:sz="0" w:space="0" w:color="auto"/>
                      </w:divBdr>
                      <w:divsChild>
                        <w:div w:id="479688404">
                          <w:marLeft w:val="0"/>
                          <w:marRight w:val="0"/>
                          <w:marTop w:val="0"/>
                          <w:marBottom w:val="0"/>
                          <w:divBdr>
                            <w:top w:val="none" w:sz="0" w:space="0" w:color="auto"/>
                            <w:left w:val="none" w:sz="0" w:space="0" w:color="auto"/>
                            <w:bottom w:val="none" w:sz="0" w:space="0" w:color="auto"/>
                            <w:right w:val="none" w:sz="0" w:space="0" w:color="auto"/>
                          </w:divBdr>
                          <w:divsChild>
                            <w:div w:id="1407413323">
                              <w:marLeft w:val="0"/>
                              <w:marRight w:val="0"/>
                              <w:marTop w:val="0"/>
                              <w:marBottom w:val="0"/>
                              <w:divBdr>
                                <w:top w:val="none" w:sz="0" w:space="0" w:color="auto"/>
                                <w:left w:val="none" w:sz="0" w:space="0" w:color="auto"/>
                                <w:bottom w:val="none" w:sz="0" w:space="0" w:color="auto"/>
                                <w:right w:val="none" w:sz="0" w:space="0" w:color="auto"/>
                              </w:divBdr>
                              <w:divsChild>
                                <w:div w:id="51264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5827768">
          <w:marLeft w:val="0"/>
          <w:marRight w:val="0"/>
          <w:marTop w:val="0"/>
          <w:marBottom w:val="0"/>
          <w:divBdr>
            <w:top w:val="none" w:sz="0" w:space="0" w:color="auto"/>
            <w:left w:val="none" w:sz="0" w:space="0" w:color="auto"/>
            <w:bottom w:val="none" w:sz="0" w:space="0" w:color="auto"/>
            <w:right w:val="none" w:sz="0" w:space="0" w:color="auto"/>
          </w:divBdr>
          <w:divsChild>
            <w:div w:id="1058700595">
              <w:marLeft w:val="0"/>
              <w:marRight w:val="0"/>
              <w:marTop w:val="0"/>
              <w:marBottom w:val="0"/>
              <w:divBdr>
                <w:top w:val="none" w:sz="0" w:space="0" w:color="auto"/>
                <w:left w:val="none" w:sz="0" w:space="0" w:color="auto"/>
                <w:bottom w:val="none" w:sz="0" w:space="0" w:color="auto"/>
                <w:right w:val="none" w:sz="0" w:space="0" w:color="auto"/>
              </w:divBdr>
              <w:divsChild>
                <w:div w:id="963123533">
                  <w:marLeft w:val="0"/>
                  <w:marRight w:val="0"/>
                  <w:marTop w:val="0"/>
                  <w:marBottom w:val="0"/>
                  <w:divBdr>
                    <w:top w:val="none" w:sz="0" w:space="0" w:color="auto"/>
                    <w:left w:val="none" w:sz="0" w:space="0" w:color="auto"/>
                    <w:bottom w:val="none" w:sz="0" w:space="0" w:color="auto"/>
                    <w:right w:val="none" w:sz="0" w:space="0" w:color="auto"/>
                  </w:divBdr>
                  <w:divsChild>
                    <w:div w:id="1682049443">
                      <w:marLeft w:val="0"/>
                      <w:marRight w:val="0"/>
                      <w:marTop w:val="0"/>
                      <w:marBottom w:val="0"/>
                      <w:divBdr>
                        <w:top w:val="none" w:sz="0" w:space="0" w:color="auto"/>
                        <w:left w:val="none" w:sz="0" w:space="0" w:color="auto"/>
                        <w:bottom w:val="none" w:sz="0" w:space="0" w:color="auto"/>
                        <w:right w:val="none" w:sz="0" w:space="0" w:color="auto"/>
                      </w:divBdr>
                      <w:divsChild>
                        <w:div w:id="24997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8973288">
          <w:marLeft w:val="0"/>
          <w:marRight w:val="0"/>
          <w:marTop w:val="0"/>
          <w:marBottom w:val="0"/>
          <w:divBdr>
            <w:top w:val="none" w:sz="0" w:space="0" w:color="auto"/>
            <w:left w:val="none" w:sz="0" w:space="0" w:color="auto"/>
            <w:bottom w:val="none" w:sz="0" w:space="0" w:color="auto"/>
            <w:right w:val="none" w:sz="0" w:space="0" w:color="auto"/>
          </w:divBdr>
          <w:divsChild>
            <w:div w:id="494955797">
              <w:marLeft w:val="0"/>
              <w:marRight w:val="0"/>
              <w:marTop w:val="0"/>
              <w:marBottom w:val="0"/>
              <w:divBdr>
                <w:top w:val="none" w:sz="0" w:space="0" w:color="auto"/>
                <w:left w:val="none" w:sz="0" w:space="0" w:color="auto"/>
                <w:bottom w:val="none" w:sz="0" w:space="0" w:color="auto"/>
                <w:right w:val="none" w:sz="0" w:space="0" w:color="auto"/>
              </w:divBdr>
              <w:divsChild>
                <w:div w:id="156653171">
                  <w:marLeft w:val="0"/>
                  <w:marRight w:val="0"/>
                  <w:marTop w:val="0"/>
                  <w:marBottom w:val="0"/>
                  <w:divBdr>
                    <w:top w:val="none" w:sz="0" w:space="0" w:color="auto"/>
                    <w:left w:val="none" w:sz="0" w:space="0" w:color="auto"/>
                    <w:bottom w:val="none" w:sz="0" w:space="0" w:color="auto"/>
                    <w:right w:val="none" w:sz="0" w:space="0" w:color="auto"/>
                  </w:divBdr>
                  <w:divsChild>
                    <w:div w:id="161776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754645">
          <w:marLeft w:val="0"/>
          <w:marRight w:val="0"/>
          <w:marTop w:val="0"/>
          <w:marBottom w:val="0"/>
          <w:divBdr>
            <w:top w:val="none" w:sz="0" w:space="0" w:color="auto"/>
            <w:left w:val="none" w:sz="0" w:space="0" w:color="auto"/>
            <w:bottom w:val="none" w:sz="0" w:space="0" w:color="auto"/>
            <w:right w:val="none" w:sz="0" w:space="0" w:color="auto"/>
          </w:divBdr>
          <w:divsChild>
            <w:div w:id="1561087185">
              <w:marLeft w:val="0"/>
              <w:marRight w:val="0"/>
              <w:marTop w:val="0"/>
              <w:marBottom w:val="0"/>
              <w:divBdr>
                <w:top w:val="none" w:sz="0" w:space="0" w:color="auto"/>
                <w:left w:val="none" w:sz="0" w:space="0" w:color="auto"/>
                <w:bottom w:val="none" w:sz="0" w:space="0" w:color="auto"/>
                <w:right w:val="none" w:sz="0" w:space="0" w:color="auto"/>
              </w:divBdr>
              <w:divsChild>
                <w:div w:id="2006322806">
                  <w:marLeft w:val="0"/>
                  <w:marRight w:val="0"/>
                  <w:marTop w:val="0"/>
                  <w:marBottom w:val="0"/>
                  <w:divBdr>
                    <w:top w:val="none" w:sz="0" w:space="0" w:color="auto"/>
                    <w:left w:val="none" w:sz="0" w:space="0" w:color="auto"/>
                    <w:bottom w:val="none" w:sz="0" w:space="0" w:color="auto"/>
                    <w:right w:val="none" w:sz="0" w:space="0" w:color="auto"/>
                  </w:divBdr>
                  <w:divsChild>
                    <w:div w:id="1209344089">
                      <w:marLeft w:val="0"/>
                      <w:marRight w:val="0"/>
                      <w:marTop w:val="0"/>
                      <w:marBottom w:val="300"/>
                      <w:divBdr>
                        <w:top w:val="none" w:sz="0" w:space="0" w:color="auto"/>
                        <w:left w:val="none" w:sz="0" w:space="0" w:color="auto"/>
                        <w:bottom w:val="none" w:sz="0" w:space="0" w:color="auto"/>
                        <w:right w:val="none" w:sz="0" w:space="0" w:color="auto"/>
                      </w:divBdr>
                      <w:divsChild>
                        <w:div w:id="1627463574">
                          <w:marLeft w:val="0"/>
                          <w:marRight w:val="0"/>
                          <w:marTop w:val="0"/>
                          <w:marBottom w:val="0"/>
                          <w:divBdr>
                            <w:top w:val="none" w:sz="0" w:space="0" w:color="auto"/>
                            <w:left w:val="none" w:sz="0" w:space="0" w:color="auto"/>
                            <w:bottom w:val="none" w:sz="0" w:space="0" w:color="auto"/>
                            <w:right w:val="none" w:sz="0" w:space="0" w:color="auto"/>
                          </w:divBdr>
                          <w:divsChild>
                            <w:div w:id="1611467866">
                              <w:marLeft w:val="0"/>
                              <w:marRight w:val="0"/>
                              <w:marTop w:val="0"/>
                              <w:marBottom w:val="0"/>
                              <w:divBdr>
                                <w:top w:val="none" w:sz="0" w:space="0" w:color="auto"/>
                                <w:left w:val="none" w:sz="0" w:space="0" w:color="auto"/>
                                <w:bottom w:val="none" w:sz="0" w:space="0" w:color="auto"/>
                                <w:right w:val="none" w:sz="0" w:space="0" w:color="auto"/>
                              </w:divBdr>
                              <w:divsChild>
                                <w:div w:id="366179625">
                                  <w:marLeft w:val="0"/>
                                  <w:marRight w:val="0"/>
                                  <w:marTop w:val="0"/>
                                  <w:marBottom w:val="0"/>
                                  <w:divBdr>
                                    <w:top w:val="none" w:sz="0" w:space="0" w:color="auto"/>
                                    <w:left w:val="none" w:sz="0" w:space="0" w:color="auto"/>
                                    <w:bottom w:val="none" w:sz="0" w:space="0" w:color="auto"/>
                                    <w:right w:val="none" w:sz="0" w:space="0" w:color="auto"/>
                                  </w:divBdr>
                                  <w:divsChild>
                                    <w:div w:id="133260452">
                                      <w:marLeft w:val="0"/>
                                      <w:marRight w:val="0"/>
                                      <w:marTop w:val="0"/>
                                      <w:marBottom w:val="150"/>
                                      <w:divBdr>
                                        <w:top w:val="none" w:sz="0" w:space="0" w:color="auto"/>
                                        <w:left w:val="none" w:sz="0" w:space="0" w:color="auto"/>
                                        <w:bottom w:val="none" w:sz="0" w:space="0" w:color="auto"/>
                                        <w:right w:val="none" w:sz="0" w:space="0" w:color="auto"/>
                                      </w:divBdr>
                                      <w:divsChild>
                                        <w:div w:id="32508452">
                                          <w:marLeft w:val="0"/>
                                          <w:marRight w:val="0"/>
                                          <w:marTop w:val="0"/>
                                          <w:marBottom w:val="0"/>
                                          <w:divBdr>
                                            <w:top w:val="none" w:sz="0" w:space="0" w:color="auto"/>
                                            <w:left w:val="none" w:sz="0" w:space="0" w:color="auto"/>
                                            <w:bottom w:val="none" w:sz="0" w:space="0" w:color="auto"/>
                                            <w:right w:val="none" w:sz="0" w:space="0" w:color="auto"/>
                                          </w:divBdr>
                                          <w:divsChild>
                                            <w:div w:id="457341277">
                                              <w:marLeft w:val="0"/>
                                              <w:marRight w:val="0"/>
                                              <w:marTop w:val="0"/>
                                              <w:marBottom w:val="0"/>
                                              <w:divBdr>
                                                <w:top w:val="none" w:sz="0" w:space="0" w:color="auto"/>
                                                <w:left w:val="none" w:sz="0" w:space="0" w:color="auto"/>
                                                <w:bottom w:val="none" w:sz="0" w:space="0" w:color="auto"/>
                                                <w:right w:val="none" w:sz="0" w:space="0" w:color="auto"/>
                                              </w:divBdr>
                                              <w:divsChild>
                                                <w:div w:id="2032872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8591">
                                      <w:marLeft w:val="0"/>
                                      <w:marRight w:val="0"/>
                                      <w:marTop w:val="0"/>
                                      <w:marBottom w:val="0"/>
                                      <w:divBdr>
                                        <w:top w:val="none" w:sz="0" w:space="0" w:color="auto"/>
                                        <w:left w:val="none" w:sz="0" w:space="0" w:color="auto"/>
                                        <w:bottom w:val="none" w:sz="0" w:space="0" w:color="auto"/>
                                        <w:right w:val="none" w:sz="0" w:space="0" w:color="auto"/>
                                      </w:divBdr>
                                      <w:divsChild>
                                        <w:div w:id="155923402">
                                          <w:marLeft w:val="0"/>
                                          <w:marRight w:val="0"/>
                                          <w:marTop w:val="0"/>
                                          <w:marBottom w:val="0"/>
                                          <w:divBdr>
                                            <w:top w:val="none" w:sz="0" w:space="0" w:color="auto"/>
                                            <w:left w:val="none" w:sz="0" w:space="0" w:color="auto"/>
                                            <w:bottom w:val="none" w:sz="0" w:space="0" w:color="auto"/>
                                            <w:right w:val="none" w:sz="0" w:space="0" w:color="auto"/>
                                          </w:divBdr>
                                          <w:divsChild>
                                            <w:div w:id="944968088">
                                              <w:marLeft w:val="0"/>
                                              <w:marRight w:val="0"/>
                                              <w:marTop w:val="0"/>
                                              <w:marBottom w:val="0"/>
                                              <w:divBdr>
                                                <w:top w:val="none" w:sz="0" w:space="0" w:color="auto"/>
                                                <w:left w:val="none" w:sz="0" w:space="0" w:color="auto"/>
                                                <w:bottom w:val="none" w:sz="0" w:space="0" w:color="auto"/>
                                                <w:right w:val="none" w:sz="0" w:space="0" w:color="auto"/>
                                              </w:divBdr>
                                              <w:divsChild>
                                                <w:div w:id="280384396">
                                                  <w:marLeft w:val="0"/>
                                                  <w:marRight w:val="0"/>
                                                  <w:marTop w:val="0"/>
                                                  <w:marBottom w:val="0"/>
                                                  <w:divBdr>
                                                    <w:top w:val="none" w:sz="0" w:space="0" w:color="auto"/>
                                                    <w:left w:val="none" w:sz="0" w:space="0" w:color="auto"/>
                                                    <w:bottom w:val="none" w:sz="0" w:space="0" w:color="auto"/>
                                                    <w:right w:val="none" w:sz="0" w:space="0" w:color="auto"/>
                                                  </w:divBdr>
                                                  <w:divsChild>
                                                    <w:div w:id="1628462781">
                                                      <w:marLeft w:val="0"/>
                                                      <w:marRight w:val="0"/>
                                                      <w:marTop w:val="0"/>
                                                      <w:marBottom w:val="0"/>
                                                      <w:divBdr>
                                                        <w:top w:val="none" w:sz="0" w:space="0" w:color="auto"/>
                                                        <w:left w:val="none" w:sz="0" w:space="0" w:color="auto"/>
                                                        <w:bottom w:val="none" w:sz="0" w:space="0" w:color="auto"/>
                                                        <w:right w:val="none" w:sz="0" w:space="0" w:color="auto"/>
                                                      </w:divBdr>
                                                      <w:divsChild>
                                                        <w:div w:id="1852598282">
                                                          <w:marLeft w:val="0"/>
                                                          <w:marRight w:val="0"/>
                                                          <w:marTop w:val="0"/>
                                                          <w:marBottom w:val="0"/>
                                                          <w:divBdr>
                                                            <w:top w:val="none" w:sz="0" w:space="0" w:color="auto"/>
                                                            <w:left w:val="none" w:sz="0" w:space="0" w:color="auto"/>
                                                            <w:bottom w:val="none" w:sz="0" w:space="0" w:color="auto"/>
                                                            <w:right w:val="none" w:sz="0" w:space="0" w:color="auto"/>
                                                          </w:divBdr>
                                                          <w:divsChild>
                                                            <w:div w:id="2136095244">
                                                              <w:marLeft w:val="0"/>
                                                              <w:marRight w:val="0"/>
                                                              <w:marTop w:val="0"/>
                                                              <w:marBottom w:val="0"/>
                                                              <w:divBdr>
                                                                <w:top w:val="none" w:sz="0" w:space="0" w:color="auto"/>
                                                                <w:left w:val="none" w:sz="0" w:space="0" w:color="auto"/>
                                                                <w:bottom w:val="none" w:sz="0" w:space="0" w:color="auto"/>
                                                                <w:right w:val="none" w:sz="0" w:space="0" w:color="auto"/>
                                                              </w:divBdr>
                                                            </w:div>
                                                            <w:div w:id="114764056">
                                                              <w:marLeft w:val="0"/>
                                                              <w:marRight w:val="0"/>
                                                              <w:marTop w:val="0"/>
                                                              <w:marBottom w:val="0"/>
                                                              <w:divBdr>
                                                                <w:top w:val="none" w:sz="0" w:space="0" w:color="auto"/>
                                                                <w:left w:val="none" w:sz="0" w:space="0" w:color="auto"/>
                                                                <w:bottom w:val="none" w:sz="0" w:space="0" w:color="auto"/>
                                                                <w:right w:val="none" w:sz="0" w:space="0" w:color="auto"/>
                                                              </w:divBdr>
                                                            </w:div>
                                                            <w:div w:id="154414910">
                                                              <w:marLeft w:val="0"/>
                                                              <w:marRight w:val="0"/>
                                                              <w:marTop w:val="0"/>
                                                              <w:marBottom w:val="0"/>
                                                              <w:divBdr>
                                                                <w:top w:val="none" w:sz="0" w:space="0" w:color="auto"/>
                                                                <w:left w:val="none" w:sz="0" w:space="0" w:color="auto"/>
                                                                <w:bottom w:val="none" w:sz="0" w:space="0" w:color="auto"/>
                                                                <w:right w:val="none" w:sz="0" w:space="0" w:color="auto"/>
                                                              </w:divBdr>
                                                            </w:div>
                                                            <w:div w:id="202971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7750240">
                                      <w:marLeft w:val="0"/>
                                      <w:marRight w:val="0"/>
                                      <w:marTop w:val="0"/>
                                      <w:marBottom w:val="0"/>
                                      <w:divBdr>
                                        <w:top w:val="none" w:sz="0" w:space="0" w:color="auto"/>
                                        <w:left w:val="none" w:sz="0" w:space="0" w:color="auto"/>
                                        <w:bottom w:val="none" w:sz="0" w:space="0" w:color="auto"/>
                                        <w:right w:val="none" w:sz="0" w:space="0" w:color="auto"/>
                                      </w:divBdr>
                                      <w:divsChild>
                                        <w:div w:id="829174418">
                                          <w:marLeft w:val="0"/>
                                          <w:marRight w:val="0"/>
                                          <w:marTop w:val="0"/>
                                          <w:marBottom w:val="0"/>
                                          <w:divBdr>
                                            <w:top w:val="none" w:sz="0" w:space="0" w:color="auto"/>
                                            <w:left w:val="none" w:sz="0" w:space="0" w:color="auto"/>
                                            <w:bottom w:val="none" w:sz="0" w:space="0" w:color="auto"/>
                                            <w:right w:val="none" w:sz="0" w:space="0" w:color="auto"/>
                                          </w:divBdr>
                                        </w:div>
                                      </w:divsChild>
                                    </w:div>
                                    <w:div w:id="699628925">
                                      <w:marLeft w:val="0"/>
                                      <w:marRight w:val="0"/>
                                      <w:marTop w:val="0"/>
                                      <w:marBottom w:val="0"/>
                                      <w:divBdr>
                                        <w:top w:val="none" w:sz="0" w:space="0" w:color="auto"/>
                                        <w:left w:val="none" w:sz="0" w:space="0" w:color="auto"/>
                                        <w:bottom w:val="none" w:sz="0" w:space="0" w:color="auto"/>
                                        <w:right w:val="none" w:sz="0" w:space="0" w:color="auto"/>
                                      </w:divBdr>
                                      <w:divsChild>
                                        <w:div w:id="588929915">
                                          <w:marLeft w:val="0"/>
                                          <w:marRight w:val="0"/>
                                          <w:marTop w:val="0"/>
                                          <w:marBottom w:val="0"/>
                                          <w:divBdr>
                                            <w:top w:val="none" w:sz="0" w:space="0" w:color="auto"/>
                                            <w:left w:val="none" w:sz="0" w:space="0" w:color="auto"/>
                                            <w:bottom w:val="none" w:sz="0" w:space="0" w:color="auto"/>
                                            <w:right w:val="none" w:sz="0" w:space="0" w:color="auto"/>
                                          </w:divBdr>
                                          <w:divsChild>
                                            <w:div w:id="1876503129">
                                              <w:marLeft w:val="0"/>
                                              <w:marRight w:val="0"/>
                                              <w:marTop w:val="0"/>
                                              <w:marBottom w:val="0"/>
                                              <w:divBdr>
                                                <w:top w:val="none" w:sz="0" w:space="0" w:color="auto"/>
                                                <w:left w:val="none" w:sz="0" w:space="0" w:color="auto"/>
                                                <w:bottom w:val="none" w:sz="0" w:space="0" w:color="auto"/>
                                                <w:right w:val="none" w:sz="0" w:space="0" w:color="auto"/>
                                              </w:divBdr>
                                              <w:divsChild>
                                                <w:div w:id="1156262384">
                                                  <w:marLeft w:val="0"/>
                                                  <w:marRight w:val="0"/>
                                                  <w:marTop w:val="0"/>
                                                  <w:marBottom w:val="0"/>
                                                  <w:divBdr>
                                                    <w:top w:val="none" w:sz="0" w:space="0" w:color="auto"/>
                                                    <w:left w:val="none" w:sz="0" w:space="0" w:color="auto"/>
                                                    <w:bottom w:val="none" w:sz="0" w:space="0" w:color="auto"/>
                                                    <w:right w:val="none" w:sz="0" w:space="0" w:color="auto"/>
                                                  </w:divBdr>
                                                  <w:divsChild>
                                                    <w:div w:id="335692488">
                                                      <w:marLeft w:val="0"/>
                                                      <w:marRight w:val="300"/>
                                                      <w:marTop w:val="0"/>
                                                      <w:marBottom w:val="0"/>
                                                      <w:divBdr>
                                                        <w:top w:val="none" w:sz="0" w:space="0" w:color="auto"/>
                                                        <w:left w:val="none" w:sz="0" w:space="0" w:color="auto"/>
                                                        <w:bottom w:val="none" w:sz="0" w:space="0" w:color="auto"/>
                                                        <w:right w:val="none" w:sz="0" w:space="0" w:color="auto"/>
                                                      </w:divBdr>
                                                    </w:div>
                                                    <w:div w:id="180358133">
                                                      <w:marLeft w:val="0"/>
                                                      <w:marRight w:val="0"/>
                                                      <w:marTop w:val="0"/>
                                                      <w:marBottom w:val="0"/>
                                                      <w:divBdr>
                                                        <w:top w:val="none" w:sz="0" w:space="0" w:color="auto"/>
                                                        <w:left w:val="none" w:sz="0" w:space="0" w:color="auto"/>
                                                        <w:bottom w:val="none" w:sz="0" w:space="0" w:color="auto"/>
                                                        <w:right w:val="none" w:sz="0" w:space="0" w:color="auto"/>
                                                      </w:divBdr>
                                                      <w:divsChild>
                                                        <w:div w:id="270891934">
                                                          <w:marLeft w:val="0"/>
                                                          <w:marRight w:val="0"/>
                                                          <w:marTop w:val="0"/>
                                                          <w:marBottom w:val="0"/>
                                                          <w:divBdr>
                                                            <w:top w:val="none" w:sz="0" w:space="0" w:color="auto"/>
                                                            <w:left w:val="none" w:sz="0" w:space="0" w:color="auto"/>
                                                            <w:bottom w:val="none" w:sz="0" w:space="0" w:color="auto"/>
                                                            <w:right w:val="none" w:sz="0" w:space="0" w:color="auto"/>
                                                          </w:divBdr>
                                                          <w:divsChild>
                                                            <w:div w:id="1188982372">
                                                              <w:marLeft w:val="0"/>
                                                              <w:marRight w:val="0"/>
                                                              <w:marTop w:val="0"/>
                                                              <w:marBottom w:val="0"/>
                                                              <w:divBdr>
                                                                <w:top w:val="none" w:sz="0" w:space="0" w:color="auto"/>
                                                                <w:left w:val="none" w:sz="0" w:space="0" w:color="auto"/>
                                                                <w:bottom w:val="none" w:sz="0" w:space="0" w:color="auto"/>
                                                                <w:right w:val="none" w:sz="0" w:space="0" w:color="auto"/>
                                                              </w:divBdr>
                                                              <w:divsChild>
                                                                <w:div w:id="877621204">
                                                                  <w:marLeft w:val="0"/>
                                                                  <w:marRight w:val="0"/>
                                                                  <w:marTop w:val="0"/>
                                                                  <w:marBottom w:val="0"/>
                                                                  <w:divBdr>
                                                                    <w:top w:val="none" w:sz="0" w:space="0" w:color="auto"/>
                                                                    <w:left w:val="none" w:sz="0" w:space="0" w:color="auto"/>
                                                                    <w:bottom w:val="none" w:sz="0" w:space="0" w:color="auto"/>
                                                                    <w:right w:val="none" w:sz="0" w:space="0" w:color="auto"/>
                                                                  </w:divBdr>
                                                                  <w:divsChild>
                                                                    <w:div w:id="136920832">
                                                                      <w:marLeft w:val="0"/>
                                                                      <w:marRight w:val="0"/>
                                                                      <w:marTop w:val="0"/>
                                                                      <w:marBottom w:val="0"/>
                                                                      <w:divBdr>
                                                                        <w:top w:val="none" w:sz="0" w:space="0" w:color="auto"/>
                                                                        <w:left w:val="single" w:sz="48" w:space="8" w:color="74CFED"/>
                                                                        <w:bottom w:val="none" w:sz="0" w:space="0" w:color="auto"/>
                                                                        <w:right w:val="none" w:sz="0" w:space="0" w:color="auto"/>
                                                                      </w:divBdr>
                                                                    </w:div>
                                                                    <w:div w:id="278340375">
                                                                      <w:marLeft w:val="0"/>
                                                                      <w:marRight w:val="0"/>
                                                                      <w:marTop w:val="150"/>
                                                                      <w:marBottom w:val="0"/>
                                                                      <w:divBdr>
                                                                        <w:top w:val="none" w:sz="0" w:space="0" w:color="auto"/>
                                                                        <w:left w:val="none" w:sz="0" w:space="0" w:color="auto"/>
                                                                        <w:bottom w:val="none" w:sz="0" w:space="0" w:color="auto"/>
                                                                        <w:right w:val="none" w:sz="0" w:space="0" w:color="auto"/>
                                                                      </w:divBdr>
                                                                      <w:divsChild>
                                                                        <w:div w:id="1946764046">
                                                                          <w:marLeft w:val="0"/>
                                                                          <w:marRight w:val="0"/>
                                                                          <w:marTop w:val="0"/>
                                                                          <w:marBottom w:val="0"/>
                                                                          <w:divBdr>
                                                                            <w:top w:val="none" w:sz="0" w:space="0" w:color="auto"/>
                                                                            <w:left w:val="single" w:sz="48" w:space="8" w:color="A60000"/>
                                                                            <w:bottom w:val="none" w:sz="0" w:space="0" w:color="auto"/>
                                                                            <w:right w:val="none" w:sz="0" w:space="0" w:color="auto"/>
                                                                          </w:divBdr>
                                                                        </w:div>
                                                                      </w:divsChild>
                                                                    </w:div>
                                                                  </w:divsChild>
                                                                </w:div>
                                                              </w:divsChild>
                                                            </w:div>
                                                          </w:divsChild>
                                                        </w:div>
                                                      </w:divsChild>
                                                    </w:div>
                                                  </w:divsChild>
                                                </w:div>
                                              </w:divsChild>
                                            </w:div>
                                          </w:divsChild>
                                        </w:div>
                                      </w:divsChild>
                                    </w:div>
                                    <w:div w:id="1687437337">
                                      <w:marLeft w:val="0"/>
                                      <w:marRight w:val="0"/>
                                      <w:marTop w:val="0"/>
                                      <w:marBottom w:val="0"/>
                                      <w:divBdr>
                                        <w:top w:val="none" w:sz="0" w:space="0" w:color="auto"/>
                                        <w:left w:val="none" w:sz="0" w:space="0" w:color="auto"/>
                                        <w:bottom w:val="none" w:sz="0" w:space="0" w:color="auto"/>
                                        <w:right w:val="none" w:sz="0" w:space="0" w:color="auto"/>
                                      </w:divBdr>
                                      <w:divsChild>
                                        <w:div w:id="1978073654">
                                          <w:marLeft w:val="0"/>
                                          <w:marRight w:val="0"/>
                                          <w:marTop w:val="0"/>
                                          <w:marBottom w:val="0"/>
                                          <w:divBdr>
                                            <w:top w:val="none" w:sz="0" w:space="0" w:color="auto"/>
                                            <w:left w:val="none" w:sz="0" w:space="0" w:color="auto"/>
                                            <w:bottom w:val="none" w:sz="0" w:space="0" w:color="auto"/>
                                            <w:right w:val="none" w:sz="0" w:space="0" w:color="auto"/>
                                          </w:divBdr>
                                          <w:divsChild>
                                            <w:div w:id="177938274">
                                              <w:marLeft w:val="0"/>
                                              <w:marRight w:val="0"/>
                                              <w:marTop w:val="0"/>
                                              <w:marBottom w:val="0"/>
                                              <w:divBdr>
                                                <w:top w:val="none" w:sz="0" w:space="0" w:color="auto"/>
                                                <w:left w:val="none" w:sz="0" w:space="0" w:color="auto"/>
                                                <w:bottom w:val="none" w:sz="0" w:space="0" w:color="auto"/>
                                                <w:right w:val="none" w:sz="0" w:space="0" w:color="auto"/>
                                              </w:divBdr>
                                              <w:divsChild>
                                                <w:div w:id="62050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202473">
                                      <w:marLeft w:val="0"/>
                                      <w:marRight w:val="0"/>
                                      <w:marTop w:val="0"/>
                                      <w:marBottom w:val="0"/>
                                      <w:divBdr>
                                        <w:top w:val="none" w:sz="0" w:space="0" w:color="auto"/>
                                        <w:left w:val="none" w:sz="0" w:space="0" w:color="auto"/>
                                        <w:bottom w:val="none" w:sz="0" w:space="0" w:color="auto"/>
                                        <w:right w:val="none" w:sz="0" w:space="0" w:color="auto"/>
                                      </w:divBdr>
                                      <w:divsChild>
                                        <w:div w:id="1724596605">
                                          <w:marLeft w:val="0"/>
                                          <w:marRight w:val="0"/>
                                          <w:marTop w:val="0"/>
                                          <w:marBottom w:val="0"/>
                                          <w:divBdr>
                                            <w:top w:val="none" w:sz="0" w:space="0" w:color="auto"/>
                                            <w:left w:val="none" w:sz="0" w:space="0" w:color="auto"/>
                                            <w:bottom w:val="none" w:sz="0" w:space="0" w:color="auto"/>
                                            <w:right w:val="none" w:sz="0" w:space="0" w:color="auto"/>
                                          </w:divBdr>
                                          <w:divsChild>
                                            <w:div w:id="1916432591">
                                              <w:marLeft w:val="0"/>
                                              <w:marRight w:val="0"/>
                                              <w:marTop w:val="0"/>
                                              <w:marBottom w:val="0"/>
                                              <w:divBdr>
                                                <w:top w:val="none" w:sz="0" w:space="0" w:color="auto"/>
                                                <w:left w:val="none" w:sz="0" w:space="0" w:color="auto"/>
                                                <w:bottom w:val="none" w:sz="0" w:space="0" w:color="auto"/>
                                                <w:right w:val="none" w:sz="0" w:space="0" w:color="auto"/>
                                              </w:divBdr>
                                              <w:divsChild>
                                                <w:div w:id="670564722">
                                                  <w:marLeft w:val="0"/>
                                                  <w:marRight w:val="0"/>
                                                  <w:marTop w:val="0"/>
                                                  <w:marBottom w:val="0"/>
                                                  <w:divBdr>
                                                    <w:top w:val="none" w:sz="0" w:space="0" w:color="auto"/>
                                                    <w:left w:val="none" w:sz="0" w:space="0" w:color="auto"/>
                                                    <w:bottom w:val="none" w:sz="0" w:space="0" w:color="auto"/>
                                                    <w:right w:val="none" w:sz="0" w:space="0" w:color="auto"/>
                                                  </w:divBdr>
                                                  <w:divsChild>
                                                    <w:div w:id="1346440471">
                                                      <w:marLeft w:val="0"/>
                                                      <w:marRight w:val="0"/>
                                                      <w:marTop w:val="0"/>
                                                      <w:marBottom w:val="0"/>
                                                      <w:divBdr>
                                                        <w:top w:val="none" w:sz="0" w:space="0" w:color="auto"/>
                                                        <w:left w:val="none" w:sz="0" w:space="0" w:color="auto"/>
                                                        <w:bottom w:val="none" w:sz="0" w:space="0" w:color="auto"/>
                                                        <w:right w:val="none" w:sz="0" w:space="0" w:color="auto"/>
                                                      </w:divBdr>
                                                      <w:divsChild>
                                                        <w:div w:id="1538469313">
                                                          <w:marLeft w:val="0"/>
                                                          <w:marRight w:val="0"/>
                                                          <w:marTop w:val="0"/>
                                                          <w:marBottom w:val="0"/>
                                                          <w:divBdr>
                                                            <w:top w:val="none" w:sz="0" w:space="0" w:color="auto"/>
                                                            <w:left w:val="none" w:sz="0" w:space="0" w:color="auto"/>
                                                            <w:bottom w:val="none" w:sz="0" w:space="0" w:color="auto"/>
                                                            <w:right w:val="none" w:sz="0" w:space="0" w:color="auto"/>
                                                          </w:divBdr>
                                                          <w:divsChild>
                                                            <w:div w:id="867640705">
                                                              <w:marLeft w:val="0"/>
                                                              <w:marRight w:val="0"/>
                                                              <w:marTop w:val="240"/>
                                                              <w:marBottom w:val="240"/>
                                                              <w:divBdr>
                                                                <w:top w:val="single" w:sz="6" w:space="12" w:color="CCCCCC"/>
                                                                <w:left w:val="single" w:sz="2" w:space="12" w:color="CCCCCC"/>
                                                                <w:bottom w:val="single" w:sz="6" w:space="12" w:color="CCCCCC"/>
                                                                <w:right w:val="single" w:sz="2" w:space="12" w:color="CCCCCC"/>
                                                              </w:divBdr>
                                                              <w:divsChild>
                                                                <w:div w:id="1767460388">
                                                                  <w:marLeft w:val="0"/>
                                                                  <w:marRight w:val="0"/>
                                                                  <w:marTop w:val="0"/>
                                                                  <w:marBottom w:val="150"/>
                                                                  <w:divBdr>
                                                                    <w:top w:val="none" w:sz="0" w:space="0" w:color="auto"/>
                                                                    <w:left w:val="none" w:sz="0" w:space="0" w:color="auto"/>
                                                                    <w:bottom w:val="none" w:sz="0" w:space="0" w:color="auto"/>
                                                                    <w:right w:val="none" w:sz="0" w:space="0" w:color="auto"/>
                                                                  </w:divBdr>
                                                                  <w:divsChild>
                                                                    <w:div w:id="156463745">
                                                                      <w:marLeft w:val="0"/>
                                                                      <w:marRight w:val="0"/>
                                                                      <w:marTop w:val="0"/>
                                                                      <w:marBottom w:val="0"/>
                                                                      <w:divBdr>
                                                                        <w:top w:val="none" w:sz="0" w:space="0" w:color="auto"/>
                                                                        <w:left w:val="none" w:sz="0" w:space="0" w:color="auto"/>
                                                                        <w:bottom w:val="none" w:sz="0" w:space="0" w:color="auto"/>
                                                                        <w:right w:val="none" w:sz="0" w:space="0" w:color="auto"/>
                                                                      </w:divBdr>
                                                                    </w:div>
                                                                  </w:divsChild>
                                                                </w:div>
                                                                <w:div w:id="166104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657118">
                                                          <w:marLeft w:val="0"/>
                                                          <w:marRight w:val="0"/>
                                                          <w:marTop w:val="0"/>
                                                          <w:marBottom w:val="0"/>
                                                          <w:divBdr>
                                                            <w:top w:val="none" w:sz="0" w:space="0" w:color="auto"/>
                                                            <w:left w:val="none" w:sz="0" w:space="0" w:color="auto"/>
                                                            <w:bottom w:val="none" w:sz="0" w:space="0" w:color="auto"/>
                                                            <w:right w:val="none" w:sz="0" w:space="0" w:color="auto"/>
                                                          </w:divBdr>
                                                          <w:divsChild>
                                                            <w:div w:id="197394653">
                                                              <w:marLeft w:val="0"/>
                                                              <w:marRight w:val="0"/>
                                                              <w:marTop w:val="0"/>
                                                              <w:marBottom w:val="0"/>
                                                              <w:divBdr>
                                                                <w:top w:val="none" w:sz="0" w:space="0" w:color="auto"/>
                                                                <w:left w:val="none" w:sz="0" w:space="0" w:color="auto"/>
                                                                <w:bottom w:val="none" w:sz="0" w:space="0" w:color="auto"/>
                                                                <w:right w:val="none" w:sz="0" w:space="0" w:color="auto"/>
                                                              </w:divBdr>
                                                              <w:divsChild>
                                                                <w:div w:id="651834832">
                                                                  <w:marLeft w:val="0"/>
                                                                  <w:marRight w:val="0"/>
                                                                  <w:marTop w:val="0"/>
                                                                  <w:marBottom w:val="150"/>
                                                                  <w:divBdr>
                                                                    <w:top w:val="none" w:sz="0" w:space="0" w:color="auto"/>
                                                                    <w:left w:val="none" w:sz="0" w:space="0" w:color="auto"/>
                                                                    <w:bottom w:val="none" w:sz="0" w:space="0" w:color="auto"/>
                                                                    <w:right w:val="none" w:sz="0" w:space="0" w:color="auto"/>
                                                                  </w:divBdr>
                                                                  <w:divsChild>
                                                                    <w:div w:id="177524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875687">
                                                              <w:marLeft w:val="0"/>
                                                              <w:marRight w:val="0"/>
                                                              <w:marTop w:val="0"/>
                                                              <w:marBottom w:val="0"/>
                                                              <w:divBdr>
                                                                <w:top w:val="none" w:sz="0" w:space="0" w:color="auto"/>
                                                                <w:left w:val="none" w:sz="0" w:space="0" w:color="auto"/>
                                                                <w:bottom w:val="none" w:sz="0" w:space="0" w:color="auto"/>
                                                                <w:right w:val="none" w:sz="0" w:space="0" w:color="auto"/>
                                                              </w:divBdr>
                                                            </w:div>
                                                            <w:div w:id="1344747518">
                                                              <w:marLeft w:val="0"/>
                                                              <w:marRight w:val="0"/>
                                                              <w:marTop w:val="0"/>
                                                              <w:marBottom w:val="0"/>
                                                              <w:divBdr>
                                                                <w:top w:val="none" w:sz="0" w:space="0" w:color="auto"/>
                                                                <w:left w:val="none" w:sz="0" w:space="0" w:color="auto"/>
                                                                <w:bottom w:val="none" w:sz="0" w:space="0" w:color="auto"/>
                                                                <w:right w:val="none" w:sz="0" w:space="0" w:color="auto"/>
                                                              </w:divBdr>
                                                            </w:div>
                                                            <w:div w:id="553082057">
                                                              <w:marLeft w:val="0"/>
                                                              <w:marRight w:val="0"/>
                                                              <w:marTop w:val="0"/>
                                                              <w:marBottom w:val="0"/>
                                                              <w:divBdr>
                                                                <w:top w:val="none" w:sz="0" w:space="0" w:color="auto"/>
                                                                <w:left w:val="none" w:sz="0" w:space="0" w:color="auto"/>
                                                                <w:bottom w:val="none" w:sz="0" w:space="0" w:color="auto"/>
                                                                <w:right w:val="none" w:sz="0" w:space="0" w:color="auto"/>
                                                              </w:divBdr>
                                                            </w:div>
                                                            <w:div w:id="1010988537">
                                                              <w:marLeft w:val="0"/>
                                                              <w:marRight w:val="0"/>
                                                              <w:marTop w:val="0"/>
                                                              <w:marBottom w:val="0"/>
                                                              <w:divBdr>
                                                                <w:top w:val="none" w:sz="0" w:space="0" w:color="auto"/>
                                                                <w:left w:val="none" w:sz="0" w:space="0" w:color="auto"/>
                                                                <w:bottom w:val="none" w:sz="0" w:space="0" w:color="auto"/>
                                                                <w:right w:val="none" w:sz="0" w:space="0" w:color="auto"/>
                                                              </w:divBdr>
                                                            </w:div>
                                                            <w:div w:id="1837961878">
                                                              <w:marLeft w:val="0"/>
                                                              <w:marRight w:val="0"/>
                                                              <w:marTop w:val="0"/>
                                                              <w:marBottom w:val="0"/>
                                                              <w:divBdr>
                                                                <w:top w:val="none" w:sz="0" w:space="0" w:color="auto"/>
                                                                <w:left w:val="none" w:sz="0" w:space="0" w:color="auto"/>
                                                                <w:bottom w:val="none" w:sz="0" w:space="0" w:color="auto"/>
                                                                <w:right w:val="none" w:sz="0" w:space="0" w:color="auto"/>
                                                              </w:divBdr>
                                                            </w:div>
                                                            <w:div w:id="377247310">
                                                              <w:marLeft w:val="0"/>
                                                              <w:marRight w:val="0"/>
                                                              <w:marTop w:val="0"/>
                                                              <w:marBottom w:val="0"/>
                                                              <w:divBdr>
                                                                <w:top w:val="none" w:sz="0" w:space="0" w:color="auto"/>
                                                                <w:left w:val="none" w:sz="0" w:space="0" w:color="auto"/>
                                                                <w:bottom w:val="none" w:sz="0" w:space="0" w:color="auto"/>
                                                                <w:right w:val="none" w:sz="0" w:space="0" w:color="auto"/>
                                                              </w:divBdr>
                                                            </w:div>
                                                          </w:divsChild>
                                                        </w:div>
                                                        <w:div w:id="1091782956">
                                                          <w:marLeft w:val="0"/>
                                                          <w:marRight w:val="0"/>
                                                          <w:marTop w:val="0"/>
                                                          <w:marBottom w:val="0"/>
                                                          <w:divBdr>
                                                            <w:top w:val="none" w:sz="0" w:space="0" w:color="auto"/>
                                                            <w:left w:val="none" w:sz="0" w:space="0" w:color="auto"/>
                                                            <w:bottom w:val="none" w:sz="0" w:space="0" w:color="auto"/>
                                                            <w:right w:val="none" w:sz="0" w:space="0" w:color="auto"/>
                                                          </w:divBdr>
                                                          <w:divsChild>
                                                            <w:div w:id="365064506">
                                                              <w:marLeft w:val="0"/>
                                                              <w:marRight w:val="0"/>
                                                              <w:marTop w:val="0"/>
                                                              <w:marBottom w:val="0"/>
                                                              <w:divBdr>
                                                                <w:top w:val="none" w:sz="0" w:space="0" w:color="auto"/>
                                                                <w:left w:val="none" w:sz="0" w:space="0" w:color="auto"/>
                                                                <w:bottom w:val="none" w:sz="0" w:space="0" w:color="auto"/>
                                                                <w:right w:val="none" w:sz="0" w:space="0" w:color="auto"/>
                                                              </w:divBdr>
                                                              <w:divsChild>
                                                                <w:div w:id="771898920">
                                                                  <w:marLeft w:val="0"/>
                                                                  <w:marRight w:val="0"/>
                                                                  <w:marTop w:val="240"/>
                                                                  <w:marBottom w:val="240"/>
                                                                  <w:divBdr>
                                                                    <w:top w:val="single" w:sz="6" w:space="12" w:color="CCCCCC"/>
                                                                    <w:left w:val="none" w:sz="0" w:space="0" w:color="auto"/>
                                                                    <w:bottom w:val="single" w:sz="6" w:space="12" w:color="CCCCCC"/>
                                                                    <w:right w:val="none" w:sz="0" w:space="0" w:color="auto"/>
                                                                  </w:divBdr>
                                                                  <w:divsChild>
                                                                    <w:div w:id="1190068978">
                                                                      <w:marLeft w:val="240"/>
                                                                      <w:marRight w:val="0"/>
                                                                      <w:marTop w:val="0"/>
                                                                      <w:marBottom w:val="0"/>
                                                                      <w:divBdr>
                                                                        <w:top w:val="none" w:sz="0" w:space="0" w:color="auto"/>
                                                                        <w:left w:val="none" w:sz="0" w:space="0" w:color="auto"/>
                                                                        <w:bottom w:val="none" w:sz="0" w:space="0" w:color="auto"/>
                                                                        <w:right w:val="none" w:sz="0" w:space="0" w:color="auto"/>
                                                                      </w:divBdr>
                                                                      <w:divsChild>
                                                                        <w:div w:id="670059914">
                                                                          <w:marLeft w:val="0"/>
                                                                          <w:marRight w:val="0"/>
                                                                          <w:marTop w:val="0"/>
                                                                          <w:marBottom w:val="0"/>
                                                                          <w:divBdr>
                                                                            <w:top w:val="none" w:sz="0" w:space="0" w:color="auto"/>
                                                                            <w:left w:val="none" w:sz="0" w:space="0" w:color="auto"/>
                                                                            <w:bottom w:val="none" w:sz="0" w:space="0" w:color="auto"/>
                                                                            <w:right w:val="none" w:sz="0" w:space="0" w:color="auto"/>
                                                                          </w:divBdr>
                                                                        </w:div>
                                                                      </w:divsChild>
                                                                    </w:div>
                                                                    <w:div w:id="30929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307961">
                                                              <w:marLeft w:val="0"/>
                                                              <w:marRight w:val="0"/>
                                                              <w:marTop w:val="0"/>
                                                              <w:marBottom w:val="0"/>
                                                              <w:divBdr>
                                                                <w:top w:val="none" w:sz="0" w:space="0" w:color="auto"/>
                                                                <w:left w:val="none" w:sz="0" w:space="0" w:color="auto"/>
                                                                <w:bottom w:val="none" w:sz="0" w:space="0" w:color="auto"/>
                                                                <w:right w:val="none" w:sz="0" w:space="0" w:color="auto"/>
                                                              </w:divBdr>
                                                              <w:divsChild>
                                                                <w:div w:id="745806134">
                                                                  <w:marLeft w:val="0"/>
                                                                  <w:marRight w:val="0"/>
                                                                  <w:marTop w:val="240"/>
                                                                  <w:marBottom w:val="240"/>
                                                                  <w:divBdr>
                                                                    <w:top w:val="single" w:sz="6" w:space="12" w:color="CCCCCC"/>
                                                                    <w:left w:val="single" w:sz="2" w:space="12" w:color="CCCCCC"/>
                                                                    <w:bottom w:val="single" w:sz="6" w:space="12" w:color="CCCCCC"/>
                                                                    <w:right w:val="single" w:sz="2" w:space="12" w:color="CCCCCC"/>
                                                                  </w:divBdr>
                                                                  <w:divsChild>
                                                                    <w:div w:id="165556056">
                                                                      <w:marLeft w:val="0"/>
                                                                      <w:marRight w:val="0"/>
                                                                      <w:marTop w:val="0"/>
                                                                      <w:marBottom w:val="150"/>
                                                                      <w:divBdr>
                                                                        <w:top w:val="none" w:sz="0" w:space="0" w:color="auto"/>
                                                                        <w:left w:val="none" w:sz="0" w:space="0" w:color="auto"/>
                                                                        <w:bottom w:val="none" w:sz="0" w:space="0" w:color="auto"/>
                                                                        <w:right w:val="none" w:sz="0" w:space="0" w:color="auto"/>
                                                                      </w:divBdr>
                                                                      <w:divsChild>
                                                                        <w:div w:id="1932666162">
                                                                          <w:marLeft w:val="0"/>
                                                                          <w:marRight w:val="0"/>
                                                                          <w:marTop w:val="0"/>
                                                                          <w:marBottom w:val="0"/>
                                                                          <w:divBdr>
                                                                            <w:top w:val="none" w:sz="0" w:space="0" w:color="auto"/>
                                                                            <w:left w:val="none" w:sz="0" w:space="0" w:color="auto"/>
                                                                            <w:bottom w:val="none" w:sz="0" w:space="0" w:color="auto"/>
                                                                            <w:right w:val="none" w:sz="0" w:space="0" w:color="auto"/>
                                                                          </w:divBdr>
                                                                        </w:div>
                                                                      </w:divsChild>
                                                                    </w:div>
                                                                    <w:div w:id="2003001869">
                                                                      <w:marLeft w:val="0"/>
                                                                      <w:marRight w:val="0"/>
                                                                      <w:marTop w:val="0"/>
                                                                      <w:marBottom w:val="0"/>
                                                                      <w:divBdr>
                                                                        <w:top w:val="none" w:sz="0" w:space="0" w:color="auto"/>
                                                                        <w:left w:val="none" w:sz="0" w:space="0" w:color="auto"/>
                                                                        <w:bottom w:val="none" w:sz="0" w:space="0" w:color="auto"/>
                                                                        <w:right w:val="none" w:sz="0" w:space="0" w:color="auto"/>
                                                                      </w:divBdr>
                                                                    </w:div>
                                                                  </w:divsChild>
                                                                </w:div>
                                                                <w:div w:id="1934436378">
                                                                  <w:marLeft w:val="0"/>
                                                                  <w:marRight w:val="0"/>
                                                                  <w:marTop w:val="240"/>
                                                                  <w:marBottom w:val="240"/>
                                                                  <w:divBdr>
                                                                    <w:top w:val="single" w:sz="6" w:space="12" w:color="CCCCCC"/>
                                                                    <w:left w:val="single" w:sz="2" w:space="12" w:color="CCCCCC"/>
                                                                    <w:bottom w:val="single" w:sz="6" w:space="12" w:color="CCCCCC"/>
                                                                    <w:right w:val="single" w:sz="2" w:space="12" w:color="CCCCCC"/>
                                                                  </w:divBdr>
                                                                  <w:divsChild>
                                                                    <w:div w:id="803810111">
                                                                      <w:marLeft w:val="0"/>
                                                                      <w:marRight w:val="0"/>
                                                                      <w:marTop w:val="0"/>
                                                                      <w:marBottom w:val="150"/>
                                                                      <w:divBdr>
                                                                        <w:top w:val="none" w:sz="0" w:space="0" w:color="auto"/>
                                                                        <w:left w:val="none" w:sz="0" w:space="0" w:color="auto"/>
                                                                        <w:bottom w:val="none" w:sz="0" w:space="0" w:color="auto"/>
                                                                        <w:right w:val="none" w:sz="0" w:space="0" w:color="auto"/>
                                                                      </w:divBdr>
                                                                      <w:divsChild>
                                                                        <w:div w:id="835463592">
                                                                          <w:marLeft w:val="0"/>
                                                                          <w:marRight w:val="0"/>
                                                                          <w:marTop w:val="0"/>
                                                                          <w:marBottom w:val="0"/>
                                                                          <w:divBdr>
                                                                            <w:top w:val="none" w:sz="0" w:space="0" w:color="auto"/>
                                                                            <w:left w:val="none" w:sz="0" w:space="0" w:color="auto"/>
                                                                            <w:bottom w:val="none" w:sz="0" w:space="0" w:color="auto"/>
                                                                            <w:right w:val="none" w:sz="0" w:space="0" w:color="auto"/>
                                                                          </w:divBdr>
                                                                        </w:div>
                                                                      </w:divsChild>
                                                                    </w:div>
                                                                    <w:div w:id="147575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219838">
                                                          <w:marLeft w:val="0"/>
                                                          <w:marRight w:val="0"/>
                                                          <w:marTop w:val="0"/>
                                                          <w:marBottom w:val="0"/>
                                                          <w:divBdr>
                                                            <w:top w:val="none" w:sz="0" w:space="0" w:color="auto"/>
                                                            <w:left w:val="none" w:sz="0" w:space="0" w:color="auto"/>
                                                            <w:bottom w:val="none" w:sz="0" w:space="0" w:color="auto"/>
                                                            <w:right w:val="none" w:sz="0" w:space="0" w:color="auto"/>
                                                          </w:divBdr>
                                                          <w:divsChild>
                                                            <w:div w:id="828444300">
                                                              <w:marLeft w:val="0"/>
                                                              <w:marRight w:val="0"/>
                                                              <w:marTop w:val="0"/>
                                                              <w:marBottom w:val="0"/>
                                                              <w:divBdr>
                                                                <w:top w:val="none" w:sz="0" w:space="0" w:color="auto"/>
                                                                <w:left w:val="none" w:sz="0" w:space="0" w:color="auto"/>
                                                                <w:bottom w:val="none" w:sz="0" w:space="0" w:color="auto"/>
                                                                <w:right w:val="none" w:sz="0" w:space="0" w:color="auto"/>
                                                              </w:divBdr>
                                                            </w:div>
                                                            <w:div w:id="667489232">
                                                              <w:marLeft w:val="0"/>
                                                              <w:marRight w:val="0"/>
                                                              <w:marTop w:val="0"/>
                                                              <w:marBottom w:val="0"/>
                                                              <w:divBdr>
                                                                <w:top w:val="none" w:sz="0" w:space="0" w:color="auto"/>
                                                                <w:left w:val="none" w:sz="0" w:space="0" w:color="auto"/>
                                                                <w:bottom w:val="none" w:sz="0" w:space="0" w:color="auto"/>
                                                                <w:right w:val="none" w:sz="0" w:space="0" w:color="auto"/>
                                                              </w:divBdr>
                                                            </w:div>
                                                          </w:divsChild>
                                                        </w:div>
                                                        <w:div w:id="1019938255">
                                                          <w:marLeft w:val="0"/>
                                                          <w:marRight w:val="0"/>
                                                          <w:marTop w:val="0"/>
                                                          <w:marBottom w:val="0"/>
                                                          <w:divBdr>
                                                            <w:top w:val="none" w:sz="0" w:space="0" w:color="auto"/>
                                                            <w:left w:val="none" w:sz="0" w:space="0" w:color="auto"/>
                                                            <w:bottom w:val="none" w:sz="0" w:space="0" w:color="auto"/>
                                                            <w:right w:val="none" w:sz="0" w:space="0" w:color="auto"/>
                                                          </w:divBdr>
                                                          <w:divsChild>
                                                            <w:div w:id="882325938">
                                                              <w:marLeft w:val="0"/>
                                                              <w:marRight w:val="0"/>
                                                              <w:marTop w:val="300"/>
                                                              <w:marBottom w:val="150"/>
                                                              <w:divBdr>
                                                                <w:top w:val="single" w:sz="6" w:space="15" w:color="CCCCCC"/>
                                                                <w:left w:val="single" w:sz="6" w:space="15" w:color="CCCCCC"/>
                                                                <w:bottom w:val="single" w:sz="6" w:space="15" w:color="CCCCCC"/>
                                                                <w:right w:val="single" w:sz="6" w:space="15" w:color="CCCCCC"/>
                                                              </w:divBdr>
                                                            </w:div>
                                                            <w:div w:id="684288269">
                                                              <w:marLeft w:val="0"/>
                                                              <w:marRight w:val="0"/>
                                                              <w:marTop w:val="300"/>
                                                              <w:marBottom w:val="150"/>
                                                              <w:divBdr>
                                                                <w:top w:val="single" w:sz="6" w:space="15" w:color="CCCCCC"/>
                                                                <w:left w:val="single" w:sz="6" w:space="15" w:color="CCCCCC"/>
                                                                <w:bottom w:val="single" w:sz="6" w:space="15" w:color="CCCCCC"/>
                                                                <w:right w:val="single" w:sz="6" w:space="15" w:color="CCCCCC"/>
                                                              </w:divBdr>
                                                            </w:div>
                                                          </w:divsChild>
                                                        </w:div>
                                                      </w:divsChild>
                                                    </w:div>
                                                  </w:divsChild>
                                                </w:div>
                                              </w:divsChild>
                                            </w:div>
                                          </w:divsChild>
                                        </w:div>
                                      </w:divsChild>
                                    </w:div>
                                  </w:divsChild>
                                </w:div>
                              </w:divsChild>
                            </w:div>
                          </w:divsChild>
                        </w:div>
                      </w:divsChild>
                    </w:div>
                  </w:divsChild>
                </w:div>
              </w:divsChild>
            </w:div>
          </w:divsChild>
        </w:div>
      </w:divsChild>
    </w:div>
    <w:div w:id="213857288">
      <w:bodyDiv w:val="1"/>
      <w:marLeft w:val="0"/>
      <w:marRight w:val="0"/>
      <w:marTop w:val="0"/>
      <w:marBottom w:val="0"/>
      <w:divBdr>
        <w:top w:val="none" w:sz="0" w:space="0" w:color="auto"/>
        <w:left w:val="none" w:sz="0" w:space="0" w:color="auto"/>
        <w:bottom w:val="none" w:sz="0" w:space="0" w:color="auto"/>
        <w:right w:val="none" w:sz="0" w:space="0" w:color="auto"/>
      </w:divBdr>
    </w:div>
    <w:div w:id="340662453">
      <w:bodyDiv w:val="1"/>
      <w:marLeft w:val="0"/>
      <w:marRight w:val="0"/>
      <w:marTop w:val="0"/>
      <w:marBottom w:val="0"/>
      <w:divBdr>
        <w:top w:val="none" w:sz="0" w:space="0" w:color="auto"/>
        <w:left w:val="none" w:sz="0" w:space="0" w:color="auto"/>
        <w:bottom w:val="none" w:sz="0" w:space="0" w:color="auto"/>
        <w:right w:val="none" w:sz="0" w:space="0" w:color="auto"/>
      </w:divBdr>
    </w:div>
    <w:div w:id="556670873">
      <w:bodyDiv w:val="1"/>
      <w:marLeft w:val="0"/>
      <w:marRight w:val="0"/>
      <w:marTop w:val="0"/>
      <w:marBottom w:val="0"/>
      <w:divBdr>
        <w:top w:val="none" w:sz="0" w:space="0" w:color="auto"/>
        <w:left w:val="none" w:sz="0" w:space="0" w:color="auto"/>
        <w:bottom w:val="none" w:sz="0" w:space="0" w:color="auto"/>
        <w:right w:val="none" w:sz="0" w:space="0" w:color="auto"/>
      </w:divBdr>
      <w:divsChild>
        <w:div w:id="1725106684">
          <w:marLeft w:val="0"/>
          <w:marRight w:val="0"/>
          <w:marTop w:val="0"/>
          <w:marBottom w:val="0"/>
          <w:divBdr>
            <w:top w:val="none" w:sz="0" w:space="0" w:color="auto"/>
            <w:left w:val="none" w:sz="0" w:space="0" w:color="auto"/>
            <w:bottom w:val="none" w:sz="0" w:space="0" w:color="auto"/>
            <w:right w:val="none" w:sz="0" w:space="0" w:color="auto"/>
          </w:divBdr>
          <w:divsChild>
            <w:div w:id="1217739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506644">
      <w:bodyDiv w:val="1"/>
      <w:marLeft w:val="0"/>
      <w:marRight w:val="0"/>
      <w:marTop w:val="0"/>
      <w:marBottom w:val="0"/>
      <w:divBdr>
        <w:top w:val="none" w:sz="0" w:space="0" w:color="auto"/>
        <w:left w:val="none" w:sz="0" w:space="0" w:color="auto"/>
        <w:bottom w:val="none" w:sz="0" w:space="0" w:color="auto"/>
        <w:right w:val="none" w:sz="0" w:space="0" w:color="auto"/>
      </w:divBdr>
      <w:divsChild>
        <w:div w:id="653804326">
          <w:marLeft w:val="547"/>
          <w:marRight w:val="0"/>
          <w:marTop w:val="0"/>
          <w:marBottom w:val="0"/>
          <w:divBdr>
            <w:top w:val="none" w:sz="0" w:space="0" w:color="auto"/>
            <w:left w:val="none" w:sz="0" w:space="0" w:color="auto"/>
            <w:bottom w:val="none" w:sz="0" w:space="0" w:color="auto"/>
            <w:right w:val="none" w:sz="0" w:space="0" w:color="auto"/>
          </w:divBdr>
        </w:div>
      </w:divsChild>
    </w:div>
    <w:div w:id="653342701">
      <w:bodyDiv w:val="1"/>
      <w:marLeft w:val="0"/>
      <w:marRight w:val="0"/>
      <w:marTop w:val="0"/>
      <w:marBottom w:val="0"/>
      <w:divBdr>
        <w:top w:val="none" w:sz="0" w:space="0" w:color="auto"/>
        <w:left w:val="none" w:sz="0" w:space="0" w:color="auto"/>
        <w:bottom w:val="none" w:sz="0" w:space="0" w:color="auto"/>
        <w:right w:val="none" w:sz="0" w:space="0" w:color="auto"/>
      </w:divBdr>
    </w:div>
    <w:div w:id="900291343">
      <w:bodyDiv w:val="1"/>
      <w:marLeft w:val="0"/>
      <w:marRight w:val="0"/>
      <w:marTop w:val="0"/>
      <w:marBottom w:val="0"/>
      <w:divBdr>
        <w:top w:val="none" w:sz="0" w:space="0" w:color="auto"/>
        <w:left w:val="none" w:sz="0" w:space="0" w:color="auto"/>
        <w:bottom w:val="none" w:sz="0" w:space="0" w:color="auto"/>
        <w:right w:val="none" w:sz="0" w:space="0" w:color="auto"/>
      </w:divBdr>
    </w:div>
    <w:div w:id="902836278">
      <w:bodyDiv w:val="1"/>
      <w:marLeft w:val="0"/>
      <w:marRight w:val="0"/>
      <w:marTop w:val="0"/>
      <w:marBottom w:val="0"/>
      <w:divBdr>
        <w:top w:val="none" w:sz="0" w:space="0" w:color="auto"/>
        <w:left w:val="none" w:sz="0" w:space="0" w:color="auto"/>
        <w:bottom w:val="none" w:sz="0" w:space="0" w:color="auto"/>
        <w:right w:val="none" w:sz="0" w:space="0" w:color="auto"/>
      </w:divBdr>
    </w:div>
    <w:div w:id="1137143093">
      <w:bodyDiv w:val="1"/>
      <w:marLeft w:val="0"/>
      <w:marRight w:val="0"/>
      <w:marTop w:val="0"/>
      <w:marBottom w:val="0"/>
      <w:divBdr>
        <w:top w:val="none" w:sz="0" w:space="0" w:color="auto"/>
        <w:left w:val="none" w:sz="0" w:space="0" w:color="auto"/>
        <w:bottom w:val="none" w:sz="0" w:space="0" w:color="auto"/>
        <w:right w:val="none" w:sz="0" w:space="0" w:color="auto"/>
      </w:divBdr>
    </w:div>
    <w:div w:id="1168983762">
      <w:bodyDiv w:val="1"/>
      <w:marLeft w:val="0"/>
      <w:marRight w:val="0"/>
      <w:marTop w:val="0"/>
      <w:marBottom w:val="0"/>
      <w:divBdr>
        <w:top w:val="none" w:sz="0" w:space="0" w:color="auto"/>
        <w:left w:val="none" w:sz="0" w:space="0" w:color="auto"/>
        <w:bottom w:val="none" w:sz="0" w:space="0" w:color="auto"/>
        <w:right w:val="none" w:sz="0" w:space="0" w:color="auto"/>
      </w:divBdr>
    </w:div>
    <w:div w:id="1265187687">
      <w:bodyDiv w:val="1"/>
      <w:marLeft w:val="0"/>
      <w:marRight w:val="0"/>
      <w:marTop w:val="0"/>
      <w:marBottom w:val="0"/>
      <w:divBdr>
        <w:top w:val="none" w:sz="0" w:space="0" w:color="auto"/>
        <w:left w:val="none" w:sz="0" w:space="0" w:color="auto"/>
        <w:bottom w:val="none" w:sz="0" w:space="0" w:color="auto"/>
        <w:right w:val="none" w:sz="0" w:space="0" w:color="auto"/>
      </w:divBdr>
    </w:div>
    <w:div w:id="1278096800">
      <w:bodyDiv w:val="1"/>
      <w:marLeft w:val="0"/>
      <w:marRight w:val="0"/>
      <w:marTop w:val="0"/>
      <w:marBottom w:val="0"/>
      <w:divBdr>
        <w:top w:val="none" w:sz="0" w:space="0" w:color="auto"/>
        <w:left w:val="none" w:sz="0" w:space="0" w:color="auto"/>
        <w:bottom w:val="none" w:sz="0" w:space="0" w:color="auto"/>
        <w:right w:val="none" w:sz="0" w:space="0" w:color="auto"/>
      </w:divBdr>
    </w:div>
    <w:div w:id="1340354205">
      <w:bodyDiv w:val="1"/>
      <w:marLeft w:val="0"/>
      <w:marRight w:val="0"/>
      <w:marTop w:val="0"/>
      <w:marBottom w:val="0"/>
      <w:divBdr>
        <w:top w:val="none" w:sz="0" w:space="0" w:color="auto"/>
        <w:left w:val="none" w:sz="0" w:space="0" w:color="auto"/>
        <w:bottom w:val="none" w:sz="0" w:space="0" w:color="auto"/>
        <w:right w:val="none" w:sz="0" w:space="0" w:color="auto"/>
      </w:divBdr>
    </w:div>
    <w:div w:id="1619683515">
      <w:bodyDiv w:val="1"/>
      <w:marLeft w:val="0"/>
      <w:marRight w:val="0"/>
      <w:marTop w:val="0"/>
      <w:marBottom w:val="0"/>
      <w:divBdr>
        <w:top w:val="none" w:sz="0" w:space="0" w:color="auto"/>
        <w:left w:val="none" w:sz="0" w:space="0" w:color="auto"/>
        <w:bottom w:val="none" w:sz="0" w:space="0" w:color="auto"/>
        <w:right w:val="none" w:sz="0" w:space="0" w:color="auto"/>
      </w:divBdr>
    </w:div>
    <w:div w:id="1621379573">
      <w:bodyDiv w:val="1"/>
      <w:marLeft w:val="0"/>
      <w:marRight w:val="0"/>
      <w:marTop w:val="0"/>
      <w:marBottom w:val="0"/>
      <w:divBdr>
        <w:top w:val="none" w:sz="0" w:space="0" w:color="auto"/>
        <w:left w:val="none" w:sz="0" w:space="0" w:color="auto"/>
        <w:bottom w:val="none" w:sz="0" w:space="0" w:color="auto"/>
        <w:right w:val="none" w:sz="0" w:space="0" w:color="auto"/>
      </w:divBdr>
    </w:div>
    <w:div w:id="1643189137">
      <w:bodyDiv w:val="1"/>
      <w:marLeft w:val="0"/>
      <w:marRight w:val="0"/>
      <w:marTop w:val="0"/>
      <w:marBottom w:val="0"/>
      <w:divBdr>
        <w:top w:val="none" w:sz="0" w:space="0" w:color="auto"/>
        <w:left w:val="none" w:sz="0" w:space="0" w:color="auto"/>
        <w:bottom w:val="none" w:sz="0" w:space="0" w:color="auto"/>
        <w:right w:val="none" w:sz="0" w:space="0" w:color="auto"/>
      </w:divBdr>
    </w:div>
    <w:div w:id="2117676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otago.ac.nz/bode3"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cbi.nlm.nih.gov/pubmed/21079620"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81A1EBE6DB8D4FA8293A1501FFFF08" ma:contentTypeVersion="13" ma:contentTypeDescription="Create a new document." ma:contentTypeScope="" ma:versionID="99fcd8f49d02c101d05c97fd1d5930f4">
  <xsd:schema xmlns:xsd="http://www.w3.org/2001/XMLSchema" xmlns:xs="http://www.w3.org/2001/XMLSchema" xmlns:p="http://schemas.microsoft.com/office/2006/metadata/properties" xmlns:ns3="12123016-37d0-4a90-b967-1c94fdbb4561" xmlns:ns4="41b70990-41e4-44e3-a6f8-7076a77bd1cb" targetNamespace="http://schemas.microsoft.com/office/2006/metadata/properties" ma:root="true" ma:fieldsID="d33d39eb2d0301e82903afb66a2c524a" ns3:_="" ns4:_="">
    <xsd:import namespace="12123016-37d0-4a90-b967-1c94fdbb4561"/>
    <xsd:import namespace="41b70990-41e4-44e3-a6f8-7076a77bd1cb"/>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123016-37d0-4a90-b967-1c94fdbb45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1b70990-41e4-44e3-a6f8-7076a77bd1cb"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298238-87E0-414C-85A4-CB33BA6F3D8E}">
  <ds:schemaRefs>
    <ds:schemaRef ds:uri="http://schemas.microsoft.com/sharepoint/v3/contenttype/forms"/>
  </ds:schemaRefs>
</ds:datastoreItem>
</file>

<file path=customXml/itemProps2.xml><?xml version="1.0" encoding="utf-8"?>
<ds:datastoreItem xmlns:ds="http://schemas.openxmlformats.org/officeDocument/2006/customXml" ds:itemID="{C004D62E-0777-4FDF-8F1C-87964529099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6C63591-2654-46DD-A8AA-694298CB17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123016-37d0-4a90-b967-1c94fdbb4561"/>
    <ds:schemaRef ds:uri="41b70990-41e4-44e3-a6f8-7076a77bd1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4A9C3B7-2B1B-466D-B728-B2BA2FE103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13</Pages>
  <Words>6972</Words>
  <Characters>36744</Characters>
  <Application>Microsoft Office Word</Application>
  <DocSecurity>0</DocSecurity>
  <Lines>765</Lines>
  <Paragraphs>103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43613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Natalie Carvalho</cp:lastModifiedBy>
  <cp:revision>52</cp:revision>
  <cp:lastPrinted>2019-06-24T05:07:00Z</cp:lastPrinted>
  <dcterms:created xsi:type="dcterms:W3CDTF">2021-01-28T11:43:00Z</dcterms:created>
  <dcterms:modified xsi:type="dcterms:W3CDTF">2021-06-21T06:01:00Z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zotero-version="5.0.58"&gt;&lt;session id="hl788kF9"/&gt;&lt;style id="http://www.zotero.org/styles/vancouver-superscript" locale="en-US" hasBibliography="1" bibliographyStyleHasBeenSet="1"/&gt;&lt;prefs&gt;&lt;pref name="fieldType" value="Field"/&gt;&lt;pref na</vt:lpwstr>
  </property>
  <property fmtid="{D5CDD505-2E9C-101B-9397-08002B2CF9AE}" pid="3" name="ZOTERO_PREF_2">
    <vt:lpwstr>me="automaticJournalAbbreviations" value="true"/&gt;&lt;/prefs&gt;&lt;/data&gt;</vt:lpwstr>
  </property>
  <property fmtid="{D5CDD505-2E9C-101B-9397-08002B2CF9AE}" pid="4" name="ContentTypeId">
    <vt:lpwstr>0x0101002A81A1EBE6DB8D4FA8293A1501FFFF08</vt:lpwstr>
  </property>
</Properties>
</file>