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BEF42">
      <w:pPr>
        <w:pStyle w:val="2"/>
        <w:keepNext w:val="0"/>
        <w:keepLines w:val="0"/>
        <w:widowControl/>
        <w:suppressLineNumbers w:val="0"/>
        <w:jc w:val="center"/>
        <w:rPr>
          <w:rFonts w:ascii="HarmonyHeiTi" w:hAnsi="HarmonyHeiTi" w:eastAsia="HarmonyHeiTi" w:cs="HarmonyHeiTi"/>
          <w:b/>
          <w:bCs/>
          <w:i w:val="0"/>
          <w:iCs w:val="0"/>
          <w:sz w:val="33"/>
          <w:szCs w:val="33"/>
        </w:rPr>
      </w:pPr>
      <w:r>
        <w:rPr>
          <w:rFonts w:ascii="HarmonyHeiTi" w:hAnsi="HarmonyHeiTi" w:eastAsia="HarmonyHeiTi" w:cs="HarmonyHeiTi"/>
          <w:b/>
          <w:bCs/>
          <w:i w:val="0"/>
          <w:iCs w:val="0"/>
          <w:sz w:val="33"/>
          <w:szCs w:val="33"/>
        </w:rPr>
        <w:t>Statistical Analysis Plan (SAP)</w:t>
      </w:r>
    </w:p>
    <w:p w14:paraId="510B9EF3">
      <w:pPr>
        <w:pStyle w:val="2"/>
        <w:keepNext w:val="0"/>
        <w:keepLines w:val="0"/>
        <w:widowControl/>
        <w:suppressLineNumbers w:val="0"/>
        <w:jc w:val="both"/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32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/>
          <w:bCs/>
          <w:kern w:val="2"/>
          <w:sz w:val="24"/>
          <w:szCs w:val="32"/>
          <w:lang w:val="en-US" w:eastAsia="zh-CN" w:bidi="ar-SA"/>
        </w:rPr>
        <w:t>Protocol Title</w:t>
      </w:r>
    </w:p>
    <w:p w14:paraId="2EF21AF2">
      <w:pPr>
        <w:pStyle w:val="2"/>
        <w:keepNext w:val="0"/>
        <w:keepLines w:val="0"/>
        <w:widowControl/>
        <w:suppressLineNumbers w:val="0"/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 xml:space="preserve">  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An open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-label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, phase II study to evaluate the eff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i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c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acy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 xml:space="preserve"> and safety of 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T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rastuzumab in combination with Capecitabine in patients with HER-2 positive stage I breast cancer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 xml:space="preserve"> (IRIS-A)</w:t>
      </w:r>
      <w:r>
        <w:rPr>
          <w:rFonts w:hint="default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​</w:t>
      </w:r>
    </w:p>
    <w:p w14:paraId="15D7B721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1. Study Background and Objectives</w:t>
      </w:r>
    </w:p>
    <w:p w14:paraId="1C617657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 xml:space="preserve">  </w:t>
      </w:r>
      <w:r>
        <w:rPr>
          <w:rFonts w:hint="eastAsia"/>
          <w:sz w:val="24"/>
          <w:szCs w:val="32"/>
        </w:rPr>
        <w:t>This study is a single-arm, prospective clinical trial. The primary objective is to provide reliable estimates of the 5-year invasive disease-free survival (iDFS) rate in patients with stage I HER2-positive breast cancer. Data from the APT trial were used solely as a reference for sample size calculation; no formal statistical non-inferiority hypothesis testing is conducted in this study.</w:t>
      </w:r>
    </w:p>
    <w:p w14:paraId="2542A47E">
      <w:pPr>
        <w:jc w:val="both"/>
        <w:rPr>
          <w:rFonts w:hint="eastAsia"/>
          <w:sz w:val="24"/>
          <w:szCs w:val="32"/>
        </w:rPr>
      </w:pPr>
    </w:p>
    <w:p w14:paraId="6C8EF672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2. Study Design and Assumptions</w:t>
      </w:r>
    </w:p>
    <w:p w14:paraId="6B2A85C4">
      <w:pPr>
        <w:jc w:val="both"/>
        <w:rPr>
          <w:rFonts w:hint="eastAsia"/>
          <w:sz w:val="24"/>
          <w:szCs w:val="32"/>
        </w:rPr>
      </w:pPr>
    </w:p>
    <w:p w14:paraId="4CD1A37E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Study Type: Single-arm, historical reference design.</w:t>
      </w:r>
    </w:p>
    <w:p w14:paraId="10C26E2C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Primary Endpoint: 5-year iDFS rate.</w:t>
      </w:r>
    </w:p>
    <w:p w14:paraId="7B19DAAE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Reference Benchmark: Based on the APT trial, a 5-year iDFS rate of 97% (corresponding to an expected 5-year event rate of 3%) was assumed for this study. This value was used exclusively for sample size estimation and does not serve as a null hypothesis for formal testing.</w:t>
      </w:r>
    </w:p>
    <w:p w14:paraId="0E947CC5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Clinical Acceptability Criterion: A pre-specified clinical acceptability threshold was defined such that the lower bound of the 95% confidence interval (CI) for the 5-year iDFS rate should be no lower than 92%. If this lower bound exceeds 92%, the 5-year iDFS outcome of the regimen is considered clinically acceptable.</w:t>
      </w:r>
    </w:p>
    <w:p w14:paraId="05346D4C">
      <w:pPr>
        <w:jc w:val="both"/>
        <w:rPr>
          <w:rFonts w:hint="eastAsia"/>
          <w:sz w:val="24"/>
          <w:szCs w:val="32"/>
        </w:rPr>
      </w:pPr>
    </w:p>
    <w:p w14:paraId="24C77152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3. Sample Size Calculation</w:t>
      </w:r>
    </w:p>
    <w:p w14:paraId="315A4442">
      <w:pPr>
        <w:jc w:val="both"/>
        <w:rPr>
          <w:rFonts w:hint="eastAsia"/>
          <w:sz w:val="24"/>
          <w:szCs w:val="32"/>
        </w:rPr>
      </w:pPr>
    </w:p>
    <w:p w14:paraId="5A8F86D4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Planned Sample Size: 178 patients.</w:t>
      </w:r>
    </w:p>
    <w:p w14:paraId="759EF9BA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Calculation Basis: Based on the 5-year iDFS rate of 97% (event rate 3%) observed in the APT trial, with the clinical acceptability criterion set at a lower bound of 92% for the 5-year iDFS rate. At a one-sided significance level of α = 0.05, this sample size provides 90% power to ensure that when the true 5-year iDFS rate is no less than 97%, the lower bound of its 95% CI will exceed 92%.</w:t>
      </w:r>
    </w:p>
    <w:p w14:paraId="06EA8F07">
      <w:pPr>
        <w:jc w:val="both"/>
        <w:rPr>
          <w:rFonts w:hint="eastAsia"/>
          <w:sz w:val="24"/>
          <w:szCs w:val="32"/>
        </w:rPr>
      </w:pPr>
    </w:p>
    <w:p w14:paraId="1AA9D421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4. Analysis Population Definition</w:t>
      </w:r>
    </w:p>
    <w:p w14:paraId="2AA6C5EC">
      <w:pPr>
        <w:jc w:val="both"/>
        <w:rPr>
          <w:rFonts w:hint="eastAsia"/>
          <w:sz w:val="24"/>
          <w:szCs w:val="32"/>
        </w:rPr>
      </w:pPr>
    </w:p>
    <w:p w14:paraId="79BC11FF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Primary Analysis Population: Modified intention-to-treat (mITT) population.</w:t>
      </w:r>
    </w:p>
    <w:p w14:paraId="130E2DA6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Inclusion Criteria: All patients who received at least one dose of the study regimen.</w:t>
      </w:r>
    </w:p>
    <w:p w14:paraId="10D393AA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Safety Analysis: Also based on the mITT population.</w:t>
      </w:r>
    </w:p>
    <w:p w14:paraId="2E10BF4C">
      <w:pPr>
        <w:jc w:val="both"/>
        <w:rPr>
          <w:rFonts w:hint="eastAsia"/>
          <w:sz w:val="24"/>
          <w:szCs w:val="32"/>
        </w:rPr>
      </w:pPr>
    </w:p>
    <w:p w14:paraId="23C8C096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5. Statistical Analysis Methods</w:t>
      </w:r>
    </w:p>
    <w:p w14:paraId="45E4D62A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32"/>
        </w:rPr>
        <w:t>5.1 Primary Endpoint Analysis</w:t>
      </w:r>
    </w:p>
    <w:p w14:paraId="3D3BD6A3">
      <w:pPr>
        <w:jc w:val="both"/>
        <w:rPr>
          <w:rFonts w:hint="eastAsia"/>
          <w:sz w:val="24"/>
          <w:szCs w:val="32"/>
        </w:rPr>
      </w:pPr>
    </w:p>
    <w:p w14:paraId="47741CFF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Estimation Method: The Kaplan-Meier method will be used to estimate the 5-year iDFS rate.</w:t>
      </w:r>
    </w:p>
    <w:p w14:paraId="3A191456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Confidence Interval Calculation: The 95% CI for the 5-year iDFS rate will be calculated using Greenwood's formula with log-log transformation.</w:t>
      </w:r>
    </w:p>
    <w:p w14:paraId="145D821B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Result Determination:</w:t>
      </w:r>
    </w:p>
    <w:p w14:paraId="293F9AAE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The primary focus is on the lower bound of the 95% CI for the 5-year iDFS rate.</w:t>
      </w:r>
    </w:p>
    <w:p w14:paraId="178FF88B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If this lower bound exceeds 92%, the 5-year iDFS outcome of the regimen will be deemed clinically acceptable.</w:t>
      </w:r>
    </w:p>
    <w:p w14:paraId="7608463B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This analysis is descriptive in nature and does not involve formal statistical hypothesis testing.</w:t>
      </w:r>
    </w:p>
    <w:p w14:paraId="138AD866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32"/>
        </w:rPr>
        <w:t>5.2 Supplementary Efficacy Analysis</w:t>
      </w:r>
    </w:p>
    <w:p w14:paraId="4A89D1A8">
      <w:pPr>
        <w:jc w:val="both"/>
        <w:rPr>
          <w:rFonts w:hint="eastAsia"/>
          <w:sz w:val="24"/>
          <w:szCs w:val="32"/>
        </w:rPr>
      </w:pPr>
    </w:p>
    <w:p w14:paraId="7F74512C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Event Count Rule: At the time of final analysis, if 8 or fewer invasive disease events are observed, this will provide additional support for the efficacy of the regimen.</w:t>
      </w:r>
    </w:p>
    <w:p w14:paraId="2A600CE9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Correlation Analysis: Univariate Cox proportional hazards regression models will be used to assess the correlation between survival outcomes and patient baseline characteristics.</w:t>
      </w:r>
    </w:p>
    <w:p w14:paraId="39F7AF40">
      <w:pPr>
        <w:jc w:val="both"/>
        <w:rPr>
          <w:rFonts w:hint="eastAsia"/>
          <w:sz w:val="24"/>
          <w:szCs w:val="32"/>
        </w:rPr>
      </w:pPr>
    </w:p>
    <w:p w14:paraId="12AC0DD1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32"/>
        </w:rPr>
        <w:t>5.3 Safety Analysis</w:t>
      </w:r>
    </w:p>
    <w:p w14:paraId="3DF6B56A">
      <w:pPr>
        <w:jc w:val="both"/>
        <w:rPr>
          <w:rFonts w:hint="eastAsia"/>
          <w:sz w:val="24"/>
          <w:szCs w:val="32"/>
        </w:rPr>
      </w:pPr>
    </w:p>
    <w:p w14:paraId="1BC96D1B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Data Summary: Safety data will be summarized descriptively, including the frequency, severity, and relationship to treatment of adverse events.</w:t>
      </w:r>
    </w:p>
    <w:p w14:paraId="52E3D05D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32"/>
        </w:rPr>
        <w:t>5.4 Statistical Software</w:t>
      </w:r>
    </w:p>
    <w:p w14:paraId="7861EC7F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All statistical analyses will be performed using the following software:</w:t>
      </w:r>
    </w:p>
    <w:p w14:paraId="73639A3E">
      <w:pPr>
        <w:jc w:val="both"/>
        <w:rPr>
          <w:rFonts w:hint="eastAsia"/>
          <w:sz w:val="24"/>
          <w:szCs w:val="32"/>
        </w:rPr>
      </w:pPr>
    </w:p>
    <w:p w14:paraId="31C96147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SPSS (Version 19.0, SPSS Company)</w:t>
      </w:r>
    </w:p>
    <w:p w14:paraId="6AE7AE8C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PASS (Version 11.0, NCSS)</w:t>
      </w:r>
    </w:p>
    <w:p w14:paraId="0F0FC3C3">
      <w:pPr>
        <w:jc w:val="both"/>
        <w:rPr>
          <w:rFonts w:hint="eastAsia"/>
          <w:sz w:val="24"/>
          <w:szCs w:val="32"/>
        </w:rPr>
      </w:pPr>
    </w:p>
    <w:p w14:paraId="68CA1269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6. Analysis Schedule and Interim Analysis</w:t>
      </w:r>
    </w:p>
    <w:p w14:paraId="2BA3FCDD">
      <w:pPr>
        <w:jc w:val="both"/>
        <w:rPr>
          <w:rFonts w:hint="eastAsia"/>
          <w:sz w:val="24"/>
          <w:szCs w:val="32"/>
        </w:rPr>
      </w:pPr>
    </w:p>
    <w:p w14:paraId="2DDF159D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Interim Analysis:</w:t>
      </w:r>
    </w:p>
    <w:p w14:paraId="4A0EE4BE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Timing: Two years after the last patient is enrolled.</w:t>
      </w:r>
    </w:p>
    <w:p w14:paraId="686C1894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Purpose: To conduct a futility analysis, assessing whether the trial should be terminated early due to an excessive number of events.</w:t>
      </w:r>
    </w:p>
    <w:p w14:paraId="2BFF6055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Final Analysis:</w:t>
      </w:r>
    </w:p>
    <w:p w14:paraId="5B3660A9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Timing: Five years after the last patient is enrolled.</w:t>
      </w:r>
    </w:p>
    <w:p w14:paraId="4E97812D">
      <w:pPr>
        <w:jc w:val="both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- Purpose: To perform the primary endpoint analysis and confirm efficacy.</w:t>
      </w:r>
    </w:p>
    <w:p w14:paraId="53C8730A">
      <w:pPr>
        <w:jc w:val="both"/>
        <w:rPr>
          <w:rFonts w:hint="eastAsia"/>
          <w:sz w:val="24"/>
          <w:szCs w:val="32"/>
        </w:rPr>
      </w:pPr>
      <w:bookmarkStart w:id="0" w:name="_GoBack"/>
      <w:bookmarkEnd w:id="0"/>
    </w:p>
    <w:p w14:paraId="60BCEC14">
      <w:pPr>
        <w:jc w:val="both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7. Special Considerations</w:t>
      </w:r>
    </w:p>
    <w:p w14:paraId="4A71D7EE">
      <w:pPr>
        <w:jc w:val="both"/>
        <w:rPr>
          <w:sz w:val="24"/>
          <w:szCs w:val="32"/>
        </w:rPr>
      </w:pPr>
      <w:r>
        <w:rPr>
          <w:rFonts w:hint="eastAsia"/>
          <w:sz w:val="24"/>
          <w:szCs w:val="32"/>
        </w:rPr>
        <w:t>This SAP is developed in accordance with guidelines for statistical analysis reporting in single-arm clinical trials. All analyses will strictly follow the pre-specified plan to avoid bias from post-hoc data mining. Data from the APT trial serve solely as a reference for sample size calculation and do not participate in the formal statistical inference of the primary endpoint in this study.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HeiTi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5DE4F2"/>
    <w:rsid w:val="EE5DE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Office_12.1.3.25234_F1E327BC-269C-435d-A152-05C5408002CA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2026-08-17T10:41:00Z</dcterms:created>
  <dc:creator>RxRx</dc:creator>
  <cp:lastModifiedBy>RxRx</cp:lastModifiedBy>
  <dcterms:modified xsi:type="dcterms:W3CDTF">2026-08-17T11:00:55Z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2052-12.1.3.25234</vt:lpwstr>
  </property>
  <property fmtid="{D5CDD505-2E9C-101B-9397-08002B2CF9AE}" pid="3" name="ICV">
    <vt:lpwstr>69EA238B2B7ECAFFDC74826A39277819_41</vt:lpwstr>
  </property>
</Properties>
</file>