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0FD61" w14:textId="77777777" w:rsidR="00D8522A" w:rsidRPr="00D8522A" w:rsidRDefault="00D8522A" w:rsidP="00D8522A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  <w:bookmarkStart w:id="0" w:name="_Hlk231926189"/>
    </w:p>
    <w:p w14:paraId="29557118" w14:textId="77777777" w:rsidR="00D8522A" w:rsidRPr="00D8522A" w:rsidRDefault="00D8522A" w:rsidP="00D8522A">
      <w:pPr>
        <w:spacing w:after="0" w:line="360" w:lineRule="auto"/>
        <w:rPr>
          <w:rFonts w:ascii="Times New Roman" w:eastAsia="MS Mincho" w:hAnsi="Times New Roman" w:cs="Times New Roman"/>
          <w:sz w:val="32"/>
          <w:szCs w:val="32"/>
          <w:lang w:val="en-US" w:eastAsia="ja-JP"/>
        </w:rPr>
      </w:pPr>
      <w:r w:rsidRPr="00D8522A">
        <w:rPr>
          <w:rFonts w:ascii="Times New Roman" w:eastAsia="MS Mincho" w:hAnsi="Times New Roman" w:cs="Times New Roman"/>
          <w:sz w:val="32"/>
          <w:szCs w:val="32"/>
          <w:lang w:val="en-US" w:eastAsia="ja-JP"/>
        </w:rPr>
        <w:t xml:space="preserve">Supporting Information </w:t>
      </w:r>
    </w:p>
    <w:p w14:paraId="4DE06D0D" w14:textId="77777777" w:rsidR="00D8522A" w:rsidRPr="00D8522A" w:rsidRDefault="00D8522A" w:rsidP="00D8522A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</w:p>
    <w:p w14:paraId="4A061C28" w14:textId="77777777" w:rsidR="00D8522A" w:rsidRPr="00D8522A" w:rsidRDefault="00D8522A" w:rsidP="00D8522A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  <w:r w:rsidRPr="00D8522A">
        <w:rPr>
          <w:rFonts w:ascii="Times New Roman" w:eastAsia="MS Mincho" w:hAnsi="Times New Roman" w:cs="Times New Roman"/>
          <w:b/>
          <w:sz w:val="24"/>
          <w:szCs w:val="24"/>
          <w:lang w:val="en-US" w:eastAsia="ja-JP"/>
        </w:rPr>
        <w:t>Effect of Polydispersity on the Morphological Symmetry of Poly(methyl methacrylate)-block-polystyrene Copolymer Films</w:t>
      </w:r>
    </w:p>
    <w:p w14:paraId="67730F4F" w14:textId="79F690CE" w:rsidR="00D8522A" w:rsidRPr="00D8522A" w:rsidRDefault="00D8522A" w:rsidP="00D8522A">
      <w:pPr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  <w:lang w:val="en-US" w:eastAsia="ja-JP"/>
        </w:rPr>
      </w:pPr>
      <w:r w:rsidRPr="00D8522A">
        <w:rPr>
          <w:rFonts w:ascii="Times New Roman" w:eastAsia="MS Mincho" w:hAnsi="Times New Roman" w:cs="Times New Roman"/>
          <w:i/>
          <w:sz w:val="24"/>
          <w:szCs w:val="24"/>
          <w:lang w:val="en-US" w:eastAsia="ja-JP"/>
        </w:rPr>
        <w:t>Anna I. Barabanova, Stepan A. Khlopov*, Kirill E. Chekurov, Inesa V. Blagodatskikh, Vladimir V.Volkov, Alexander I. Kuklin, Mikhail M. Ilyin, Alexander S. Peregudov, and Alexe</w:t>
      </w:r>
      <w:r w:rsidR="003859EF">
        <w:rPr>
          <w:rFonts w:ascii="Times New Roman" w:eastAsia="MS Mincho" w:hAnsi="Times New Roman" w:cs="Times New Roman"/>
          <w:i/>
          <w:sz w:val="24"/>
          <w:szCs w:val="24"/>
          <w:lang w:val="en-US" w:eastAsia="ja-JP"/>
        </w:rPr>
        <w:t>i</w:t>
      </w:r>
      <w:r w:rsidRPr="00D8522A">
        <w:rPr>
          <w:rFonts w:ascii="Times New Roman" w:eastAsia="MS Mincho" w:hAnsi="Times New Roman" w:cs="Times New Roman"/>
          <w:i/>
          <w:sz w:val="24"/>
          <w:szCs w:val="24"/>
          <w:lang w:val="en-US" w:eastAsia="ja-JP"/>
        </w:rPr>
        <w:t xml:space="preserve"> R. Khokhlov </w:t>
      </w:r>
    </w:p>
    <w:p w14:paraId="441F2F4D" w14:textId="77777777" w:rsidR="00D8522A" w:rsidRPr="00D8522A" w:rsidRDefault="00D8522A" w:rsidP="00D8522A">
      <w:pPr>
        <w:spacing w:after="0" w:line="480" w:lineRule="auto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en-US" w:eastAsia="ja-JP"/>
        </w:rPr>
      </w:pPr>
    </w:p>
    <w:p w14:paraId="7B66827F" w14:textId="23DD6DE9" w:rsidR="00D8522A" w:rsidRPr="00FB24E2" w:rsidRDefault="00D8522A" w:rsidP="00D8522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0"/>
          <w:szCs w:val="20"/>
          <w:highlight w:val="yellow"/>
          <w:lang w:val="en-US" w:eastAsia="ja-JP"/>
        </w:rPr>
      </w:pP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It has been shown both theoretically</w:t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Pr="00FB24E2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[1]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and experimentally</w:t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Pr="00FB24E2">
        <w:rPr>
          <w:rFonts w:ascii="Times New Roman" w:eastAsia="MS Mincho" w:hAnsi="Times New Roman" w:cs="Times New Roman"/>
          <w:noProof/>
          <w:sz w:val="20"/>
          <w:szCs w:val="20"/>
          <w:lang w:val="de-DE" w:eastAsia="ja-JP"/>
        </w:rPr>
        <w:t>[2,3]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that understanding the phase behavior of block copolymers requires consideration of the entire MWD rather than the PDI alone. For instance, Gentekos et al.</w:t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Pr="00FB24E2">
        <w:rPr>
          <w:rFonts w:ascii="Times New Roman" w:eastAsia="MS Mincho" w:hAnsi="Times New Roman" w:cs="Times New Roman"/>
          <w:noProof/>
          <w:sz w:val="20"/>
          <w:szCs w:val="20"/>
          <w:lang w:val="de-DE" w:eastAsia="ja-JP"/>
        </w:rPr>
        <w:t>[3]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showed that, depending on the skew of the MWD shape (at fixed breadth, Đ ≈ 1.4 of the PS block), the lamellar period can be increased to different extents: an excess of short chains leads to an increase of up to 41%, whereas an excess of long chains results in an increase of only about 15%. Matyjaszewski et al.</w:t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Pr="00FB24E2">
        <w:rPr>
          <w:rFonts w:ascii="Times New Roman" w:eastAsia="MS Mincho" w:hAnsi="Times New Roman" w:cs="Times New Roman"/>
          <w:noProof/>
          <w:sz w:val="20"/>
          <w:szCs w:val="20"/>
          <w:lang w:val="de-DE" w:eastAsia="ja-JP"/>
        </w:rPr>
        <w:t>[2]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demonstrated that changing the MWD shape from a Schulz–Zimm distribution (positively skewed) to a more symmetric one (at constant PDI ≈ 1.7) stabilizes the hexagonally perforated lamellar morphology, which is metastable according to theory for those with a Schulz–Zimm distribution</w:t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="00FB24E2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[4]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. Following this approach, we examined the symmetry of the MWD of the PMMA precursor blocks.</w:t>
      </w:r>
    </w:p>
    <w:p w14:paraId="26A94710" w14:textId="59E6C5E8" w:rsidR="00D8522A" w:rsidRPr="00FB24E2" w:rsidRDefault="00D8522A" w:rsidP="00D8522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The MWD shapes (symmetry and width) obtained in RDRP as RAFT polymerization can be described by an empirical two-parameter Schulz–Zimm distribution</w:t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Pr="00FB24E2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[5]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, since the kinetics of initiation and termination events lead to the accumulation of polymer chains with low molecular weight</w:t>
      </w:r>
      <w:r w:rsidR="00FB24E2">
        <w:rPr>
          <w:rFonts w:ascii="Times New Roman" w:eastAsia="MS Mincho" w:hAnsi="Times New Roman" w:cs="Times New Roman"/>
          <w:sz w:val="20"/>
          <w:szCs w:val="20"/>
          <w:vertAlign w:val="superscript"/>
          <w:lang w:val="en-US" w:eastAsia="ja-JP"/>
        </w:rPr>
        <w:t xml:space="preserve"> </w:t>
      </w:r>
      <w:r w:rsidRPr="00FB24E2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[2,6]</w:t>
      </w:r>
      <w:r w:rsidR="00FB24E2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.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The asymmetry of the MWD can be quantified by the skewness indices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n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and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w</m:t>
            </m:r>
          </m:sub>
        </m:sSub>
      </m:oMath>
      <w:r w:rsidRPr="00FB24E2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[7]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, which were calculated using Equation (S1) and (S2). The experimental skewness indices were compared with those predicted by the standard Schulz–Zimm model.</w:t>
      </w:r>
    </w:p>
    <w:p w14:paraId="4717ED48" w14:textId="1982AD31" w:rsidR="00D8522A" w:rsidRPr="00FB24E2" w:rsidRDefault="003859EF" w:rsidP="00D8522A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n</m:t>
            </m:r>
          </m:sub>
        </m:sSub>
        <m:r>
          <m:rPr>
            <m:sty m:val="p"/>
          </m:rP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=</m:t>
        </m:r>
        <m:f>
          <m:f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fPr>
          <m:num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z</m:t>
                </m:r>
              </m:sub>
            </m:sSub>
            <m:r>
              <m:rPr>
                <m:sty m:val="p"/>
              </m:r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⋅</m:t>
            </m:r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w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Sup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n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2</m:t>
                </m:r>
              </m:sup>
            </m:sSubSup>
          </m:den>
        </m:f>
        <m:r>
          <m:rPr>
            <m:sty m:val="p"/>
          </m:rP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-3⋅</m:t>
        </m:r>
        <m:f>
          <m:f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fPr>
          <m:num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w</m:t>
                </m:r>
              </m:sub>
            </m:sSub>
          </m:num>
          <m:den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n</m:t>
                </m:r>
              </m:sub>
            </m:sSub>
          </m:den>
        </m:f>
        <m:r>
          <m:rPr>
            <m:sty m:val="p"/>
          </m:rP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+2,</m:t>
        </m:r>
      </m:oMath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  <w:t>(S1)</w:t>
      </w:r>
    </w:p>
    <w:p w14:paraId="7BF6AD08" w14:textId="77777777" w:rsidR="00D8522A" w:rsidRPr="00FB24E2" w:rsidRDefault="003859EF" w:rsidP="00D8522A">
      <w:pPr>
        <w:spacing w:after="0" w:line="360" w:lineRule="auto"/>
        <w:ind w:firstLine="709"/>
        <w:jc w:val="right"/>
        <w:rPr>
          <w:rFonts w:ascii="Cambria Math" w:eastAsia="MS Mincho" w:hAnsi="Cambria Math" w:cs="Times New Roman"/>
          <w:sz w:val="20"/>
          <w:szCs w:val="20"/>
          <w:lang w:val="en-US" w:eastAsia="ja-JP"/>
          <w:oMath/>
        </w:rPr>
      </w:pPr>
      <m:oMath>
        <m:sSub>
          <m:sSub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w</m:t>
            </m:r>
          </m:sub>
        </m:sSub>
        <m:r>
          <m:rPr>
            <m:sty m:val="p"/>
          </m:rP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=</m:t>
        </m:r>
        <m:f>
          <m:f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fPr>
          <m:num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+1</m:t>
                </m:r>
              </m:sub>
            </m:sSub>
            <m:r>
              <m:rPr>
                <m:sty m:val="p"/>
              </m:r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⋅</m:t>
            </m:r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z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Sup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w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2</m:t>
                </m:r>
              </m:sup>
            </m:sSubSup>
          </m:den>
        </m:f>
        <m:r>
          <m:rPr>
            <m:sty m:val="p"/>
          </m:rP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-3⋅</m:t>
        </m:r>
        <m:f>
          <m:f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fPr>
          <m:num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</m:ctrlPr>
              </m:sSub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M</m:t>
                </m:r>
              </m:e>
              <m:sub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w</m:t>
                </m:r>
              </m:sub>
            </m:sSub>
          </m:den>
        </m:f>
        <m:r>
          <m:rPr>
            <m:sty m:val="p"/>
          </m:rP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+2,</m:t>
        </m:r>
      </m:oMath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D8522A"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  <w:t>(S2)</w:t>
      </w:r>
    </w:p>
    <w:p w14:paraId="41590FDB" w14:textId="77777777" w:rsidR="00D8522A" w:rsidRPr="00FB24E2" w:rsidRDefault="00D8522A" w:rsidP="00D8522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where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n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,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w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,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z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, and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z+1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represent the number-, weight-, z-, and z+1- average molecular weights, respectively.</w:t>
      </w:r>
    </w:p>
    <w:p w14:paraId="10C21975" w14:textId="0C09CE4D" w:rsidR="00D8522A" w:rsidRPr="00FB24E2" w:rsidRDefault="00D8522A" w:rsidP="00D8522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As can be seen from Fig</w:t>
      </w:r>
      <w:r w:rsid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.</w:t>
      </w:r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S1, the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n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and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w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of PMMA1 and PMMA2 are close to zero, which indicates that the shape of the MWDs is approximately symmetric. In contrast, PMMA3 exhibited positive skewness (</w:t>
      </w:r>
      <m:oMath>
        <m:sSub>
          <m:sSub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n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and </w:t>
      </w:r>
      <m:oMath>
        <m:sSub>
          <m:sSubPr>
            <m:ctrlP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S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w</m:t>
            </m:r>
          </m:sub>
        </m:sSub>
      </m:oMath>
      <w:r w:rsidRPr="00FB24E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&gt; 0), indicating a distribution skewed toward higher molecular weights. Thus, the increase in PDI from 1.11 to 1.53 was accompanied not only by a broadening of the MWD but also by a substantial change in its shape toward the predominance of longer macromolecules.</w:t>
      </w:r>
    </w:p>
    <w:p w14:paraId="01574944" w14:textId="330E5F3C" w:rsidR="00D8522A" w:rsidRPr="00FB24E2" w:rsidRDefault="003859EF" w:rsidP="00D8522A">
      <w:pPr>
        <w:spacing w:after="0" w:line="360" w:lineRule="auto"/>
        <w:ind w:firstLine="709"/>
        <w:jc w:val="center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lastRenderedPageBreak/>
        <w:pict w14:anchorId="10DE16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7.75pt;height:180.75pt">
            <v:imagedata r:id="rId5" o:title=""/>
          </v:shape>
        </w:pict>
      </w:r>
    </w:p>
    <w:p w14:paraId="0CA26C2E" w14:textId="1970DAB2" w:rsidR="00D8522A" w:rsidRPr="00FB24E2" w:rsidRDefault="00D8522A" w:rsidP="00D8522A">
      <w:pPr>
        <w:spacing w:after="0" w:line="360" w:lineRule="auto"/>
        <w:ind w:firstLine="709"/>
        <w:jc w:val="both"/>
        <w:rPr>
          <w:rFonts w:ascii="Arial" w:eastAsia="MS Mincho" w:hAnsi="Arial" w:cs="Arial"/>
          <w:sz w:val="20"/>
          <w:szCs w:val="20"/>
          <w:lang w:val="en-US" w:eastAsia="ja-JP"/>
        </w:rPr>
      </w:pPr>
      <w:r w:rsidRPr="00FB24E2">
        <w:rPr>
          <w:rFonts w:ascii="Arial" w:eastAsia="MS Mincho" w:hAnsi="Arial" w:cs="Arial"/>
          <w:b/>
          <w:sz w:val="20"/>
          <w:szCs w:val="20"/>
          <w:lang w:val="en-US" w:eastAsia="ja-JP"/>
        </w:rPr>
        <w:t>Fig</w:t>
      </w:r>
      <w:r w:rsidR="00FB24E2">
        <w:rPr>
          <w:rFonts w:ascii="Arial" w:eastAsia="MS Mincho" w:hAnsi="Arial" w:cs="Arial"/>
          <w:b/>
          <w:sz w:val="20"/>
          <w:szCs w:val="20"/>
          <w:lang w:val="en-US" w:eastAsia="ja-JP"/>
        </w:rPr>
        <w:t>.</w:t>
      </w:r>
      <w:r w:rsidRPr="00FB24E2">
        <w:rPr>
          <w:rFonts w:ascii="Arial" w:eastAsia="MS Mincho" w:hAnsi="Arial" w:cs="Arial"/>
          <w:b/>
          <w:sz w:val="20"/>
          <w:szCs w:val="20"/>
          <w:lang w:val="en-US" w:eastAsia="ja-JP"/>
        </w:rPr>
        <w:t xml:space="preserve"> S1. </w:t>
      </w:r>
      <w:r w:rsidRPr="00FB24E2">
        <w:rPr>
          <w:rFonts w:ascii="Arial" w:eastAsia="MS Mincho" w:hAnsi="Arial" w:cs="Arial"/>
          <w:sz w:val="20"/>
          <w:szCs w:val="20"/>
          <w:lang w:val="en-US" w:eastAsia="ja-JP"/>
        </w:rPr>
        <w:t xml:space="preserve">The </w:t>
      </w:r>
      <w:r w:rsidRPr="00FB24E2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S</w:t>
      </w:r>
      <w:r w:rsidRPr="00FB24E2">
        <w:rPr>
          <w:rFonts w:ascii="Arial" w:eastAsia="MS Mincho" w:hAnsi="Arial" w:cs="Arial"/>
          <w:sz w:val="20"/>
          <w:szCs w:val="20"/>
          <w:vertAlign w:val="subscript"/>
          <w:lang w:val="en-US" w:eastAsia="ja-JP"/>
        </w:rPr>
        <w:t>n</w:t>
      </w:r>
      <w:r w:rsidRPr="00FB24E2">
        <w:rPr>
          <w:rFonts w:ascii="Arial" w:eastAsia="MS Mincho" w:hAnsi="Arial" w:cs="Arial"/>
          <w:sz w:val="20"/>
          <w:szCs w:val="20"/>
          <w:lang w:val="en-US" w:eastAsia="ja-JP"/>
        </w:rPr>
        <w:t xml:space="preserve"> and </w:t>
      </w:r>
      <w:r w:rsidRPr="00FB24E2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S</w:t>
      </w:r>
      <w:r w:rsidRPr="00FB24E2">
        <w:rPr>
          <w:rFonts w:ascii="Arial" w:eastAsia="MS Mincho" w:hAnsi="Arial" w:cs="Arial"/>
          <w:sz w:val="20"/>
          <w:szCs w:val="20"/>
          <w:vertAlign w:val="subscript"/>
          <w:lang w:val="en-US" w:eastAsia="ja-JP"/>
        </w:rPr>
        <w:t>w</w:t>
      </w:r>
      <w:r w:rsidRPr="00FB24E2">
        <w:rPr>
          <w:rFonts w:ascii="Arial" w:eastAsia="MS Mincho" w:hAnsi="Arial" w:cs="Arial"/>
          <w:sz w:val="20"/>
          <w:szCs w:val="20"/>
          <w:lang w:val="en-US" w:eastAsia="ja-JP"/>
        </w:rPr>
        <w:t xml:space="preserve"> as a function of PDI. Solid lines represent theoretical values calculated from the Schulz–Zimm distribution. Circles and squares correspond to experimental </w:t>
      </w:r>
      <w:r w:rsidRPr="00FB24E2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S</w:t>
      </w:r>
      <w:r w:rsidRPr="00FB24E2">
        <w:rPr>
          <w:rFonts w:ascii="Arial" w:eastAsia="MS Mincho" w:hAnsi="Arial" w:cs="Arial"/>
          <w:sz w:val="20"/>
          <w:szCs w:val="20"/>
          <w:vertAlign w:val="subscript"/>
          <w:lang w:val="en-US" w:eastAsia="ja-JP"/>
        </w:rPr>
        <w:t>n</w:t>
      </w:r>
      <w:r w:rsidRPr="00FB24E2">
        <w:rPr>
          <w:rFonts w:ascii="Arial" w:eastAsia="MS Mincho" w:hAnsi="Arial" w:cs="Arial"/>
          <w:sz w:val="20"/>
          <w:szCs w:val="20"/>
          <w:lang w:val="en-US" w:eastAsia="ja-JP"/>
        </w:rPr>
        <w:t xml:space="preserve"> and </w:t>
      </w:r>
      <w:r w:rsidRPr="00FB24E2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S</w:t>
      </w:r>
      <w:r w:rsidRPr="00FB24E2">
        <w:rPr>
          <w:rFonts w:ascii="Arial" w:eastAsia="MS Mincho" w:hAnsi="Arial" w:cs="Arial"/>
          <w:sz w:val="20"/>
          <w:szCs w:val="20"/>
          <w:vertAlign w:val="subscript"/>
          <w:lang w:val="en-US" w:eastAsia="ja-JP"/>
        </w:rPr>
        <w:t>w</w:t>
      </w:r>
      <w:r w:rsidRPr="00FB24E2">
        <w:rPr>
          <w:rFonts w:ascii="Arial" w:eastAsia="MS Mincho" w:hAnsi="Arial" w:cs="Arial"/>
          <w:sz w:val="20"/>
          <w:szCs w:val="20"/>
          <w:lang w:val="en-US" w:eastAsia="ja-JP"/>
        </w:rPr>
        <w:t xml:space="preserve"> values, respectively.</w:t>
      </w:r>
    </w:p>
    <w:p w14:paraId="672AEEFA" w14:textId="751EC888" w:rsidR="00D704B4" w:rsidRPr="00FB24E2" w:rsidRDefault="00D704B4" w:rsidP="00D8522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14:paraId="38FFEFD6" w14:textId="4C90A80D" w:rsidR="00D704B4" w:rsidRPr="00FB24E2" w:rsidRDefault="00D704B4" w:rsidP="00D8522A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val="en-US" w:eastAsia="ja-JP"/>
        </w:rPr>
      </w:pPr>
      <w:r w:rsidRPr="00FB24E2">
        <w:rPr>
          <w:rFonts w:ascii="Times New Roman" w:hAnsi="Times New Roman" w:cs="Times New Roman"/>
          <w:b/>
          <w:bCs/>
          <w:sz w:val="20"/>
          <w:szCs w:val="20"/>
          <w:lang w:val="en-US"/>
        </w:rPr>
        <w:t>References</w:t>
      </w:r>
    </w:p>
    <w:p w14:paraId="0786E460" w14:textId="7059CEA5" w:rsidR="00D8522A" w:rsidRPr="00FB24E2" w:rsidRDefault="00D8522A" w:rsidP="00D8522A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[1]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ab/>
        <w:t xml:space="preserve">N.A. Lynd, M.A. Hillmyer, M.W. Matsen, Theory of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p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olydisperse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b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lock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c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opolymer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elts: Beyond the Schulz - Zimm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d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istribution, Macromolecules 41 (2008) 4531–4533. https://doi.org/10.1021/ma800452y.</w:t>
      </w:r>
    </w:p>
    <w:p w14:paraId="5CF3EC13" w14:textId="77777777" w:rsidR="00D8522A" w:rsidRPr="00FB24E2" w:rsidRDefault="00D8522A" w:rsidP="00D8522A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[2]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ab/>
        <w:t xml:space="preserve">J. Listak, W. Jakubowski, L. Mueller, A. Plichta, K. Matyjaszewski, M.R. Bockstaller, Effect of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s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ymmetry of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olecular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w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eight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d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istribution in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b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lock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c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opolymers on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f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ormation of “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etastable”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orphologies, Macromolecules 41 (2008) 5919–5927. https://doi.org/10.1021/ma800816j.</w:t>
      </w:r>
    </w:p>
    <w:p w14:paraId="14B46D65" w14:textId="77777777" w:rsidR="00D8522A" w:rsidRPr="00FB24E2" w:rsidRDefault="00D8522A" w:rsidP="00D8522A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[3]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ab/>
        <w:t>D.T. Gentekos, J. Jia, E.S. Tirado, K.P. Barteau, D.M. Smilgies, R.A. Distasio, B.P. Fors, Exploiting Molecular Weight Distribution Shape to Tune Domain Spacing in Block Copolymer Thin Films, J. Am. Chem. Soc. 140 (2018) 4639–4648. https://doi.org/10.1021/jacs.8b00694.</w:t>
      </w:r>
    </w:p>
    <w:p w14:paraId="68D58305" w14:textId="77777777" w:rsidR="00D8522A" w:rsidRPr="00FB24E2" w:rsidRDefault="00D8522A" w:rsidP="00D8522A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[4]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ab/>
        <w:t>M.W. Matsen, Polydispersity-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i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nduced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acrophase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s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eparation in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d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iblock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c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opolymer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elts., Phys. Rev. Lett. 99 (2007) 148304. https://doi.org/10.1103/PhysRevLett.99.148304.</w:t>
      </w:r>
    </w:p>
    <w:p w14:paraId="62105405" w14:textId="77777777" w:rsidR="00D8522A" w:rsidRPr="00FB24E2" w:rsidRDefault="00D8522A" w:rsidP="00D8522A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[5]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ab/>
        <w:t xml:space="preserve">B.H. Zimm, Apparatus and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ethods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f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or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easurement and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i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nterpretation of the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a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ngular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v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ariation of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l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ight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s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cattering; Preliminary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r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esults on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p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olystyrene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s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olutions, J. Chem. Phys. 16 (1948) 1099–1116. https://doi.org/10.1063/1.1746740.</w:t>
      </w:r>
    </w:p>
    <w:p w14:paraId="277431AA" w14:textId="77777777" w:rsidR="00D8522A" w:rsidRPr="00FB24E2" w:rsidRDefault="00D8522A" w:rsidP="00D8522A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[6]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ab/>
        <w:t xml:space="preserve">D.T. Gentekos, R.J. Sifri, B.P. Fors, Controlling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p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olymer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p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roperties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t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hrough the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s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hape of the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m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olecular-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w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eight </w:t>
      </w:r>
      <w:r w:rsidRPr="00FB24E2">
        <w:rPr>
          <w:rFonts w:ascii="Times New Roman" w:hAnsi="Times New Roman" w:cs="Times New Roman"/>
          <w:caps/>
          <w:noProof/>
          <w:sz w:val="20"/>
          <w:szCs w:val="20"/>
          <w:lang w:val="en-US"/>
        </w:rPr>
        <w:t>d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istribution, Nat. Rev. Mater. 4 (2019) 761–774. https://doi.org/10.1038/s41578-019-0138-8.</w:t>
      </w:r>
    </w:p>
    <w:p w14:paraId="2FA2052D" w14:textId="77777777" w:rsidR="00D8522A" w:rsidRPr="00FB24E2" w:rsidRDefault="00D8522A" w:rsidP="00D8522A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noProof/>
          <w:sz w:val="20"/>
          <w:szCs w:val="20"/>
        </w:rPr>
      </w:pP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>[7]</w:t>
      </w:r>
      <w:r w:rsidRPr="00FB24E2">
        <w:rPr>
          <w:rFonts w:ascii="Times New Roman" w:hAnsi="Times New Roman" w:cs="Times New Roman"/>
          <w:noProof/>
          <w:sz w:val="20"/>
          <w:szCs w:val="20"/>
          <w:lang w:val="en-US"/>
        </w:rPr>
        <w:tab/>
        <w:t xml:space="preserve">G.C. Berry, Polymer Molecular Weight and Distribution, Encycl. </w:t>
      </w:r>
      <w:r w:rsidRPr="00FB24E2">
        <w:rPr>
          <w:rFonts w:ascii="Times New Roman" w:hAnsi="Times New Roman" w:cs="Times New Roman"/>
          <w:noProof/>
          <w:sz w:val="20"/>
          <w:szCs w:val="20"/>
        </w:rPr>
        <w:t>Mater. Sci. Technol. (2001).</w:t>
      </w:r>
    </w:p>
    <w:bookmarkEnd w:id="0"/>
    <w:p w14:paraId="077F6780" w14:textId="484A9598" w:rsidR="007E0073" w:rsidRPr="00FB24E2" w:rsidRDefault="007E0073" w:rsidP="00D8522A">
      <w:pPr>
        <w:spacing w:line="360" w:lineRule="auto"/>
        <w:ind w:firstLine="709"/>
        <w:rPr>
          <w:sz w:val="18"/>
          <w:szCs w:val="18"/>
          <w:lang w:val="en-US"/>
        </w:rPr>
      </w:pPr>
    </w:p>
    <w:sectPr w:rsidR="007E0073" w:rsidRPr="00FB2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22"/>
    <w:rsid w:val="003859EF"/>
    <w:rsid w:val="004011D1"/>
    <w:rsid w:val="004C24AC"/>
    <w:rsid w:val="00515C2D"/>
    <w:rsid w:val="006C05A2"/>
    <w:rsid w:val="007C4C3C"/>
    <w:rsid w:val="007E0073"/>
    <w:rsid w:val="008122A0"/>
    <w:rsid w:val="00A4593E"/>
    <w:rsid w:val="00B17C22"/>
    <w:rsid w:val="00B721C4"/>
    <w:rsid w:val="00BE0627"/>
    <w:rsid w:val="00D647DF"/>
    <w:rsid w:val="00D704B4"/>
    <w:rsid w:val="00D7131D"/>
    <w:rsid w:val="00D8522A"/>
    <w:rsid w:val="00F32C3C"/>
    <w:rsid w:val="00FB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2D48"/>
  <w15:chartTrackingRefBased/>
  <w15:docId w15:val="{12B47C4C-CD5D-4A40-B7B5-61713996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37340-ECAD-4E0B-B64D-9C6CAF3BB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2026-06-09T17:07:00Z</dcterms:created>
  <dcterms:modified xsi:type="dcterms:W3CDTF">2026-08-17T12:32:00Z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http://www.zotero.org/styles/advanced-industrial-and-engineering-polymer-research</vt:lpwstr>
  </property>
  <property fmtid="{D5CDD505-2E9C-101B-9397-08002B2CF9AE}" pid="3" name="Mendeley Recent Style Name 0_1">
    <vt:lpwstr>Advanced Industrial and Engineering Polymer Research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http://www.zotero.org/styles/elsevier-harvard-modified</vt:lpwstr>
  </property>
  <property fmtid="{D5CDD505-2E9C-101B-9397-08002B2CF9AE}" pid="13" name="Mendeley Recent Style Name 5_1">
    <vt:lpwstr>Elsevier (author-date/Harvard, with titles IN TEXT)</vt:lpwstr>
  </property>
  <property fmtid="{D5CDD505-2E9C-101B-9397-08002B2CF9AE}" pid="14" name="Mendeley Recent Style Id 6_1">
    <vt:lpwstr>http://www.zotero.org/styles/elsevier-with-titles</vt:lpwstr>
  </property>
  <property fmtid="{D5CDD505-2E9C-101B-9397-08002B2CF9AE}" pid="15" name="Mendeley Recent Style Name 6_1">
    <vt:lpwstr>Elsevier (numeric, with titles)</vt:lpwstr>
  </property>
  <property fmtid="{D5CDD505-2E9C-101B-9397-08002B2CF9AE}" pid="16" name="Mendeley Recent Style Id 7_1">
    <vt:lpwstr>http://www.zotero.org/styles/harvard1</vt:lpwstr>
  </property>
  <property fmtid="{D5CDD505-2E9C-101B-9397-08002B2CF9AE}" pid="17" name="Mendeley Recent Style Name 7_1">
    <vt:lpwstr>Harvard reference format 1 (deprecated)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2e307be1-9a42-3a8d-aa67-eb7a5d9d9fb1</vt:lpwstr>
  </property>
  <property fmtid="{D5CDD505-2E9C-101B-9397-08002B2CF9AE}" pid="24" name="Mendeley Citation Style_1">
    <vt:lpwstr>http://www.zotero.org/styles/elsevier-with-titles</vt:lpwstr>
  </property>
</Properties>
</file>