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3AD59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4514">
        <w:rPr>
          <w:rFonts w:ascii="Times New Roman" w:hAnsi="Times New Roman" w:cs="Times New Roman"/>
          <w:b/>
          <w:bCs/>
          <w:sz w:val="20"/>
          <w:szCs w:val="20"/>
        </w:rPr>
        <w:t>Online Resources</w:t>
      </w:r>
    </w:p>
    <w:p w14:paraId="43BDFB89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Online Resource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A4514">
        <w:rPr>
          <w:rFonts w:ascii="Times New Roman" w:hAnsi="Times New Roman" w:cs="Times New Roman"/>
          <w:sz w:val="20"/>
          <w:szCs w:val="20"/>
        </w:rPr>
        <w:t>1. Quality control, processing summary, and normalized taxonomic composition of Ethiopian wolf gut metagenomes.</w:t>
      </w:r>
    </w:p>
    <w:p w14:paraId="6A678631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(S1a) Summary of sequencing quality control and preprocessing metrics for each metagenomic sample, including filtering and read-processing steps. Ethiopian wolf samples analyzed in this study correspond to sample names EPHI-WDM-05 to EPHI-WDM-41.</w:t>
      </w:r>
    </w:p>
    <w:p w14:paraId="2093F452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(S1b) Normalized taxonomic composition tables generated from shotgun metagenomic sequencing data prior to downstream ecological and statistical analyses.</w:t>
      </w:r>
    </w:p>
    <w:p w14:paraId="6710C48E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Online Resource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A4514">
        <w:rPr>
          <w:rFonts w:ascii="Times New Roman" w:hAnsi="Times New Roman" w:cs="Times New Roman"/>
          <w:sz w:val="20"/>
          <w:szCs w:val="20"/>
        </w:rPr>
        <w:t>2. Relative abundance table of bacterial taxa used for downstream ecological and statistical analyses of Ethiopian wolf gut microbiomes.</w:t>
      </w:r>
    </w:p>
    <w:p w14:paraId="09516277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Relative abundance profiles of bacterial taxa across Ethiopian wolf samples (EPHI-WDM-05 to EPHI-WDM-41) generated from shotgun metagenomic sequencing data and used for downstream analyses.</w:t>
      </w:r>
    </w:p>
    <w:p w14:paraId="123B31C5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Online Resource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A4514">
        <w:rPr>
          <w:rFonts w:ascii="Times New Roman" w:hAnsi="Times New Roman" w:cs="Times New Roman"/>
          <w:sz w:val="20"/>
          <w:szCs w:val="20"/>
        </w:rPr>
        <w:t>3. Statistical analyses of Ethiopian wolf gut microbiome composition.</w:t>
      </w:r>
    </w:p>
    <w:p w14:paraId="03F1116F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S3a_Age. Permutational multivariate analysis of variance (PERMANOVA) testing the effect of host age class (juvenile, subadult, and adult) on gut microbiome community composition based on Bray–Curtis dissimilarity.</w:t>
      </w:r>
    </w:p>
    <w:p w14:paraId="52369202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S3b_Multivariable. Multivariable PERMANOVA assessing the effects of host age class, pack membership, and sex on gut microbiome community composition.</w:t>
      </w:r>
    </w:p>
    <w:p w14:paraId="128C49E5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S3c_Pack. PERMANOVA testing the effect of wolf pack membership on gut microbiome community composition based on Bray–Curtis dissimilarity.</w:t>
      </w:r>
    </w:p>
    <w:p w14:paraId="2AFB90A3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S3d1_FullSex. PERMANOVA assessing sex-associated variation in gut microbiome composition using the full dataset, including individuals classified as unknown sex.</w:t>
      </w:r>
    </w:p>
    <w:p w14:paraId="0FE88AC5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S3d2_KnownSexSubset. PERMANOVA assessing sex-associated variation in gut microbiome composition using only individuals of known sex.</w:t>
      </w:r>
    </w:p>
    <w:p w14:paraId="67205AF7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lastRenderedPageBreak/>
        <w:t>S3e_Dispersion. Homogeneity of multivariate dispersion (betadisper) analyses evaluating within-group variability among age classes, wolf packs, and sex categories.</w:t>
      </w:r>
    </w:p>
    <w:p w14:paraId="5F4EA6CC" w14:textId="77777777" w:rsidR="005F07ED" w:rsidRPr="002A4514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S3f_Species_CLR_FDR. Species-level differential abundance analysis performed on bacterial taxa after prevalence filtering (≥20% sample occurrence), count zero multiplicative (CZM) zero replacement, centered log-ratio (CLR) transformation, Kruskal–Wallis testing, and Benjamini–Hochberg false discovery rate (FDR) correction.</w:t>
      </w:r>
    </w:p>
    <w:p w14:paraId="6761BD9E" w14:textId="77777777" w:rsidR="005F07ED" w:rsidRPr="0006291E" w:rsidRDefault="005F07ED" w:rsidP="005F07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514">
        <w:rPr>
          <w:rFonts w:ascii="Times New Roman" w:hAnsi="Times New Roman" w:cs="Times New Roman"/>
          <w:sz w:val="20"/>
          <w:szCs w:val="20"/>
        </w:rPr>
        <w:t>S3g_Genus_CLR_FDR. Genus-level differential abundance analysis performed after aggregation of species-level taxa to the genus level, followed by prevalence filtering (≥20% sample occurrence), count zero multiplicative (CZM) zero replacement, centered log-ratio (CLR) transformation, Kruskal–Wallis testing, and Benjamini–Hochberg false discovery rate (FDR) correction.</w:t>
      </w:r>
    </w:p>
    <w:p w14:paraId="2BB44A9D" w14:textId="77777777" w:rsidR="00E023F9" w:rsidRDefault="00E023F9"/>
    <w:sectPr w:rsidR="00E023F9" w:rsidSect="005F07ED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3024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BF562" w14:textId="77777777" w:rsidR="005F07ED" w:rsidRDefault="005F07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5176A8" w14:textId="77777777" w:rsidR="005F07ED" w:rsidRDefault="005F07E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ED"/>
    <w:rsid w:val="00023D67"/>
    <w:rsid w:val="000C4033"/>
    <w:rsid w:val="00173ED8"/>
    <w:rsid w:val="002F50B1"/>
    <w:rsid w:val="004B42CB"/>
    <w:rsid w:val="005F07ED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5E33E"/>
  <w15:chartTrackingRefBased/>
  <w15:docId w15:val="{22B7C669-2B2D-4217-A1AE-03136E8C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7E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7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7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7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7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7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7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F0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5F0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7ED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5F07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7ED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5F07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7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7E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F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7ED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F0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2026-08-28T23:28:00Z</dcterms:created>
  <dcterms:modified xsi:type="dcterms:W3CDTF">2026-08-28T23:29:00Z</dcterms:modified>
</cp:coreProperties>
</file>