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9A93F8">
      <w:pPr>
        <w:pStyle w:val="3"/>
        <w:keepNext/>
        <w:pageBreakBefore w:val="0"/>
        <w:widowControl/>
        <w:kinsoku/>
        <w:wordWrap/>
        <w:overflowPunct/>
        <w:topLinePunct w:val="0"/>
        <w:autoSpaceDE/>
        <w:autoSpaceDN/>
        <w:bidi w:val="0"/>
        <w:adjustRightInd/>
        <w:snapToGrid/>
        <w:spacing w:before="0" w:after="160" w:line="240" w:lineRule="auto"/>
        <w:ind w:left="0" w:firstLine="0"/>
        <w:jc w:val="center"/>
        <w:textAlignment w:val="auto"/>
        <w:rPr>
          <w:rFonts w:hint="default" w:ascii="Times New Roman" w:hAnsi="Times New Roman" w:cs="Times New Roman"/>
          <w:sz w:val="32"/>
          <w:szCs w:val="32"/>
        </w:rPr>
      </w:pPr>
      <w:bookmarkStart w:id="0" w:name="_GoBack"/>
      <w:bookmarkEnd w:id="0"/>
      <w:r>
        <w:rPr>
          <w:rFonts w:hint="default" w:ascii="Times New Roman" w:hAnsi="Times New Roman" w:eastAsia="Times New Roman" w:cs="Times New Roman"/>
          <w:b/>
          <w:i w:val="0"/>
          <w:color w:val="000000"/>
          <w:sz w:val="32"/>
          <w:szCs w:val="32"/>
        </w:rPr>
        <w:t>Supplementary Material</w:t>
      </w:r>
    </w:p>
    <w:p w14:paraId="2C329037">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b w:val="0"/>
          <w:i w:val="0"/>
          <w:color w:val="000000"/>
          <w:sz w:val="24"/>
          <w:szCs w:val="24"/>
        </w:rPr>
      </w:pPr>
      <w:r>
        <w:rPr>
          <w:rFonts w:hint="default" w:ascii="Times New Roman" w:hAnsi="Times New Roman" w:eastAsia="Times New Roman" w:cs="Times New Roman"/>
          <w:b w:val="0"/>
          <w:i w:val="0"/>
          <w:color w:val="000000"/>
          <w:sz w:val="24"/>
          <w:szCs w:val="24"/>
        </w:rPr>
        <w:t>This supplementary file consolidates the non-identifying methodological and evidentiary materials supporting the main manuscript: participant-level sampling detail, interview and observation protocols, site metadata, descriptive-count rules, the analytical codebook, documentary provenance, the quotation/fieldnote audit trail, and a theoretical-refinement-to-evidence mapping.</w:t>
      </w:r>
    </w:p>
    <w:p w14:paraId="14ED9535">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b w:val="0"/>
          <w:i w:val="0"/>
          <w:color w:val="000000"/>
          <w:sz w:val="24"/>
          <w:szCs w:val="24"/>
        </w:rPr>
      </w:pPr>
    </w:p>
    <w:p w14:paraId="6AE8ABD2">
      <w:pPr>
        <w:pageBreakBefore w:val="0"/>
        <w:widowControl/>
        <w:kinsoku/>
        <w:wordWrap/>
        <w:overflowPunct/>
        <w:topLinePunct w:val="0"/>
        <w:autoSpaceDE/>
        <w:autoSpaceDN/>
        <w:bidi w:val="0"/>
        <w:adjustRightInd/>
        <w:snapToGrid/>
        <w:spacing w:before="0" w:after="160" w:line="240" w:lineRule="auto"/>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Supplementary Table S1 provides the detailed participant composition and sampling variation referenced in Section 3.2 of the main manuscript.</w:t>
      </w:r>
    </w:p>
    <w:p w14:paraId="04044D4D">
      <w:pPr>
        <w:pStyle w:val="164"/>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b/>
          <w:i w:val="0"/>
          <w:color w:val="000000"/>
          <w:sz w:val="24"/>
          <w:szCs w:val="24"/>
        </w:rPr>
      </w:pPr>
    </w:p>
    <w:p w14:paraId="2B8B519A">
      <w:pPr>
        <w:pStyle w:val="164"/>
        <w:pageBreakBefore w:val="0"/>
        <w:widowControl/>
        <w:kinsoku/>
        <w:wordWrap/>
        <w:overflowPunct/>
        <w:topLinePunct w:val="0"/>
        <w:autoSpaceDE/>
        <w:autoSpaceDN/>
        <w:bidi w:val="0"/>
        <w:adjustRightInd/>
        <w:snapToGrid/>
        <w:spacing w:before="0" w:after="160" w:line="240" w:lineRule="auto"/>
        <w:ind w:left="0" w:firstLine="0"/>
        <w:jc w:val="center"/>
        <w:textAlignment w:val="auto"/>
        <w:rPr>
          <w:rFonts w:hint="default" w:ascii="Times New Roman" w:hAnsi="Times New Roman" w:cs="Times New Roman"/>
          <w:sz w:val="24"/>
          <w:szCs w:val="24"/>
        </w:rPr>
      </w:pPr>
      <w:r>
        <w:rPr>
          <w:rFonts w:hint="default" w:ascii="Times New Roman" w:hAnsi="Times New Roman" w:eastAsia="Times New Roman" w:cs="Times New Roman"/>
          <w:b/>
          <w:i w:val="0"/>
          <w:color w:val="000000"/>
          <w:sz w:val="24"/>
          <w:szCs w:val="24"/>
        </w:rPr>
        <w:t>Supplementary Table S1.</w:t>
      </w:r>
      <w:r>
        <w:rPr>
          <w:rFonts w:hint="default" w:ascii="Times New Roman" w:hAnsi="Times New Roman" w:eastAsia="Times New Roman" w:cs="Times New Roman"/>
          <w:b w:val="0"/>
          <w:i w:val="0"/>
          <w:color w:val="000000"/>
          <w:sz w:val="24"/>
          <w:szCs w:val="24"/>
        </w:rPr>
        <w:t xml:space="preserve"> Participant structure and realized interview coverage.</w:t>
      </w:r>
    </w:p>
    <w:tbl>
      <w:tblPr>
        <w:tblStyle w:val="32"/>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43"/>
        <w:gridCol w:w="1376"/>
        <w:gridCol w:w="1336"/>
        <w:gridCol w:w="2048"/>
        <w:gridCol w:w="1763"/>
        <w:gridCol w:w="1270"/>
      </w:tblGrid>
      <w:tr w14:paraId="0FE46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807" w:type="pct"/>
            <w:tcBorders>
              <w:top w:val="single" w:color="000000" w:sz="12" w:space="0"/>
              <w:left w:val="nil"/>
              <w:bottom w:val="single" w:color="000000" w:sz="8" w:space="0"/>
              <w:right w:val="single" w:color="000000" w:sz="12" w:space="0"/>
            </w:tcBorders>
            <w:shd w:val="clear" w:color="auto" w:fill="FFFFFF"/>
            <w:vAlign w:val="center"/>
          </w:tcPr>
          <w:p w14:paraId="5FCDBE5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Participant group</w:t>
            </w:r>
          </w:p>
        </w:tc>
        <w:tc>
          <w:tcPr>
            <w:tcW w:w="688" w:type="pct"/>
            <w:tcBorders>
              <w:top w:val="single" w:color="000000" w:sz="12" w:space="0"/>
              <w:left w:val="nil"/>
              <w:bottom w:val="single" w:color="000000" w:sz="8" w:space="0"/>
              <w:right w:val="nil"/>
            </w:tcBorders>
            <w:shd w:val="clear" w:color="auto" w:fill="FFFFFF"/>
            <w:vAlign w:val="center"/>
          </w:tcPr>
          <w:p w14:paraId="7D3A826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Participant IDs</w:t>
            </w:r>
          </w:p>
        </w:tc>
        <w:tc>
          <w:tcPr>
            <w:tcW w:w="738" w:type="pct"/>
            <w:tcBorders>
              <w:top w:val="single" w:color="000000" w:sz="12" w:space="0"/>
              <w:left w:val="nil"/>
              <w:bottom w:val="single" w:color="000000" w:sz="8" w:space="0"/>
              <w:right w:val="nil"/>
            </w:tcBorders>
            <w:shd w:val="clear" w:color="auto" w:fill="FFFFFF"/>
            <w:vAlign w:val="center"/>
          </w:tcPr>
          <w:p w14:paraId="16AF867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N</w:t>
            </w:r>
          </w:p>
        </w:tc>
        <w:tc>
          <w:tcPr>
            <w:tcW w:w="1170" w:type="pct"/>
            <w:tcBorders>
              <w:top w:val="single" w:color="000000" w:sz="12" w:space="0"/>
              <w:left w:val="nil"/>
              <w:bottom w:val="single" w:color="000000" w:sz="8" w:space="0"/>
              <w:right w:val="nil"/>
            </w:tcBorders>
            <w:shd w:val="clear" w:color="auto" w:fill="FFFFFF"/>
            <w:vAlign w:val="center"/>
          </w:tcPr>
          <w:p w14:paraId="6067A9D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Key variation</w:t>
            </w:r>
          </w:p>
        </w:tc>
        <w:tc>
          <w:tcPr>
            <w:tcW w:w="924" w:type="pct"/>
            <w:tcBorders>
              <w:top w:val="single" w:color="000000" w:sz="12" w:space="0"/>
              <w:left w:val="nil"/>
              <w:bottom w:val="single" w:color="000000" w:sz="8" w:space="0"/>
              <w:right w:val="nil"/>
            </w:tcBorders>
            <w:shd w:val="clear" w:color="auto" w:fill="FFFFFF"/>
            <w:vAlign w:val="center"/>
          </w:tcPr>
          <w:p w14:paraId="563D3C5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Mode/duration</w:t>
            </w:r>
          </w:p>
        </w:tc>
        <w:tc>
          <w:tcPr>
            <w:tcW w:w="670" w:type="pct"/>
            <w:tcBorders>
              <w:top w:val="single" w:color="000000" w:sz="12" w:space="0"/>
              <w:left w:val="nil"/>
              <w:bottom w:val="single" w:color="000000" w:sz="8" w:space="0"/>
              <w:right w:val="nil"/>
            </w:tcBorders>
            <w:shd w:val="clear" w:color="auto" w:fill="FFFFFF"/>
            <w:vAlign w:val="center"/>
          </w:tcPr>
          <w:p w14:paraId="6AFDEBB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Analytical use</w:t>
            </w:r>
          </w:p>
        </w:tc>
      </w:tr>
      <w:tr w14:paraId="2A024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07" w:type="pct"/>
            <w:tcBorders>
              <w:top w:val="nil"/>
              <w:left w:val="nil"/>
              <w:bottom w:val="nil"/>
              <w:right w:val="single" w:color="000000" w:sz="12" w:space="0"/>
            </w:tcBorders>
            <w:shd w:val="clear" w:color="auto" w:fill="FFFFFF"/>
            <w:vAlign w:val="center"/>
          </w:tcPr>
          <w:p w14:paraId="5B89D63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Public cooling-site users</w:t>
            </w:r>
          </w:p>
        </w:tc>
        <w:tc>
          <w:tcPr>
            <w:tcW w:w="688" w:type="pct"/>
            <w:tcBorders>
              <w:top w:val="nil"/>
              <w:left w:val="nil"/>
              <w:bottom w:val="nil"/>
              <w:right w:val="nil"/>
            </w:tcBorders>
            <w:shd w:val="clear" w:color="auto" w:fill="FFFFFF"/>
            <w:vAlign w:val="center"/>
          </w:tcPr>
          <w:p w14:paraId="484213A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U01–U31</w:t>
            </w:r>
          </w:p>
        </w:tc>
        <w:tc>
          <w:tcPr>
            <w:tcW w:w="738" w:type="pct"/>
            <w:tcBorders>
              <w:top w:val="nil"/>
              <w:left w:val="nil"/>
              <w:bottom w:val="nil"/>
              <w:right w:val="nil"/>
            </w:tcBorders>
            <w:shd w:val="clear" w:color="auto" w:fill="FFFFFF"/>
            <w:vAlign w:val="center"/>
          </w:tcPr>
          <w:p w14:paraId="5442866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w:t>
            </w:r>
          </w:p>
        </w:tc>
        <w:tc>
          <w:tcPr>
            <w:tcW w:w="1170" w:type="pct"/>
            <w:tcBorders>
              <w:top w:val="nil"/>
              <w:left w:val="nil"/>
              <w:bottom w:val="nil"/>
              <w:right w:val="nil"/>
            </w:tcBorders>
            <w:shd w:val="clear" w:color="auto" w:fill="FFFFFF"/>
            <w:vAlign w:val="center"/>
          </w:tcPr>
          <w:p w14:paraId="26B9A46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Age range 22–86; use frequency: daily (n=11), 3–5×/wk (n=9), 1–2×/wk (n=7), occasional/1st (n=4); mobility: independent (n=24), assisted (n=7); residential proximity: &lt;1 km (n=18), 1–3 km (n=9), &gt;3 km (n=4)</w:t>
            </w:r>
          </w:p>
        </w:tc>
        <w:tc>
          <w:tcPr>
            <w:tcW w:w="924" w:type="pct"/>
            <w:tcBorders>
              <w:top w:val="nil"/>
              <w:left w:val="nil"/>
              <w:bottom w:val="nil"/>
              <w:right w:val="nil"/>
            </w:tcBorders>
            <w:shd w:val="clear" w:color="auto" w:fill="FFFFFF"/>
            <w:vAlign w:val="center"/>
          </w:tcPr>
          <w:p w14:paraId="3FF3E04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On-site, quiet corner; 22–78 min, median 41 min</w:t>
            </w:r>
          </w:p>
        </w:tc>
        <w:tc>
          <w:tcPr>
            <w:tcW w:w="670" w:type="pct"/>
            <w:tcBorders>
              <w:top w:val="nil"/>
              <w:left w:val="nil"/>
              <w:bottom w:val="nil"/>
              <w:right w:val="nil"/>
            </w:tcBorders>
            <w:shd w:val="clear" w:color="auto" w:fill="FFFFFF"/>
            <w:vAlign w:val="center"/>
          </w:tcPr>
          <w:p w14:paraId="53EE4B5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Cases I–II</w:t>
            </w:r>
          </w:p>
        </w:tc>
      </w:tr>
      <w:tr w14:paraId="36B15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07" w:type="pct"/>
            <w:tcBorders>
              <w:top w:val="nil"/>
              <w:left w:val="nil"/>
              <w:bottom w:val="nil"/>
              <w:right w:val="single" w:color="000000" w:sz="12" w:space="0"/>
            </w:tcBorders>
            <w:shd w:val="clear" w:color="auto" w:fill="FFFFFF"/>
            <w:vAlign w:val="center"/>
          </w:tcPr>
          <w:p w14:paraId="2457D9C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Government / community / site management</w:t>
            </w:r>
          </w:p>
        </w:tc>
        <w:tc>
          <w:tcPr>
            <w:tcW w:w="688" w:type="pct"/>
            <w:tcBorders>
              <w:top w:val="nil"/>
              <w:left w:val="nil"/>
              <w:bottom w:val="nil"/>
              <w:right w:val="nil"/>
            </w:tcBorders>
            <w:shd w:val="clear" w:color="auto" w:fill="FFFFFF"/>
            <w:vAlign w:val="center"/>
          </w:tcPr>
          <w:p w14:paraId="0A85AEB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M01–M09</w:t>
            </w:r>
          </w:p>
        </w:tc>
        <w:tc>
          <w:tcPr>
            <w:tcW w:w="738" w:type="pct"/>
            <w:tcBorders>
              <w:top w:val="nil"/>
              <w:left w:val="nil"/>
              <w:bottom w:val="nil"/>
              <w:right w:val="nil"/>
            </w:tcBorders>
            <w:shd w:val="clear" w:color="auto" w:fill="FFFFFF"/>
            <w:vAlign w:val="center"/>
          </w:tcPr>
          <w:p w14:paraId="0712CBB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w:t>
            </w:r>
          </w:p>
        </w:tc>
        <w:tc>
          <w:tcPr>
            <w:tcW w:w="1170" w:type="pct"/>
            <w:tcBorders>
              <w:top w:val="nil"/>
              <w:left w:val="nil"/>
              <w:bottom w:val="nil"/>
              <w:right w:val="nil"/>
            </w:tcBorders>
            <w:shd w:val="clear" w:color="auto" w:fill="FFFFFF"/>
            <w:vAlign w:val="center"/>
          </w:tcPr>
          <w:p w14:paraId="672F4E8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Institutional level: municipal (n=3), district (n=3), site/community (n=3); function: operations (n=5), safety (n=2), public relations (n=2)</w:t>
            </w:r>
          </w:p>
        </w:tc>
        <w:tc>
          <w:tcPr>
            <w:tcW w:w="924" w:type="pct"/>
            <w:tcBorders>
              <w:top w:val="nil"/>
              <w:left w:val="nil"/>
              <w:bottom w:val="nil"/>
              <w:right w:val="nil"/>
            </w:tcBorders>
            <w:shd w:val="clear" w:color="auto" w:fill="FFFFFF"/>
            <w:vAlign w:val="center"/>
          </w:tcPr>
          <w:p w14:paraId="1DE2671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On-site offices or meeting rooms; 30–65 min, median 45 min</w:t>
            </w:r>
          </w:p>
        </w:tc>
        <w:tc>
          <w:tcPr>
            <w:tcW w:w="670" w:type="pct"/>
            <w:tcBorders>
              <w:top w:val="nil"/>
              <w:left w:val="nil"/>
              <w:bottom w:val="nil"/>
              <w:right w:val="nil"/>
            </w:tcBorders>
            <w:shd w:val="clear" w:color="auto" w:fill="FFFFFF"/>
            <w:vAlign w:val="center"/>
          </w:tcPr>
          <w:p w14:paraId="29848A6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Cases I–III</w:t>
            </w:r>
          </w:p>
        </w:tc>
      </w:tr>
      <w:tr w14:paraId="7B266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07" w:type="pct"/>
            <w:tcBorders>
              <w:top w:val="nil"/>
              <w:left w:val="nil"/>
              <w:bottom w:val="nil"/>
              <w:right w:val="single" w:color="000000" w:sz="12" w:space="0"/>
            </w:tcBorders>
            <w:shd w:val="clear" w:color="auto" w:fill="FFFFFF"/>
            <w:vAlign w:val="center"/>
          </w:tcPr>
          <w:p w14:paraId="0EEF7FD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Design / heritage / reuse actors</w:t>
            </w:r>
          </w:p>
        </w:tc>
        <w:tc>
          <w:tcPr>
            <w:tcW w:w="688" w:type="pct"/>
            <w:tcBorders>
              <w:top w:val="nil"/>
              <w:left w:val="nil"/>
              <w:bottom w:val="nil"/>
              <w:right w:val="nil"/>
            </w:tcBorders>
            <w:shd w:val="clear" w:color="auto" w:fill="FFFFFF"/>
            <w:vAlign w:val="center"/>
          </w:tcPr>
          <w:p w14:paraId="2B6AAC6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D01–D06</w:t>
            </w:r>
          </w:p>
        </w:tc>
        <w:tc>
          <w:tcPr>
            <w:tcW w:w="738" w:type="pct"/>
            <w:tcBorders>
              <w:top w:val="nil"/>
              <w:left w:val="nil"/>
              <w:bottom w:val="nil"/>
              <w:right w:val="nil"/>
            </w:tcBorders>
            <w:shd w:val="clear" w:color="auto" w:fill="FFFFFF"/>
            <w:vAlign w:val="center"/>
          </w:tcPr>
          <w:p w14:paraId="5014404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1170" w:type="pct"/>
            <w:tcBorders>
              <w:top w:val="nil"/>
              <w:left w:val="nil"/>
              <w:bottom w:val="nil"/>
              <w:right w:val="nil"/>
            </w:tcBorders>
            <w:shd w:val="clear" w:color="auto" w:fill="FFFFFF"/>
            <w:vAlign w:val="center"/>
          </w:tcPr>
          <w:p w14:paraId="0604CE7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Role: architect/heritage consultant (n=2), operator (n=3), curator/exhibition (n=1)</w:t>
            </w:r>
          </w:p>
        </w:tc>
        <w:tc>
          <w:tcPr>
            <w:tcW w:w="924" w:type="pct"/>
            <w:tcBorders>
              <w:top w:val="nil"/>
              <w:left w:val="nil"/>
              <w:bottom w:val="nil"/>
              <w:right w:val="nil"/>
            </w:tcBorders>
            <w:shd w:val="clear" w:color="auto" w:fill="FFFFFF"/>
            <w:vAlign w:val="center"/>
          </w:tcPr>
          <w:p w14:paraId="2908099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On-site or by phone (2); 28–55 min, median 40 min</w:t>
            </w:r>
          </w:p>
        </w:tc>
        <w:tc>
          <w:tcPr>
            <w:tcW w:w="670" w:type="pct"/>
            <w:tcBorders>
              <w:top w:val="nil"/>
              <w:left w:val="nil"/>
              <w:bottom w:val="nil"/>
              <w:right w:val="nil"/>
            </w:tcBorders>
            <w:shd w:val="clear" w:color="auto" w:fill="FFFFFF"/>
            <w:vAlign w:val="center"/>
          </w:tcPr>
          <w:p w14:paraId="4AFC2BD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Case III</w:t>
            </w:r>
          </w:p>
        </w:tc>
      </w:tr>
      <w:tr w14:paraId="768DA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07" w:type="pct"/>
            <w:tcBorders>
              <w:top w:val="nil"/>
              <w:left w:val="nil"/>
              <w:bottom w:val="single" w:color="000000" w:sz="12" w:space="0"/>
              <w:right w:val="single" w:color="000000" w:sz="12" w:space="0"/>
            </w:tcBorders>
            <w:shd w:val="clear" w:color="auto" w:fill="FFFFFF"/>
            <w:vAlign w:val="center"/>
          </w:tcPr>
          <w:p w14:paraId="47F9AD6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Group-discussion participation</w:t>
            </w:r>
          </w:p>
        </w:tc>
        <w:tc>
          <w:tcPr>
            <w:tcW w:w="688" w:type="pct"/>
            <w:tcBorders>
              <w:top w:val="nil"/>
              <w:left w:val="nil"/>
              <w:bottom w:val="single" w:color="000000" w:sz="12" w:space="0"/>
              <w:right w:val="nil"/>
            </w:tcBorders>
            <w:shd w:val="clear" w:color="auto" w:fill="FFFFFF"/>
            <w:vAlign w:val="center"/>
          </w:tcPr>
          <w:p w14:paraId="3DE7ED1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G01–G04</w:t>
            </w:r>
          </w:p>
        </w:tc>
        <w:tc>
          <w:tcPr>
            <w:tcW w:w="738" w:type="pct"/>
            <w:tcBorders>
              <w:top w:val="nil"/>
              <w:left w:val="nil"/>
              <w:bottom w:val="single" w:color="000000" w:sz="12" w:space="0"/>
              <w:right w:val="nil"/>
            </w:tcBorders>
            <w:shd w:val="clear" w:color="auto" w:fill="FFFFFF"/>
            <w:vAlign w:val="center"/>
          </w:tcPr>
          <w:p w14:paraId="15036F6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 attendances (4 groups)</w:t>
            </w:r>
          </w:p>
        </w:tc>
        <w:tc>
          <w:tcPr>
            <w:tcW w:w="1170" w:type="pct"/>
            <w:tcBorders>
              <w:top w:val="nil"/>
              <w:left w:val="nil"/>
              <w:bottom w:val="single" w:color="000000" w:sz="12" w:space="0"/>
              <w:right w:val="nil"/>
            </w:tcBorders>
            <w:shd w:val="clear" w:color="auto" w:fill="FFFFFF"/>
            <w:vAlign w:val="center"/>
          </w:tcPr>
          <w:p w14:paraId="5F7EFF1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Regular users: daily or near-daily attendees; recruited from S01 (G01), S03 (G02), S06 (G03), S07 (G04)</w:t>
            </w:r>
          </w:p>
        </w:tc>
        <w:tc>
          <w:tcPr>
            <w:tcW w:w="924" w:type="pct"/>
            <w:tcBorders>
              <w:top w:val="nil"/>
              <w:left w:val="nil"/>
              <w:bottom w:val="single" w:color="000000" w:sz="12" w:space="0"/>
              <w:right w:val="nil"/>
            </w:tcBorders>
            <w:shd w:val="clear" w:color="auto" w:fill="FFFFFF"/>
            <w:vAlign w:val="center"/>
          </w:tcPr>
          <w:p w14:paraId="63FDF6E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On-site, side room; 45–70 min each</w:t>
            </w:r>
          </w:p>
        </w:tc>
        <w:tc>
          <w:tcPr>
            <w:tcW w:w="670" w:type="pct"/>
            <w:tcBorders>
              <w:top w:val="nil"/>
              <w:left w:val="nil"/>
              <w:bottom w:val="single" w:color="000000" w:sz="12" w:space="0"/>
              <w:right w:val="nil"/>
            </w:tcBorders>
            <w:shd w:val="clear" w:color="auto" w:fill="FFFFFF"/>
            <w:vAlign w:val="center"/>
          </w:tcPr>
          <w:p w14:paraId="5619F55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Case II / cross-check</w:t>
            </w:r>
          </w:p>
        </w:tc>
      </w:tr>
    </w:tbl>
    <w:p w14:paraId="7D8F90FC">
      <w:pPr>
        <w:pStyle w:val="164"/>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b w:val="0"/>
          <w:i w:val="0"/>
          <w:color w:val="000000"/>
          <w:sz w:val="24"/>
          <w:szCs w:val="24"/>
        </w:rPr>
      </w:pPr>
      <w:r>
        <w:rPr>
          <w:rFonts w:hint="default" w:ascii="Times New Roman" w:hAnsi="Times New Roman" w:eastAsia="Times New Roman" w:cs="Times New Roman"/>
          <w:b w:val="0"/>
          <w:i/>
          <w:color w:val="000000"/>
          <w:sz w:val="24"/>
          <w:szCs w:val="24"/>
        </w:rPr>
        <w:t>Note.</w:t>
      </w:r>
      <w:r>
        <w:rPr>
          <w:rFonts w:hint="default" w:ascii="Times New Roman" w:hAnsi="Times New Roman" w:eastAsia="Times New Roman" w:cs="Times New Roman"/>
          <w:b w:val="0"/>
          <w:i w:val="0"/>
          <w:color w:val="000000"/>
          <w:sz w:val="24"/>
          <w:szCs w:val="24"/>
        </w:rPr>
        <w:t xml:space="preserve"> Counts describe the realized purposive sample and are not intended to represent the demographic composition of Chongqing shelter users. Group-discussion attendance is reported separately and is not summed with the interview N to infer a combined unique-person denominator. Because public-shelter users were recruited primarily on site, residents who never used the shelters or had already discontinued use are not represented as a separate comparison group.</w:t>
      </w:r>
    </w:p>
    <w:p w14:paraId="1DF61117">
      <w:pPr>
        <w:pStyle w:val="164"/>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b w:val="0"/>
          <w:i w:val="0"/>
          <w:color w:val="000000"/>
          <w:sz w:val="24"/>
          <w:szCs w:val="24"/>
        </w:rPr>
      </w:pPr>
    </w:p>
    <w:p w14:paraId="19A027CD">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i w:val="0"/>
          <w:color w:val="000000"/>
          <w:sz w:val="24"/>
          <w:szCs w:val="24"/>
        </w:rPr>
        <w:t>Supplementary Table S2 documents the units and counting rules for descriptive qualitative counts retained in the main manuscript.</w:t>
      </w:r>
    </w:p>
    <w:p w14:paraId="42BDDF70">
      <w:pPr>
        <w:pStyle w:val="164"/>
        <w:pageBreakBefore w:val="0"/>
        <w:widowControl/>
        <w:kinsoku/>
        <w:wordWrap/>
        <w:overflowPunct/>
        <w:topLinePunct w:val="0"/>
        <w:autoSpaceDE/>
        <w:autoSpaceDN/>
        <w:bidi w:val="0"/>
        <w:adjustRightInd/>
        <w:snapToGrid/>
        <w:spacing w:before="0" w:after="160" w:line="240" w:lineRule="auto"/>
        <w:ind w:left="0" w:firstLine="0"/>
        <w:jc w:val="center"/>
        <w:textAlignment w:val="auto"/>
        <w:rPr>
          <w:rFonts w:hint="default" w:ascii="Times New Roman" w:hAnsi="Times New Roman" w:eastAsia="Times New Roman" w:cs="Times New Roman"/>
          <w:b/>
          <w:i w:val="0"/>
          <w:color w:val="000000"/>
          <w:sz w:val="24"/>
          <w:szCs w:val="24"/>
        </w:rPr>
      </w:pPr>
    </w:p>
    <w:p w14:paraId="7413C7AB">
      <w:pPr>
        <w:pStyle w:val="164"/>
        <w:pageBreakBefore w:val="0"/>
        <w:widowControl/>
        <w:kinsoku/>
        <w:wordWrap/>
        <w:overflowPunct/>
        <w:topLinePunct w:val="0"/>
        <w:autoSpaceDE/>
        <w:autoSpaceDN/>
        <w:bidi w:val="0"/>
        <w:adjustRightInd/>
        <w:snapToGrid/>
        <w:spacing w:before="0" w:after="160" w:line="240" w:lineRule="auto"/>
        <w:ind w:left="0" w:firstLine="0"/>
        <w:jc w:val="center"/>
        <w:textAlignment w:val="auto"/>
        <w:rPr>
          <w:rFonts w:hint="default" w:ascii="Times New Roman" w:hAnsi="Times New Roman" w:cs="Times New Roman"/>
          <w:sz w:val="24"/>
          <w:szCs w:val="24"/>
        </w:rPr>
      </w:pPr>
      <w:r>
        <w:rPr>
          <w:rFonts w:hint="default" w:ascii="Times New Roman" w:hAnsi="Times New Roman" w:eastAsia="Times New Roman" w:cs="Times New Roman"/>
          <w:b/>
          <w:i w:val="0"/>
          <w:color w:val="000000"/>
          <w:sz w:val="24"/>
          <w:szCs w:val="24"/>
        </w:rPr>
        <w:t>Supplementary Table S2.</w:t>
      </w:r>
      <w:r>
        <w:rPr>
          <w:rFonts w:hint="default" w:ascii="Times New Roman" w:hAnsi="Times New Roman" w:eastAsia="Times New Roman" w:cs="Times New Roman"/>
          <w:b w:val="0"/>
          <w:i w:val="0"/>
          <w:color w:val="000000"/>
          <w:sz w:val="24"/>
          <w:szCs w:val="24"/>
        </w:rPr>
        <w:t xml:space="preserve"> Descriptive qualitative count audit and interpretation rules.</w:t>
      </w:r>
    </w:p>
    <w:tbl>
      <w:tblPr>
        <w:tblStyle w:val="32"/>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12"/>
        <w:gridCol w:w="2144"/>
        <w:gridCol w:w="2948"/>
        <w:gridCol w:w="2432"/>
      </w:tblGrid>
      <w:tr w14:paraId="6D4B4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927" w:type="pct"/>
            <w:tcBorders>
              <w:top w:val="single" w:color="000000" w:sz="12" w:space="0"/>
              <w:left w:val="nil"/>
              <w:bottom w:val="single" w:color="000000" w:sz="8" w:space="0"/>
              <w:right w:val="single" w:color="000000" w:sz="12" w:space="0"/>
            </w:tcBorders>
            <w:shd w:val="clear" w:color="auto" w:fill="FFFFFF"/>
            <w:vAlign w:val="center"/>
          </w:tcPr>
          <w:p w14:paraId="06969C0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Evidence pattern</w:t>
            </w:r>
          </w:p>
        </w:tc>
        <w:tc>
          <w:tcPr>
            <w:tcW w:w="1160" w:type="pct"/>
            <w:tcBorders>
              <w:top w:val="single" w:color="000000" w:sz="12" w:space="0"/>
              <w:left w:val="nil"/>
              <w:bottom w:val="single" w:color="000000" w:sz="8" w:space="0"/>
              <w:right w:val="nil"/>
            </w:tcBorders>
            <w:shd w:val="clear" w:color="auto" w:fill="FFFFFF"/>
            <w:vAlign w:val="center"/>
          </w:tcPr>
          <w:p w14:paraId="7E49CAA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Reported count</w:t>
            </w:r>
          </w:p>
        </w:tc>
        <w:tc>
          <w:tcPr>
            <w:tcW w:w="1595" w:type="pct"/>
            <w:tcBorders>
              <w:top w:val="single" w:color="000000" w:sz="12" w:space="0"/>
              <w:left w:val="nil"/>
              <w:bottom w:val="single" w:color="000000" w:sz="8" w:space="0"/>
              <w:right w:val="nil"/>
            </w:tcBorders>
            <w:shd w:val="clear" w:color="auto" w:fill="FFFFFF"/>
            <w:vAlign w:val="center"/>
          </w:tcPr>
          <w:p w14:paraId="7E92C91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Unit / counting rule</w:t>
            </w:r>
          </w:p>
        </w:tc>
        <w:tc>
          <w:tcPr>
            <w:tcW w:w="1316" w:type="pct"/>
            <w:tcBorders>
              <w:top w:val="single" w:color="000000" w:sz="12" w:space="0"/>
              <w:left w:val="nil"/>
              <w:bottom w:val="single" w:color="000000" w:sz="8" w:space="0"/>
              <w:right w:val="nil"/>
            </w:tcBorders>
            <w:shd w:val="clear" w:color="auto" w:fill="FFFFFF"/>
            <w:vAlign w:val="center"/>
          </w:tcPr>
          <w:p w14:paraId="65A5F9D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Interpretive status</w:t>
            </w:r>
          </w:p>
        </w:tc>
      </w:tr>
      <w:tr w14:paraId="5F516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27" w:type="pct"/>
            <w:tcBorders>
              <w:top w:val="nil"/>
              <w:left w:val="nil"/>
              <w:bottom w:val="nil"/>
              <w:right w:val="single" w:color="000000" w:sz="12" w:space="0"/>
            </w:tcBorders>
            <w:shd w:val="clear" w:color="auto" w:fill="FFFFFF"/>
            <w:vAlign w:val="center"/>
          </w:tcPr>
          <w:p w14:paraId="1573F40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Entrance-transition recurrence</w:t>
            </w:r>
          </w:p>
        </w:tc>
        <w:tc>
          <w:tcPr>
            <w:tcW w:w="1160" w:type="pct"/>
            <w:tcBorders>
              <w:top w:val="nil"/>
              <w:left w:val="nil"/>
              <w:bottom w:val="nil"/>
              <w:right w:val="nil"/>
            </w:tcBorders>
            <w:shd w:val="clear" w:color="auto" w:fill="FFFFFF"/>
            <w:vAlign w:val="center"/>
          </w:tcPr>
          <w:p w14:paraId="24117D7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 observed entry episodes; 19 user interviews</w:t>
            </w:r>
          </w:p>
        </w:tc>
        <w:tc>
          <w:tcPr>
            <w:tcW w:w="1595" w:type="pct"/>
            <w:tcBorders>
              <w:top w:val="nil"/>
              <w:left w:val="nil"/>
              <w:bottom w:val="nil"/>
              <w:right w:val="nil"/>
            </w:tcBorders>
            <w:shd w:val="clear" w:color="auto" w:fill="FFFFFF"/>
            <w:vAlign w:val="center"/>
          </w:tcPr>
          <w:p w14:paraId="311B1F0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One observed arrival/threshold sequence per event; one participant counted once for an explicit threshold account</w:t>
            </w:r>
          </w:p>
        </w:tc>
        <w:tc>
          <w:tcPr>
            <w:tcW w:w="1316" w:type="pct"/>
            <w:tcBorders>
              <w:top w:val="nil"/>
              <w:left w:val="nil"/>
              <w:bottom w:val="nil"/>
              <w:right w:val="nil"/>
            </w:tcBorders>
            <w:shd w:val="clear" w:color="auto" w:fill="FFFFFF"/>
            <w:vAlign w:val="center"/>
          </w:tcPr>
          <w:p w14:paraId="3052DD0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Recurrence indicator only; not prevalence</w:t>
            </w:r>
          </w:p>
        </w:tc>
      </w:tr>
      <w:tr w14:paraId="67485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27" w:type="pct"/>
            <w:tcBorders>
              <w:top w:val="nil"/>
              <w:left w:val="nil"/>
              <w:bottom w:val="nil"/>
              <w:right w:val="single" w:color="000000" w:sz="12" w:space="0"/>
            </w:tcBorders>
            <w:shd w:val="clear" w:color="auto" w:fill="FFFFFF"/>
            <w:vAlign w:val="center"/>
          </w:tcPr>
          <w:p w14:paraId="252CFCF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Avoidance or reduced use despite valuing coolness</w:t>
            </w:r>
          </w:p>
        </w:tc>
        <w:tc>
          <w:tcPr>
            <w:tcW w:w="1160" w:type="pct"/>
            <w:tcBorders>
              <w:top w:val="nil"/>
              <w:left w:val="nil"/>
              <w:bottom w:val="nil"/>
              <w:right w:val="nil"/>
            </w:tcBorders>
            <w:shd w:val="clear" w:color="auto" w:fill="FFFFFF"/>
            <w:vAlign w:val="center"/>
          </w:tcPr>
          <w:p w14:paraId="6EE6CE5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 of 31 interviewed users</w:t>
            </w:r>
          </w:p>
        </w:tc>
        <w:tc>
          <w:tcPr>
            <w:tcW w:w="1595" w:type="pct"/>
            <w:tcBorders>
              <w:top w:val="nil"/>
              <w:left w:val="nil"/>
              <w:bottom w:val="nil"/>
              <w:right w:val="nil"/>
            </w:tcBorders>
            <w:shd w:val="clear" w:color="auto" w:fill="FFFFFF"/>
            <w:vAlign w:val="center"/>
          </w:tcPr>
          <w:p w14:paraId="7F23521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Explicit coded self-report; each participant counted once for this claim</w:t>
            </w:r>
          </w:p>
        </w:tc>
        <w:tc>
          <w:tcPr>
            <w:tcW w:w="1316" w:type="pct"/>
            <w:tcBorders>
              <w:top w:val="nil"/>
              <w:left w:val="nil"/>
              <w:bottom w:val="nil"/>
              <w:right w:val="nil"/>
            </w:tcBorders>
            <w:shd w:val="clear" w:color="auto" w:fill="FFFFFF"/>
            <w:vAlign w:val="center"/>
          </w:tcPr>
          <w:p w14:paraId="74795A1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Descriptive within-sample count; not population frequency</w:t>
            </w:r>
          </w:p>
        </w:tc>
      </w:tr>
      <w:tr w14:paraId="64404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27" w:type="pct"/>
            <w:tcBorders>
              <w:top w:val="nil"/>
              <w:left w:val="nil"/>
              <w:bottom w:val="nil"/>
              <w:right w:val="single" w:color="000000" w:sz="12" w:space="0"/>
            </w:tcBorders>
            <w:shd w:val="clear" w:color="auto" w:fill="FFFFFF"/>
            <w:vAlign w:val="center"/>
          </w:tcPr>
          <w:p w14:paraId="5E7C5C0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Stairs as a limiting factor</w:t>
            </w:r>
          </w:p>
        </w:tc>
        <w:tc>
          <w:tcPr>
            <w:tcW w:w="1160" w:type="pct"/>
            <w:tcBorders>
              <w:top w:val="nil"/>
              <w:left w:val="nil"/>
              <w:bottom w:val="nil"/>
              <w:right w:val="nil"/>
            </w:tcBorders>
            <w:shd w:val="clear" w:color="auto" w:fill="FFFFFF"/>
            <w:vAlign w:val="center"/>
          </w:tcPr>
          <w:p w14:paraId="11A4F7E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 users, including 3 caregivers</w:t>
            </w:r>
          </w:p>
        </w:tc>
        <w:tc>
          <w:tcPr>
            <w:tcW w:w="1595" w:type="pct"/>
            <w:tcBorders>
              <w:top w:val="nil"/>
              <w:left w:val="nil"/>
              <w:bottom w:val="nil"/>
              <w:right w:val="nil"/>
            </w:tcBorders>
            <w:shd w:val="clear" w:color="auto" w:fill="FFFFFF"/>
            <w:vAlign w:val="center"/>
          </w:tcPr>
          <w:p w14:paraId="044D5BE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Explicit coded self-report; each participant counted once</w:t>
            </w:r>
          </w:p>
        </w:tc>
        <w:tc>
          <w:tcPr>
            <w:tcW w:w="1316" w:type="pct"/>
            <w:tcBorders>
              <w:top w:val="nil"/>
              <w:left w:val="nil"/>
              <w:bottom w:val="nil"/>
              <w:right w:val="nil"/>
            </w:tcBorders>
            <w:shd w:val="clear" w:color="auto" w:fill="FFFFFF"/>
            <w:vAlign w:val="center"/>
          </w:tcPr>
          <w:p w14:paraId="3971E56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Design-scale pattern; not network equity estimate</w:t>
            </w:r>
          </w:p>
        </w:tc>
      </w:tr>
      <w:tr w14:paraId="60FEF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27" w:type="pct"/>
            <w:tcBorders>
              <w:top w:val="nil"/>
              <w:left w:val="nil"/>
              <w:bottom w:val="nil"/>
              <w:right w:val="single" w:color="000000" w:sz="12" w:space="0"/>
            </w:tcBorders>
            <w:shd w:val="clear" w:color="auto" w:fill="FFFFFF"/>
            <w:vAlign w:val="center"/>
          </w:tcPr>
          <w:p w14:paraId="1B25246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Regular-user interaction</w:t>
            </w:r>
          </w:p>
        </w:tc>
        <w:tc>
          <w:tcPr>
            <w:tcW w:w="1160" w:type="pct"/>
            <w:tcBorders>
              <w:top w:val="nil"/>
              <w:left w:val="nil"/>
              <w:bottom w:val="nil"/>
              <w:right w:val="nil"/>
            </w:tcBorders>
            <w:shd w:val="clear" w:color="auto" w:fill="FFFFFF"/>
            <w:vAlign w:val="center"/>
          </w:tcPr>
          <w:p w14:paraId="1C225FE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67 fieldnote episodes</w:t>
            </w:r>
          </w:p>
        </w:tc>
        <w:tc>
          <w:tcPr>
            <w:tcW w:w="1595" w:type="pct"/>
            <w:tcBorders>
              <w:top w:val="nil"/>
              <w:left w:val="nil"/>
              <w:bottom w:val="nil"/>
              <w:right w:val="nil"/>
            </w:tcBorders>
            <w:shd w:val="clear" w:color="auto" w:fill="FFFFFF"/>
            <w:vAlign w:val="center"/>
          </w:tcPr>
          <w:p w14:paraId="1ED48FA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Discrete observed interaction episode in session-level fieldnotes</w:t>
            </w:r>
          </w:p>
        </w:tc>
        <w:tc>
          <w:tcPr>
            <w:tcW w:w="1316" w:type="pct"/>
            <w:tcBorders>
              <w:top w:val="nil"/>
              <w:left w:val="nil"/>
              <w:bottom w:val="nil"/>
              <w:right w:val="nil"/>
            </w:tcBorders>
            <w:shd w:val="clear" w:color="auto" w:fill="FFFFFF"/>
            <w:vAlign w:val="center"/>
          </w:tcPr>
          <w:p w14:paraId="4C5B535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Descriptive event count; no participant denominator</w:t>
            </w:r>
          </w:p>
        </w:tc>
      </w:tr>
      <w:tr w14:paraId="7F9AF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27" w:type="pct"/>
            <w:tcBorders>
              <w:top w:val="nil"/>
              <w:left w:val="nil"/>
              <w:bottom w:val="nil"/>
              <w:right w:val="single" w:color="000000" w:sz="12" w:space="0"/>
            </w:tcBorders>
            <w:shd w:val="clear" w:color="auto" w:fill="FFFFFF"/>
            <w:vAlign w:val="center"/>
          </w:tcPr>
          <w:p w14:paraId="5F209D8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Crowd-related early departure</w:t>
            </w:r>
          </w:p>
        </w:tc>
        <w:tc>
          <w:tcPr>
            <w:tcW w:w="1160" w:type="pct"/>
            <w:tcBorders>
              <w:top w:val="nil"/>
              <w:left w:val="nil"/>
              <w:bottom w:val="nil"/>
              <w:right w:val="nil"/>
            </w:tcBorders>
            <w:shd w:val="clear" w:color="auto" w:fill="FFFFFF"/>
            <w:vAlign w:val="center"/>
          </w:tcPr>
          <w:p w14:paraId="62DC1A2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 field events</w:t>
            </w:r>
          </w:p>
        </w:tc>
        <w:tc>
          <w:tcPr>
            <w:tcW w:w="1595" w:type="pct"/>
            <w:tcBorders>
              <w:top w:val="nil"/>
              <w:left w:val="nil"/>
              <w:bottom w:val="nil"/>
              <w:right w:val="nil"/>
            </w:tcBorders>
            <w:shd w:val="clear" w:color="auto" w:fill="FFFFFF"/>
            <w:vAlign w:val="center"/>
          </w:tcPr>
          <w:p w14:paraId="32972E0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Discrete observed departure linked in fieldnotes to crowding</w:t>
            </w:r>
          </w:p>
        </w:tc>
        <w:tc>
          <w:tcPr>
            <w:tcW w:w="1316" w:type="pct"/>
            <w:tcBorders>
              <w:top w:val="nil"/>
              <w:left w:val="nil"/>
              <w:bottom w:val="nil"/>
              <w:right w:val="nil"/>
            </w:tcBorders>
            <w:shd w:val="clear" w:color="auto" w:fill="FFFFFF"/>
            <w:vAlign w:val="center"/>
          </w:tcPr>
          <w:p w14:paraId="4ACF774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Descriptive event count; not a dwell-time estimate</w:t>
            </w:r>
          </w:p>
        </w:tc>
      </w:tr>
      <w:tr w14:paraId="41758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27" w:type="pct"/>
            <w:tcBorders>
              <w:top w:val="nil"/>
              <w:left w:val="nil"/>
              <w:bottom w:val="nil"/>
              <w:right w:val="single" w:color="000000" w:sz="12" w:space="0"/>
            </w:tcBorders>
            <w:shd w:val="clear" w:color="auto" w:fill="FFFFFF"/>
            <w:vAlign w:val="center"/>
          </w:tcPr>
          <w:p w14:paraId="00DC160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Noise-related departure or relocation</w:t>
            </w:r>
          </w:p>
        </w:tc>
        <w:tc>
          <w:tcPr>
            <w:tcW w:w="1160" w:type="pct"/>
            <w:tcBorders>
              <w:top w:val="nil"/>
              <w:left w:val="nil"/>
              <w:bottom w:val="nil"/>
              <w:right w:val="nil"/>
            </w:tcBorders>
            <w:shd w:val="clear" w:color="auto" w:fill="FFFFFF"/>
            <w:vAlign w:val="center"/>
          </w:tcPr>
          <w:p w14:paraId="04BA7AC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 field events</w:t>
            </w:r>
          </w:p>
        </w:tc>
        <w:tc>
          <w:tcPr>
            <w:tcW w:w="1595" w:type="pct"/>
            <w:tcBorders>
              <w:top w:val="nil"/>
              <w:left w:val="nil"/>
              <w:bottom w:val="nil"/>
              <w:right w:val="nil"/>
            </w:tcBorders>
            <w:shd w:val="clear" w:color="auto" w:fill="FFFFFF"/>
            <w:vAlign w:val="center"/>
          </w:tcPr>
          <w:p w14:paraId="2F3BB78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Discrete observed departure/relocation linked in fieldnotes to elevated noise</w:t>
            </w:r>
          </w:p>
        </w:tc>
        <w:tc>
          <w:tcPr>
            <w:tcW w:w="1316" w:type="pct"/>
            <w:tcBorders>
              <w:top w:val="nil"/>
              <w:left w:val="nil"/>
              <w:bottom w:val="nil"/>
              <w:right w:val="nil"/>
            </w:tcBorders>
            <w:shd w:val="clear" w:color="auto" w:fill="FFFFFF"/>
            <w:vAlign w:val="center"/>
          </w:tcPr>
          <w:p w14:paraId="0BFB071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Descriptive event count; not a prevalence estimate</w:t>
            </w:r>
          </w:p>
        </w:tc>
      </w:tr>
      <w:tr w14:paraId="0DDDA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27" w:type="pct"/>
            <w:tcBorders>
              <w:top w:val="nil"/>
              <w:left w:val="nil"/>
              <w:bottom w:val="single" w:color="000000" w:sz="12" w:space="0"/>
              <w:right w:val="single" w:color="000000" w:sz="12" w:space="0"/>
            </w:tcBorders>
            <w:shd w:val="clear" w:color="auto" w:fill="FFFFFF"/>
            <w:vAlign w:val="center"/>
          </w:tcPr>
          <w:p w14:paraId="403F047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Heritage-display engagement at S01</w:t>
            </w:r>
          </w:p>
        </w:tc>
        <w:tc>
          <w:tcPr>
            <w:tcW w:w="1160" w:type="pct"/>
            <w:tcBorders>
              <w:top w:val="nil"/>
              <w:left w:val="nil"/>
              <w:bottom w:val="single" w:color="000000" w:sz="12" w:space="0"/>
              <w:right w:val="nil"/>
            </w:tcBorders>
            <w:shd w:val="clear" w:color="auto" w:fill="FFFFFF"/>
            <w:vAlign w:val="center"/>
          </w:tcPr>
          <w:p w14:paraId="779A9FC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 passers-by in one 50-min session: 5 stopped &gt;10 s, 12 glanced, 63 showed no visible engagement</w:t>
            </w:r>
          </w:p>
        </w:tc>
        <w:tc>
          <w:tcPr>
            <w:tcW w:w="1595" w:type="pct"/>
            <w:tcBorders>
              <w:top w:val="nil"/>
              <w:left w:val="nil"/>
              <w:bottom w:val="single" w:color="000000" w:sz="12" w:space="0"/>
              <w:right w:val="nil"/>
            </w:tcBorders>
            <w:shd w:val="clear" w:color="auto" w:fill="FFFFFF"/>
            <w:vAlign w:val="center"/>
          </w:tcPr>
          <w:p w14:paraId="06186E3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Single-session observational tally</w:t>
            </w:r>
          </w:p>
        </w:tc>
        <w:tc>
          <w:tcPr>
            <w:tcW w:w="1316" w:type="pct"/>
            <w:tcBorders>
              <w:top w:val="nil"/>
              <w:left w:val="nil"/>
              <w:bottom w:val="single" w:color="000000" w:sz="12" w:space="0"/>
              <w:right w:val="nil"/>
            </w:tcBorders>
            <w:shd w:val="clear" w:color="auto" w:fill="FFFFFF"/>
            <w:vAlign w:val="center"/>
          </w:tcPr>
          <w:p w14:paraId="473C8CB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Illustrative negative/qualifying case only; not generalized</w:t>
            </w:r>
          </w:p>
        </w:tc>
      </w:tr>
    </w:tbl>
    <w:p w14:paraId="276C3286">
      <w:pPr>
        <w:pStyle w:val="164"/>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b w:val="0"/>
          <w:i w:val="0"/>
          <w:color w:val="000000"/>
          <w:sz w:val="24"/>
          <w:szCs w:val="24"/>
        </w:rPr>
      </w:pPr>
      <w:r>
        <w:rPr>
          <w:rFonts w:hint="default" w:ascii="Times New Roman" w:hAnsi="Times New Roman" w:eastAsia="Times New Roman" w:cs="Times New Roman"/>
          <w:b w:val="0"/>
          <w:i/>
          <w:color w:val="000000"/>
          <w:sz w:val="24"/>
          <w:szCs w:val="24"/>
        </w:rPr>
        <w:t>Note.</w:t>
      </w:r>
      <w:r>
        <w:rPr>
          <w:rFonts w:hint="default" w:ascii="Times New Roman" w:hAnsi="Times New Roman" w:eastAsia="Times New Roman" w:cs="Times New Roman"/>
          <w:b w:val="0"/>
          <w:i w:val="0"/>
          <w:color w:val="000000"/>
          <w:sz w:val="24"/>
          <w:szCs w:val="24"/>
        </w:rPr>
        <w:t xml:space="preserve"> Counts index recurrence or illustrate a bounded field pattern. They are not treated as prevalence estimates, effect sizes, inferential statistics, or population parameters.</w:t>
      </w:r>
    </w:p>
    <w:p w14:paraId="470BF4E2">
      <w:pPr>
        <w:pStyle w:val="164"/>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b w:val="0"/>
          <w:i w:val="0"/>
          <w:color w:val="000000"/>
          <w:sz w:val="24"/>
          <w:szCs w:val="24"/>
        </w:rPr>
      </w:pPr>
    </w:p>
    <w:p w14:paraId="514B41FF">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i w:val="0"/>
          <w:color w:val="000000"/>
          <w:sz w:val="24"/>
          <w:szCs w:val="24"/>
        </w:rPr>
      </w:pPr>
      <w:r>
        <w:rPr>
          <w:rFonts w:hint="default" w:ascii="Times New Roman" w:hAnsi="Times New Roman" w:eastAsia="Times New Roman" w:cs="Times New Roman"/>
          <w:i w:val="0"/>
          <w:color w:val="000000"/>
          <w:sz w:val="24"/>
          <w:szCs w:val="24"/>
        </w:rPr>
        <w:t>Supplementary Table S3 makes the derivation of the three higher-order empirical refinements explicit by linking each refinement to the final codebook, evidence-bearing cases, and its stated interpretive boundary.</w:t>
      </w:r>
    </w:p>
    <w:p w14:paraId="2BFB242E">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i w:val="0"/>
          <w:color w:val="000000"/>
          <w:sz w:val="24"/>
          <w:szCs w:val="24"/>
        </w:rPr>
      </w:pPr>
    </w:p>
    <w:p w14:paraId="622EA1A9">
      <w:pPr>
        <w:pageBreakBefore w:val="0"/>
        <w:widowControl/>
        <w:kinsoku/>
        <w:wordWrap/>
        <w:overflowPunct/>
        <w:topLinePunct w:val="0"/>
        <w:autoSpaceDE/>
        <w:autoSpaceDN/>
        <w:bidi w:val="0"/>
        <w:adjustRightInd/>
        <w:snapToGrid/>
        <w:spacing w:before="0" w:after="160" w:line="240" w:lineRule="auto"/>
        <w:ind w:left="0" w:firstLine="0"/>
        <w:jc w:val="center"/>
        <w:textAlignment w:val="auto"/>
        <w:rPr>
          <w:rFonts w:hint="default" w:ascii="Times New Roman" w:hAnsi="Times New Roman" w:cs="Times New Roman"/>
          <w:sz w:val="24"/>
          <w:szCs w:val="24"/>
        </w:rPr>
      </w:pPr>
      <w:r>
        <w:rPr>
          <w:rFonts w:hint="default" w:ascii="Times New Roman" w:hAnsi="Times New Roman" w:eastAsia="Times New Roman" w:cs="Times New Roman"/>
          <w:b/>
          <w:i w:val="0"/>
          <w:color w:val="000000"/>
          <w:sz w:val="24"/>
          <w:szCs w:val="24"/>
        </w:rPr>
        <w:t>Supplementary Table S3.</w:t>
      </w:r>
      <w:r>
        <w:rPr>
          <w:rFonts w:hint="default" w:ascii="Times New Roman" w:hAnsi="Times New Roman" w:eastAsia="Times New Roman" w:cs="Times New Roman"/>
          <w:b w:val="0"/>
          <w:i w:val="0"/>
          <w:color w:val="000000"/>
          <w:sz w:val="24"/>
          <w:szCs w:val="24"/>
        </w:rPr>
        <w:t xml:space="preserve"> Traceability of higher-order empirical refinements from codebook signals to cross-case evidence.</w:t>
      </w:r>
    </w:p>
    <w:tbl>
      <w:tblPr>
        <w:tblStyle w:val="32"/>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84"/>
        <w:gridCol w:w="2877"/>
        <w:gridCol w:w="1900"/>
        <w:gridCol w:w="3075"/>
      </w:tblGrid>
      <w:tr w14:paraId="084FC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749" w:type="pct"/>
            <w:tcBorders>
              <w:top w:val="single" w:color="000000" w:sz="12" w:space="0"/>
              <w:left w:val="nil"/>
              <w:bottom w:val="single" w:color="000000" w:sz="8" w:space="0"/>
              <w:right w:val="single" w:color="000000" w:sz="12" w:space="0"/>
            </w:tcBorders>
            <w:shd w:val="clear" w:color="auto" w:fill="FFFFFF"/>
            <w:vAlign w:val="center"/>
          </w:tcPr>
          <w:p w14:paraId="66E9ADF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Empirical refinement</w:t>
            </w:r>
          </w:p>
        </w:tc>
        <w:tc>
          <w:tcPr>
            <w:tcW w:w="1557" w:type="pct"/>
            <w:tcBorders>
              <w:top w:val="single" w:color="000000" w:sz="12" w:space="0"/>
              <w:left w:val="nil"/>
              <w:bottom w:val="single" w:color="000000" w:sz="8" w:space="0"/>
              <w:right w:val="nil"/>
            </w:tcBorders>
            <w:shd w:val="clear" w:color="auto" w:fill="FFFFFF"/>
            <w:vAlign w:val="center"/>
          </w:tcPr>
          <w:p w14:paraId="6617FF3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Constituent codebook signals</w:t>
            </w:r>
          </w:p>
        </w:tc>
        <w:tc>
          <w:tcPr>
            <w:tcW w:w="1028" w:type="pct"/>
            <w:tcBorders>
              <w:top w:val="single" w:color="000000" w:sz="12" w:space="0"/>
              <w:left w:val="nil"/>
              <w:bottom w:val="single" w:color="000000" w:sz="8" w:space="0"/>
              <w:right w:val="nil"/>
            </w:tcBorders>
            <w:shd w:val="clear" w:color="auto" w:fill="FFFFFF"/>
            <w:vAlign w:val="center"/>
          </w:tcPr>
          <w:p w14:paraId="6CE5B64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Primary cross-case evidence</w:t>
            </w:r>
          </w:p>
        </w:tc>
        <w:tc>
          <w:tcPr>
            <w:tcW w:w="1664" w:type="pct"/>
            <w:tcBorders>
              <w:top w:val="single" w:color="000000" w:sz="12" w:space="0"/>
              <w:left w:val="nil"/>
              <w:bottom w:val="single" w:color="000000" w:sz="8" w:space="0"/>
              <w:right w:val="nil"/>
            </w:tcBorders>
            <w:shd w:val="clear" w:color="auto" w:fill="FFFFFF"/>
            <w:vAlign w:val="center"/>
          </w:tcPr>
          <w:p w14:paraId="4DFF070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Interpretive boundary</w:t>
            </w:r>
          </w:p>
        </w:tc>
      </w:tr>
      <w:tr w14:paraId="485B1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9" w:type="pct"/>
            <w:tcBorders>
              <w:top w:val="nil"/>
              <w:left w:val="nil"/>
              <w:bottom w:val="nil"/>
              <w:right w:val="single" w:color="000000" w:sz="12" w:space="0"/>
            </w:tcBorders>
            <w:shd w:val="clear" w:color="auto" w:fill="FFFFFF"/>
            <w:vAlign w:val="center"/>
          </w:tcPr>
          <w:p w14:paraId="20FDEA0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Thresholds</w:t>
            </w:r>
          </w:p>
        </w:tc>
        <w:tc>
          <w:tcPr>
            <w:tcW w:w="1557" w:type="pct"/>
            <w:tcBorders>
              <w:top w:val="nil"/>
              <w:left w:val="nil"/>
              <w:bottom w:val="nil"/>
              <w:right w:val="nil"/>
            </w:tcBorders>
            <w:shd w:val="clear" w:color="auto" w:fill="FFFFFF"/>
            <w:vAlign w:val="center"/>
          </w:tcPr>
          <w:p w14:paraId="66D0AF5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entrance-legibility; stairs/effort; experienced-thermal-contrast; visibility; proximity-to-exit</w:t>
            </w:r>
          </w:p>
        </w:tc>
        <w:tc>
          <w:tcPr>
            <w:tcW w:w="1028" w:type="pct"/>
            <w:tcBorders>
              <w:top w:val="nil"/>
              <w:left w:val="nil"/>
              <w:bottom w:val="nil"/>
              <w:right w:val="nil"/>
            </w:tcBorders>
            <w:shd w:val="clear" w:color="auto" w:fill="FFFFFF"/>
            <w:vAlign w:val="center"/>
          </w:tcPr>
          <w:p w14:paraId="2718A9F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U04 at S02; S04 entry fieldnote; S05 gentle-ramp negative case; S08 obscured entrance</w:t>
            </w:r>
          </w:p>
        </w:tc>
        <w:tc>
          <w:tcPr>
            <w:tcW w:w="1664" w:type="pct"/>
            <w:tcBorders>
              <w:top w:val="nil"/>
              <w:left w:val="nil"/>
              <w:bottom w:val="nil"/>
              <w:right w:val="nil"/>
            </w:tcBorders>
            <w:shd w:val="clear" w:color="auto" w:fill="FFFFFF"/>
            <w:vAlign w:val="center"/>
          </w:tcPr>
          <w:p w14:paraId="3E9E8DB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Identifies where formal cooling provision is converted into, or fails to become, bodily usable access; it is a design-scale relation, not a citywide accessibility estimate.</w:t>
            </w:r>
          </w:p>
        </w:tc>
      </w:tr>
      <w:tr w14:paraId="77A10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9" w:type="pct"/>
            <w:tcBorders>
              <w:top w:val="nil"/>
              <w:left w:val="nil"/>
              <w:bottom w:val="nil"/>
              <w:right w:val="single" w:color="000000" w:sz="12" w:space="0"/>
            </w:tcBorders>
            <w:shd w:val="clear" w:color="auto" w:fill="FFFFFF"/>
            <w:vAlign w:val="center"/>
          </w:tcPr>
          <w:p w14:paraId="5792C04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Legitimate lingering</w:t>
            </w:r>
          </w:p>
        </w:tc>
        <w:tc>
          <w:tcPr>
            <w:tcW w:w="1557" w:type="pct"/>
            <w:tcBorders>
              <w:top w:val="nil"/>
              <w:left w:val="nil"/>
              <w:bottom w:val="nil"/>
              <w:right w:val="nil"/>
            </w:tcBorders>
            <w:shd w:val="clear" w:color="auto" w:fill="FFFFFF"/>
            <w:vAlign w:val="center"/>
          </w:tcPr>
          <w:p w14:paraId="427214D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seating-type; furniture-arrangement; seat-claiming/seat-saving; moving-zones; leaving-early; rule-tone; entitlement-to-stay</w:t>
            </w:r>
          </w:p>
        </w:tc>
        <w:tc>
          <w:tcPr>
            <w:tcW w:w="1028" w:type="pct"/>
            <w:tcBorders>
              <w:top w:val="nil"/>
              <w:left w:val="nil"/>
              <w:bottom w:val="nil"/>
              <w:right w:val="nil"/>
            </w:tcBorders>
            <w:shd w:val="clear" w:color="auto" w:fill="FFFFFF"/>
            <w:vAlign w:val="center"/>
          </w:tcPr>
          <w:p w14:paraId="6EEC5BA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U07 at S01; U25 at S06 (negative case); U15 at S03; U29 at S04 plus S07 fieldnote; U22 at S07</w:t>
            </w:r>
          </w:p>
        </w:tc>
        <w:tc>
          <w:tcPr>
            <w:tcW w:w="1664" w:type="pct"/>
            <w:tcBorders>
              <w:top w:val="nil"/>
              <w:left w:val="nil"/>
              <w:bottom w:val="nil"/>
              <w:right w:val="nil"/>
            </w:tcBorders>
            <w:shd w:val="clear" w:color="auto" w:fill="FFFFFF"/>
            <w:vAlign w:val="center"/>
          </w:tcPr>
          <w:p w14:paraId="6F1EF22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Refers to the practical ability to remain, rest, and regulate social exposure without undue effort or explanation; it is not treated as a psychometric construct.</w:t>
            </w:r>
          </w:p>
        </w:tc>
      </w:tr>
      <w:tr w14:paraId="25B43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49" w:type="pct"/>
            <w:tcBorders>
              <w:top w:val="nil"/>
              <w:left w:val="nil"/>
              <w:bottom w:val="single" w:color="000000" w:sz="12" w:space="0"/>
              <w:right w:val="single" w:color="000000" w:sz="12" w:space="0"/>
            </w:tcBorders>
            <w:shd w:val="clear" w:color="auto" w:fill="FFFFFF"/>
            <w:vAlign w:val="center"/>
          </w:tcPr>
          <w:p w14:paraId="4D85352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Relational publicness</w:t>
            </w:r>
          </w:p>
        </w:tc>
        <w:tc>
          <w:tcPr>
            <w:tcW w:w="1557" w:type="pct"/>
            <w:tcBorders>
              <w:top w:val="nil"/>
              <w:left w:val="nil"/>
              <w:bottom w:val="single" w:color="000000" w:sz="12" w:space="0"/>
              <w:right w:val="nil"/>
            </w:tcBorders>
            <w:shd w:val="clear" w:color="auto" w:fill="FFFFFF"/>
            <w:vAlign w:val="center"/>
          </w:tcPr>
          <w:p w14:paraId="1FF8247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staff-as-care; staff-as-surveillance; government-provision; newcomer-exclusion; accessibility-as-right; consumption-boundary; public-vs-commercial-comparison</w:t>
            </w:r>
          </w:p>
        </w:tc>
        <w:tc>
          <w:tcPr>
            <w:tcW w:w="1028" w:type="pct"/>
            <w:tcBorders>
              <w:top w:val="nil"/>
              <w:left w:val="nil"/>
              <w:bottom w:val="single" w:color="000000" w:sz="12" w:space="0"/>
              <w:right w:val="nil"/>
            </w:tcBorders>
            <w:shd w:val="clear" w:color="auto" w:fill="FFFFFF"/>
            <w:vAlign w:val="center"/>
          </w:tcPr>
          <w:p w14:paraId="0F4AB12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U11 at S01; U22 at S07; U25 at S06; U08 at S03; D04 at R03; S03-R03 contrast</w:t>
            </w:r>
          </w:p>
        </w:tc>
        <w:tc>
          <w:tcPr>
            <w:tcW w:w="1664" w:type="pct"/>
            <w:tcBorders>
              <w:top w:val="nil"/>
              <w:left w:val="nil"/>
              <w:bottom w:val="single" w:color="000000" w:sz="12" w:space="0"/>
              <w:right w:val="nil"/>
            </w:tcBorders>
            <w:shd w:val="clear" w:color="auto" w:fill="FFFFFF"/>
            <w:vAlign w:val="center"/>
          </w:tcPr>
          <w:p w14:paraId="40692DB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Shows how formally open space becomes more or less usable through access, rules, staff practice, informal territoriality, and consumption conditions; it is not a sector-wide causal mechanism.</w:t>
            </w:r>
          </w:p>
        </w:tc>
      </w:tr>
    </w:tbl>
    <w:p w14:paraId="54302BBE">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color w:val="000000"/>
          <w:sz w:val="24"/>
          <w:szCs w:val="24"/>
        </w:rPr>
        <w:t>Note.</w:t>
      </w:r>
      <w:r>
        <w:rPr>
          <w:rFonts w:hint="default" w:ascii="Times New Roman" w:hAnsi="Times New Roman" w:eastAsia="Times New Roman" w:cs="Times New Roman"/>
          <w:b w:val="0"/>
          <w:i w:val="0"/>
          <w:color w:val="000000"/>
          <w:sz w:val="24"/>
          <w:szCs w:val="24"/>
        </w:rPr>
        <w:t xml:space="preserve"> The mapping is interpretive and traceability-oriented. The three refinements are higher-order propositions derived from the four organizing emotional-space domains and the realized corpus; they are not additional psychometric variables or causal stages.</w:t>
      </w:r>
    </w:p>
    <w:p w14:paraId="7AA467E4">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i w:val="0"/>
          <w:color w:val="000000"/>
          <w:sz w:val="24"/>
          <w:szCs w:val="24"/>
        </w:rPr>
      </w:pPr>
    </w:p>
    <w:p w14:paraId="6E53D466">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i w:val="0"/>
          <w:color w:val="000000"/>
          <w:sz w:val="24"/>
          <w:szCs w:val="24"/>
        </w:rPr>
      </w:pPr>
      <w:r>
        <w:rPr>
          <w:rFonts w:hint="default" w:ascii="Times New Roman" w:hAnsi="Times New Roman" w:eastAsia="Times New Roman" w:cs="Times New Roman"/>
          <w:i w:val="0"/>
          <w:color w:val="000000"/>
          <w:sz w:val="24"/>
          <w:szCs w:val="24"/>
        </w:rPr>
        <w:t>Supplementary Table S4 relocates the detailed municipal meteorological context used to situate the field season while keeping city-level forecasts analytically separate from site-level thermal conditions.</w:t>
      </w:r>
    </w:p>
    <w:p w14:paraId="7228CB55">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i w:val="0"/>
          <w:color w:val="000000"/>
          <w:sz w:val="24"/>
          <w:szCs w:val="24"/>
        </w:rPr>
      </w:pPr>
    </w:p>
    <w:p w14:paraId="24BAC741">
      <w:pPr>
        <w:pageBreakBefore w:val="0"/>
        <w:widowControl/>
        <w:kinsoku/>
        <w:wordWrap/>
        <w:overflowPunct/>
        <w:topLinePunct w:val="0"/>
        <w:autoSpaceDE/>
        <w:autoSpaceDN/>
        <w:bidi w:val="0"/>
        <w:adjustRightInd/>
        <w:snapToGrid/>
        <w:spacing w:before="0" w:after="160" w:line="240" w:lineRule="auto"/>
        <w:ind w:left="0" w:firstLine="0"/>
        <w:jc w:val="center"/>
        <w:textAlignment w:val="auto"/>
        <w:rPr>
          <w:rFonts w:hint="default" w:ascii="Times New Roman" w:hAnsi="Times New Roman" w:cs="Times New Roman"/>
          <w:sz w:val="24"/>
          <w:szCs w:val="24"/>
        </w:rPr>
      </w:pPr>
      <w:r>
        <w:rPr>
          <w:rFonts w:hint="default" w:ascii="Times New Roman" w:hAnsi="Times New Roman" w:eastAsia="Times New Roman" w:cs="Times New Roman"/>
          <w:b/>
          <w:i w:val="0"/>
          <w:color w:val="000000"/>
          <w:sz w:val="24"/>
          <w:szCs w:val="24"/>
        </w:rPr>
        <w:t>Supplementary Table S4.</w:t>
      </w:r>
      <w:r>
        <w:rPr>
          <w:rFonts w:hint="default" w:ascii="Times New Roman" w:hAnsi="Times New Roman" w:eastAsia="Times New Roman" w:cs="Times New Roman"/>
          <w:b w:val="0"/>
          <w:i w:val="0"/>
          <w:color w:val="000000"/>
          <w:sz w:val="24"/>
          <w:szCs w:val="24"/>
        </w:rPr>
        <w:t xml:space="preserve"> Municipal meteorological forecast context during the 2025 fieldwork period.</w:t>
      </w:r>
    </w:p>
    <w:tbl>
      <w:tblPr>
        <w:tblStyle w:val="32"/>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95"/>
        <w:gridCol w:w="1794"/>
        <w:gridCol w:w="3143"/>
        <w:gridCol w:w="3006"/>
      </w:tblGrid>
      <w:tr w14:paraId="0E3AD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701" w:type="pct"/>
            <w:tcBorders>
              <w:top w:val="single" w:color="000000" w:sz="12" w:space="0"/>
              <w:left w:val="nil"/>
              <w:bottom w:val="single" w:color="000000" w:sz="8" w:space="0"/>
              <w:right w:val="single" w:color="000000" w:sz="12" w:space="0"/>
            </w:tcBorders>
            <w:shd w:val="clear" w:color="auto" w:fill="FFFFFF"/>
            <w:vAlign w:val="center"/>
          </w:tcPr>
          <w:p w14:paraId="54D82EA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Source bulletin</w:t>
            </w:r>
          </w:p>
        </w:tc>
        <w:tc>
          <w:tcPr>
            <w:tcW w:w="971" w:type="pct"/>
            <w:tcBorders>
              <w:top w:val="single" w:color="000000" w:sz="12" w:space="0"/>
              <w:left w:val="nil"/>
              <w:bottom w:val="single" w:color="000000" w:sz="8" w:space="0"/>
              <w:right w:val="nil"/>
            </w:tcBorders>
            <w:shd w:val="clear" w:color="auto" w:fill="FFFFFF"/>
            <w:vAlign w:val="center"/>
          </w:tcPr>
          <w:p w14:paraId="7A161BC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Forecast window</w:t>
            </w:r>
          </w:p>
        </w:tc>
        <w:tc>
          <w:tcPr>
            <w:tcW w:w="1701" w:type="pct"/>
            <w:tcBorders>
              <w:top w:val="single" w:color="000000" w:sz="12" w:space="0"/>
              <w:left w:val="nil"/>
              <w:bottom w:val="single" w:color="000000" w:sz="8" w:space="0"/>
              <w:right w:val="nil"/>
            </w:tcBorders>
            <w:shd w:val="clear" w:color="auto" w:fill="FFFFFF"/>
            <w:vAlign w:val="center"/>
          </w:tcPr>
          <w:p w14:paraId="7158478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Central-urban maximum temperature</w:t>
            </w:r>
          </w:p>
        </w:tc>
        <w:tc>
          <w:tcPr>
            <w:tcW w:w="1626" w:type="pct"/>
            <w:tcBorders>
              <w:top w:val="single" w:color="000000" w:sz="12" w:space="0"/>
              <w:left w:val="nil"/>
              <w:bottom w:val="single" w:color="000000" w:sz="8" w:space="0"/>
              <w:right w:val="nil"/>
            </w:tcBorders>
            <w:shd w:val="clear" w:color="auto" w:fill="FFFFFF"/>
            <w:vAlign w:val="center"/>
          </w:tcPr>
          <w:p w14:paraId="7FC17B7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Use in this study</w:t>
            </w:r>
          </w:p>
        </w:tc>
      </w:tr>
      <w:tr w14:paraId="4C63F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1" w:type="pct"/>
            <w:tcBorders>
              <w:top w:val="nil"/>
              <w:left w:val="nil"/>
              <w:bottom w:val="nil"/>
              <w:right w:val="single" w:color="000000" w:sz="12" w:space="0"/>
            </w:tcBorders>
            <w:shd w:val="clear" w:color="auto" w:fill="FFFFFF"/>
            <w:vAlign w:val="center"/>
          </w:tcPr>
          <w:p w14:paraId="21B0E0D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13-Jul-25</w:t>
            </w:r>
          </w:p>
        </w:tc>
        <w:tc>
          <w:tcPr>
            <w:tcW w:w="971" w:type="pct"/>
            <w:tcBorders>
              <w:top w:val="nil"/>
              <w:left w:val="nil"/>
              <w:bottom w:val="nil"/>
              <w:right w:val="nil"/>
            </w:tcBorders>
            <w:shd w:val="clear" w:color="auto" w:fill="FFFFFF"/>
            <w:vAlign w:val="center"/>
          </w:tcPr>
          <w:p w14:paraId="3BD6B7F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14–17 Jul 2025</w:t>
            </w:r>
          </w:p>
        </w:tc>
        <w:tc>
          <w:tcPr>
            <w:tcW w:w="1701" w:type="pct"/>
            <w:tcBorders>
              <w:top w:val="nil"/>
              <w:left w:val="nil"/>
              <w:bottom w:val="nil"/>
              <w:right w:val="nil"/>
            </w:tcBorders>
            <w:shd w:val="clear" w:color="auto" w:fill="FFFFFF"/>
            <w:vAlign w:val="center"/>
          </w:tcPr>
          <w:p w14:paraId="0AC14F2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Up to 40 °C</w:t>
            </w:r>
          </w:p>
        </w:tc>
        <w:tc>
          <w:tcPr>
            <w:tcW w:w="1626" w:type="pct"/>
            <w:tcBorders>
              <w:top w:val="nil"/>
              <w:left w:val="nil"/>
              <w:bottom w:val="nil"/>
              <w:right w:val="nil"/>
            </w:tcBorders>
            <w:shd w:val="clear" w:color="auto" w:fill="FFFFFF"/>
            <w:vAlign w:val="center"/>
          </w:tcPr>
          <w:p w14:paraId="3DD1329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Context for the opening fieldwork window</w:t>
            </w:r>
          </w:p>
        </w:tc>
      </w:tr>
      <w:tr w14:paraId="4DD90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1" w:type="pct"/>
            <w:tcBorders>
              <w:top w:val="nil"/>
              <w:left w:val="nil"/>
              <w:bottom w:val="nil"/>
              <w:right w:val="single" w:color="000000" w:sz="12" w:space="0"/>
            </w:tcBorders>
            <w:shd w:val="clear" w:color="auto" w:fill="FFFFFF"/>
            <w:vAlign w:val="center"/>
          </w:tcPr>
          <w:p w14:paraId="1DB0B49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25-Jul-25</w:t>
            </w:r>
          </w:p>
        </w:tc>
        <w:tc>
          <w:tcPr>
            <w:tcW w:w="971" w:type="pct"/>
            <w:tcBorders>
              <w:top w:val="nil"/>
              <w:left w:val="nil"/>
              <w:bottom w:val="nil"/>
              <w:right w:val="nil"/>
            </w:tcBorders>
            <w:shd w:val="clear" w:color="auto" w:fill="FFFFFF"/>
            <w:vAlign w:val="center"/>
          </w:tcPr>
          <w:p w14:paraId="2095F08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26–29 Jul 2025</w:t>
            </w:r>
          </w:p>
        </w:tc>
        <w:tc>
          <w:tcPr>
            <w:tcW w:w="1701" w:type="pct"/>
            <w:tcBorders>
              <w:top w:val="nil"/>
              <w:left w:val="nil"/>
              <w:bottom w:val="nil"/>
              <w:right w:val="nil"/>
            </w:tcBorders>
            <w:shd w:val="clear" w:color="auto" w:fill="FFFFFF"/>
            <w:vAlign w:val="center"/>
          </w:tcPr>
          <w:p w14:paraId="6C14022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Up to 39 °C</w:t>
            </w:r>
          </w:p>
        </w:tc>
        <w:tc>
          <w:tcPr>
            <w:tcW w:w="1626" w:type="pct"/>
            <w:tcBorders>
              <w:top w:val="nil"/>
              <w:left w:val="nil"/>
              <w:bottom w:val="nil"/>
              <w:right w:val="nil"/>
            </w:tcBorders>
            <w:shd w:val="clear" w:color="auto" w:fill="FFFFFF"/>
            <w:vAlign w:val="center"/>
          </w:tcPr>
          <w:p w14:paraId="5CDD0FF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Context for the late-July fieldwork window</w:t>
            </w:r>
          </w:p>
        </w:tc>
      </w:tr>
      <w:tr w14:paraId="5DF24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1" w:type="pct"/>
            <w:tcBorders>
              <w:top w:val="nil"/>
              <w:left w:val="nil"/>
              <w:bottom w:val="single" w:color="000000" w:sz="12" w:space="0"/>
              <w:right w:val="single" w:color="000000" w:sz="12" w:space="0"/>
            </w:tcBorders>
            <w:shd w:val="clear" w:color="auto" w:fill="FFFFFF"/>
            <w:vAlign w:val="center"/>
          </w:tcPr>
          <w:p w14:paraId="0150CDA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25-Jul-25</w:t>
            </w:r>
          </w:p>
        </w:tc>
        <w:tc>
          <w:tcPr>
            <w:tcW w:w="971" w:type="pct"/>
            <w:tcBorders>
              <w:top w:val="nil"/>
              <w:left w:val="nil"/>
              <w:bottom w:val="single" w:color="000000" w:sz="12" w:space="0"/>
              <w:right w:val="nil"/>
            </w:tcBorders>
            <w:shd w:val="clear" w:color="auto" w:fill="FFFFFF"/>
            <w:vAlign w:val="center"/>
          </w:tcPr>
          <w:p w14:paraId="1213D3B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30–31 Jul; 1–4 Aug 2025</w:t>
            </w:r>
          </w:p>
        </w:tc>
        <w:tc>
          <w:tcPr>
            <w:tcW w:w="1701" w:type="pct"/>
            <w:tcBorders>
              <w:top w:val="nil"/>
              <w:left w:val="nil"/>
              <w:bottom w:val="single" w:color="000000" w:sz="12" w:space="0"/>
              <w:right w:val="nil"/>
            </w:tcBorders>
            <w:shd w:val="clear" w:color="auto" w:fill="FFFFFF"/>
            <w:vAlign w:val="center"/>
          </w:tcPr>
          <w:p w14:paraId="6BC6ECC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Up to 41 °C on 30–31 Jul; 37–40 °C through 4 Aug</w:t>
            </w:r>
          </w:p>
        </w:tc>
        <w:tc>
          <w:tcPr>
            <w:tcW w:w="1626" w:type="pct"/>
            <w:tcBorders>
              <w:top w:val="nil"/>
              <w:left w:val="nil"/>
              <w:bottom w:val="single" w:color="000000" w:sz="12" w:space="0"/>
              <w:right w:val="nil"/>
            </w:tcBorders>
            <w:shd w:val="clear" w:color="auto" w:fill="FFFFFF"/>
            <w:vAlign w:val="center"/>
          </w:tcPr>
          <w:p w14:paraId="7A68DD6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Context for late-July/early-August observations</w:t>
            </w:r>
          </w:p>
        </w:tc>
      </w:tr>
    </w:tbl>
    <w:p w14:paraId="0D3E8D65">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color w:val="000000"/>
          <w:sz w:val="24"/>
          <w:szCs w:val="24"/>
        </w:rPr>
        <w:t>Note.</w:t>
      </w:r>
      <w:r>
        <w:rPr>
          <w:rFonts w:hint="default" w:ascii="Times New Roman" w:hAnsi="Times New Roman" w:eastAsia="Times New Roman" w:cs="Times New Roman"/>
          <w:b w:val="0"/>
          <w:i w:val="0"/>
          <w:color w:val="000000"/>
          <w:sz w:val="24"/>
          <w:szCs w:val="24"/>
        </w:rPr>
        <w:t xml:space="preserve"> Values are municipal forecast maxima for central urban Chongqing, not temperatures measured at the study sites or inside shelters. They are used only to establish field-season context and are not treated as exposure, intervention, or thermal-performance data.</w:t>
      </w:r>
    </w:p>
    <w:p w14:paraId="4DF533E6">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i w:val="0"/>
          <w:color w:val="000000"/>
          <w:sz w:val="24"/>
          <w:szCs w:val="24"/>
        </w:rPr>
      </w:pPr>
    </w:p>
    <w:p w14:paraId="1CCFDAEC">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i w:val="0"/>
          <w:color w:val="000000"/>
          <w:sz w:val="24"/>
          <w:szCs w:val="24"/>
        </w:rPr>
        <w:t>Supplementary Figure S1 records the reporting sequence used to keep empirical excerpts, context, interpretation, and theoretical dialogue traceable.</w:t>
      </w:r>
    </w:p>
    <w:p w14:paraId="3C164B3F">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color w:val="000000"/>
          <w:sz w:val="24"/>
          <w:szCs w:val="24"/>
        </w:rPr>
      </w:pPr>
    </w:p>
    <w:p w14:paraId="5A4A4FC2">
      <w:pPr>
        <w:pageBreakBefore w:val="0"/>
        <w:widowControl/>
        <w:kinsoku/>
        <w:wordWrap/>
        <w:overflowPunct/>
        <w:topLinePunct w:val="0"/>
        <w:autoSpaceDE/>
        <w:autoSpaceDN/>
        <w:bidi w:val="0"/>
        <w:adjustRightInd/>
        <w:snapToGrid/>
        <w:spacing w:before="0" w:after="160" w:line="240" w:lineRule="auto"/>
        <w:ind w:left="0" w:firstLine="0"/>
        <w:jc w:val="center"/>
        <w:textAlignment w:val="auto"/>
        <w:rPr>
          <w:rFonts w:hint="eastAsia" w:ascii="Times New Roman" w:hAnsi="Times New Roman" w:eastAsia="宋体" w:cs="Times New Roman"/>
          <w:sz w:val="24"/>
          <w:szCs w:val="24"/>
          <w:lang w:eastAsia="zh-CN"/>
        </w:rPr>
      </w:pPr>
      <w:r>
        <w:rPr>
          <w:rFonts w:hint="eastAsia" w:ascii="Times New Roman" w:hAnsi="Times New Roman" w:eastAsia="宋体" w:cs="Times New Roman"/>
          <w:sz w:val="24"/>
          <w:szCs w:val="24"/>
          <w:lang w:eastAsia="zh-CN"/>
        </w:rPr>
        <w:drawing>
          <wp:inline distT="0" distB="0" distL="114300" distR="114300">
            <wp:extent cx="5723890" cy="2933700"/>
            <wp:effectExtent l="0" t="0" r="635" b="0"/>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pic:cNvPicPr>
                  </pic:nvPicPr>
                  <pic:blipFill>
                    <a:blip r:embed="rId7"/>
                    <a:stretch>
                      <a:fillRect/>
                    </a:stretch>
                  </pic:blipFill>
                  <pic:spPr>
                    <a:xfrm>
                      <a:off x="0" y="0"/>
                      <a:ext cx="5723890" cy="2933700"/>
                    </a:xfrm>
                    <a:prstGeom prst="rect">
                      <a:avLst/>
                    </a:prstGeom>
                  </pic:spPr>
                </pic:pic>
              </a:graphicData>
            </a:graphic>
          </wp:inline>
        </w:drawing>
      </w:r>
    </w:p>
    <w:p w14:paraId="5A5EDCEB">
      <w:pPr>
        <w:pStyle w:val="164"/>
        <w:pageBreakBefore w:val="0"/>
        <w:widowControl/>
        <w:kinsoku/>
        <w:wordWrap/>
        <w:overflowPunct/>
        <w:topLinePunct w:val="0"/>
        <w:autoSpaceDE/>
        <w:autoSpaceDN/>
        <w:bidi w:val="0"/>
        <w:adjustRightInd/>
        <w:snapToGrid/>
        <w:spacing w:before="0" w:after="160" w:line="240" w:lineRule="auto"/>
        <w:ind w:left="0" w:firstLine="0"/>
        <w:jc w:val="center"/>
        <w:textAlignment w:val="auto"/>
        <w:rPr>
          <w:rFonts w:hint="default" w:ascii="Times New Roman" w:hAnsi="Times New Roman" w:cs="Times New Roman"/>
          <w:sz w:val="24"/>
          <w:szCs w:val="24"/>
        </w:rPr>
      </w:pPr>
      <w:r>
        <w:rPr>
          <w:rFonts w:hint="default" w:ascii="Times New Roman" w:hAnsi="Times New Roman" w:eastAsia="Times New Roman" w:cs="Times New Roman"/>
          <w:b/>
          <w:i w:val="0"/>
          <w:color w:val="000000"/>
          <w:sz w:val="24"/>
          <w:szCs w:val="24"/>
        </w:rPr>
        <w:t>Supplementary Figure S1.</w:t>
      </w:r>
      <w:r>
        <w:rPr>
          <w:rFonts w:hint="default" w:ascii="Times New Roman" w:hAnsi="Times New Roman" w:eastAsia="Times New Roman" w:cs="Times New Roman"/>
          <w:b w:val="0"/>
          <w:i w:val="0"/>
          <w:color w:val="000000"/>
          <w:sz w:val="24"/>
          <w:szCs w:val="24"/>
        </w:rPr>
        <w:t xml:space="preserve"> Evidence-to-theory reporting sequence used in the Findings.</w:t>
      </w:r>
    </w:p>
    <w:p w14:paraId="20C816F1">
      <w:pPr>
        <w:pStyle w:val="164"/>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color w:val="000000"/>
          <w:sz w:val="24"/>
          <w:szCs w:val="24"/>
        </w:rPr>
        <w:t>Note.</w:t>
      </w:r>
      <w:r>
        <w:rPr>
          <w:rFonts w:hint="default" w:ascii="Times New Roman" w:hAnsi="Times New Roman" w:eastAsia="Times New Roman" w:cs="Times New Roman"/>
          <w:b w:val="0"/>
          <w:i w:val="0"/>
          <w:color w:val="000000"/>
          <w:sz w:val="24"/>
          <w:szCs w:val="24"/>
        </w:rPr>
        <w:t xml:space="preserve"> The sequence is a reporting discipline for evidentiary transparency, not a linear causal or computational model.</w:t>
      </w:r>
    </w:p>
    <w:p w14:paraId="299E62F4">
      <w:pPr>
        <w:pStyle w:val="4"/>
        <w:keepNext/>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b/>
          <w:i w:val="0"/>
          <w:color w:val="000000"/>
          <w:sz w:val="24"/>
          <w:szCs w:val="24"/>
        </w:rPr>
      </w:pPr>
    </w:p>
    <w:p w14:paraId="637E5D06">
      <w:pPr>
        <w:pStyle w:val="4"/>
        <w:keepNext/>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8"/>
          <w:szCs w:val="28"/>
        </w:rPr>
      </w:pPr>
      <w:r>
        <w:rPr>
          <w:rFonts w:hint="default" w:ascii="Times New Roman" w:hAnsi="Times New Roman" w:eastAsia="Times New Roman" w:cs="Times New Roman"/>
          <w:b/>
          <w:i w:val="0"/>
          <w:color w:val="000000"/>
          <w:sz w:val="28"/>
          <w:szCs w:val="28"/>
        </w:rPr>
        <w:t>Appendix A. Semi-structured interview guide</w:t>
      </w:r>
    </w:p>
    <w:p w14:paraId="52E69C32">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Arrival and threshold: Please describe how you usually reach this cooling site. What do you notice before and while entering? Is any part of the entrance easy or difficult for you?</w:t>
      </w:r>
    </w:p>
    <w:p w14:paraId="5B32FC16">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Thermal and bodily experience: Where do you usually sit or stay? How does your body feel when you move from outside to this area? Are there places inside that feel damp, stuffy, excessively cold, noisy, dark, or otherwise different?</w:t>
      </w:r>
    </w:p>
    <w:p w14:paraId="6F50841E">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Staying and leaving: What makes you stay longer? What makes you move to another place or leave?</w:t>
      </w:r>
    </w:p>
    <w:p w14:paraId="28E84CED">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Material design: How do lighting, seating, noise, airflow, smell, toilets, water, charging, signs, and circulation affect your use?</w:t>
      </w:r>
    </w:p>
    <w:p w14:paraId="1ECD92D2">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Social encounter: Who do you normally come with or meet here? Are there places where you prefer to sit alone or with others? Have interactions with strangers or staff changed how you feel about the site?</w:t>
      </w:r>
    </w:p>
    <w:p w14:paraId="43879188">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Safety, welcome and dignity: Do you feel safe and welcome here? Are there situations or user groups for whom the space might be less comfortable or accessible?</w:t>
      </w:r>
    </w:p>
    <w:p w14:paraId="755C1244">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Meaning and memory: What does the fact that this is a former civil-defence or air-raid shelter mean to you, if anything?</w:t>
      </w:r>
    </w:p>
    <w:p w14:paraId="7FCEDAF1">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Alternatives: How does this place compare with staying at home, using air conditioning, going to a mall, park, metro space, library, or another cooling option?</w:t>
      </w:r>
    </w:p>
    <w:p w14:paraId="49492E05">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Design change: If you could change three concrete things about the site, what would you change and why?</w:t>
      </w:r>
    </w:p>
    <w:p w14:paraId="28B79AC6">
      <w:pPr>
        <w:pStyle w:val="5"/>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color w:val="000000"/>
          <w:sz w:val="24"/>
          <w:szCs w:val="24"/>
        </w:rPr>
        <w:t>Government / Site-Management Interview Prompts</w:t>
      </w:r>
    </w:p>
    <w:p w14:paraId="06972D19">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1. Operational overview: Can you describe the process of opening and managing this cooling site? What are the daily operational procedures?</w:t>
      </w:r>
    </w:p>
    <w:p w14:paraId="22924C89">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2. User patterns: What patterns of use have you observed—who comes, when, and how long do they stay?</w:t>
      </w:r>
    </w:p>
    <w:p w14:paraId="5E418F65">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3. Rules and enforcement: What rules are in place? How are they communicated? What happens when rules are violated?</w:t>
      </w:r>
    </w:p>
    <w:p w14:paraId="05FC00AF">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4. Staffing and training: What is the role of staff? Do they receive training for interaction with users, including users with mobility or other support needs?</w:t>
      </w:r>
    </w:p>
    <w:p w14:paraId="3C4F6474">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5. Facilities and maintenance: How are water, toilets, seating, lighting, ventilation, and other amenities maintained? What are the main challenges?</w:t>
      </w:r>
    </w:p>
    <w:p w14:paraId="0409BDF3">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6. Safety and emergencies: What safety protocols exist? Have there been incidents or recurring complaints relevant to use of the space?</w:t>
      </w:r>
    </w:p>
    <w:p w14:paraId="37CEAE5E">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7. Public-service framing: How is the site positioned in official communication—as a public service, heritage space, or low-carbon initiative?</w:t>
      </w:r>
    </w:p>
    <w:p w14:paraId="2FBEC35C">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8. Comparisons: How does this site compare with others in the network? Are upgrades or changes planned?</w:t>
      </w:r>
    </w:p>
    <w:p w14:paraId="6FEF9A11">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9. Civil-defence history: How is the shelter’s wartime history addressed in operations or public communication?</w:t>
      </w:r>
    </w:p>
    <w:p w14:paraId="2A1B21CF">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10. Trade-offs: What tensions arise between openness and order, service and cost, heritage and contemporary use?</w:t>
      </w:r>
    </w:p>
    <w:p w14:paraId="150B168E">
      <w:pPr>
        <w:pStyle w:val="5"/>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color w:val="000000"/>
          <w:sz w:val="24"/>
          <w:szCs w:val="24"/>
        </w:rPr>
        <w:t>Design / Heritage / Reuse Actor Interview Prompts</w:t>
      </w:r>
    </w:p>
    <w:p w14:paraId="077F2AA0">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1. Project description: What was the brief for this adaptive reuse, and what were its main design or operational goals?</w:t>
      </w:r>
    </w:p>
    <w:p w14:paraId="39517FB8">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2. Thermal considerations: How was the underground thermal condition considered in the design or operational strategy?</w:t>
      </w:r>
    </w:p>
    <w:p w14:paraId="75AB0FA4">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3. Heritage and memory: How is wartime history addressed in the design, interpretation, or marketing?</w:t>
      </w:r>
    </w:p>
    <w:p w14:paraId="3AD766D6">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4. User or visitor experience: What experience is the project intended to create, and what roles do comfort, atmosphere, and sensory design play?</w:t>
      </w:r>
    </w:p>
    <w:p w14:paraId="507DC4CE">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5. Access and inclusion: Who is the intended audience, and how are entry, opening hours, pricing, or booking regulated?</w:t>
      </w:r>
    </w:p>
    <w:p w14:paraId="6CB8D842">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6. Commercial viability: How does the reuse model sustain itself economically, and how are heritage or cultural functions related to commercial operations?</w:t>
      </w:r>
    </w:p>
    <w:p w14:paraId="2B94F88D">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7. Relationship to public cooling: Is the space understood as connected to the wider civil-defence cooling network or to any public-service obligation?</w:t>
      </w:r>
    </w:p>
    <w:p w14:paraId="175708DD">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b w:val="0"/>
          <w:i w:val="0"/>
          <w:color w:val="000000"/>
          <w:sz w:val="24"/>
          <w:szCs w:val="24"/>
        </w:rPr>
      </w:pPr>
      <w:r>
        <w:rPr>
          <w:rFonts w:hint="default" w:ascii="Times New Roman" w:hAnsi="Times New Roman" w:eastAsia="Times New Roman" w:cs="Times New Roman"/>
          <w:b w:val="0"/>
          <w:i w:val="0"/>
          <w:color w:val="000000"/>
          <w:sz w:val="24"/>
          <w:szCs w:val="24"/>
        </w:rPr>
        <w:t>8. Trade-offs: What tensions arise between preservation and adaptation, authenticity and comfort, public access and commercial viability, or heritage narrative and contemporary function?</w:t>
      </w:r>
    </w:p>
    <w:p w14:paraId="1B41175E">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b w:val="0"/>
          <w:i w:val="0"/>
          <w:color w:val="000000"/>
          <w:sz w:val="24"/>
          <w:szCs w:val="24"/>
        </w:rPr>
      </w:pPr>
    </w:p>
    <w:p w14:paraId="7C14B8C8">
      <w:pPr>
        <w:pStyle w:val="4"/>
        <w:keepNext/>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8"/>
          <w:szCs w:val="28"/>
        </w:rPr>
      </w:pPr>
      <w:r>
        <w:rPr>
          <w:rFonts w:hint="default" w:ascii="Times New Roman" w:hAnsi="Times New Roman" w:eastAsia="Times New Roman" w:cs="Times New Roman"/>
          <w:b/>
          <w:i w:val="0"/>
          <w:color w:val="000000"/>
          <w:sz w:val="28"/>
          <w:szCs w:val="28"/>
        </w:rPr>
        <w:t>Appendix B. Observation and spatial-recording protocol</w:t>
      </w:r>
    </w:p>
    <w:p w14:paraId="74B9B01D">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Site/date/time/weather context; occupancy at start/end; observation duration; researcher role.</w:t>
      </w:r>
    </w:p>
    <w:p w14:paraId="757F1457">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Entrance: visibility, signage, steps/ramps, shade, transition distance, staff position, public-access cues.</w:t>
      </w:r>
    </w:p>
    <w:p w14:paraId="03DA9376">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Interior: approximate layout, seating, toilets, drinking water, charging, accessibility, heritage displays, commercial boundaries.</w:t>
      </w:r>
    </w:p>
    <w:p w14:paraId="42021F62">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Multisensory context: perceived temperature transition, humidity/dampness, airflow, smell, reverberation, lighting transition, crowd density.</w:t>
      </w:r>
    </w:p>
    <w:p w14:paraId="5D02211F">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Practices: arrival, seat choice, movement, resting, reclining, conversation, caregiving, food/drink, charging, games, sleep, avoidance, departure.</w:t>
      </w:r>
    </w:p>
    <w:p w14:paraId="29934CD8">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Encounters: staff interventions, help, conflict, informal rule enforcement, greeting, seat saving, group formation, newcomer/regular interactions.</w:t>
      </w:r>
    </w:p>
    <w:p w14:paraId="24245685">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val="0"/>
          <w:color w:val="000000"/>
          <w:sz w:val="24"/>
          <w:szCs w:val="24"/>
        </w:rPr>
        <w:t>• Negative cases: events or accounts that contradict the emerging interpretation.</w:t>
      </w:r>
    </w:p>
    <w:p w14:paraId="01A002BD">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b w:val="0"/>
          <w:i w:val="0"/>
          <w:color w:val="000000"/>
          <w:sz w:val="24"/>
          <w:szCs w:val="24"/>
        </w:rPr>
      </w:pPr>
      <w:r>
        <w:rPr>
          <w:rFonts w:hint="default" w:ascii="Times New Roman" w:hAnsi="Times New Roman" w:eastAsia="Times New Roman" w:cs="Times New Roman"/>
          <w:b w:val="0"/>
          <w:i w:val="0"/>
          <w:color w:val="000000"/>
          <w:sz w:val="24"/>
          <w:szCs w:val="24"/>
        </w:rPr>
        <w:t>• Photo log: image number, spatial purpose, consent status, identifiable persons, publication eligibility.</w:t>
      </w:r>
    </w:p>
    <w:p w14:paraId="3B795795">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b w:val="0"/>
          <w:i w:val="0"/>
          <w:color w:val="000000"/>
          <w:sz w:val="24"/>
          <w:szCs w:val="24"/>
        </w:rPr>
      </w:pPr>
    </w:p>
    <w:p w14:paraId="2977ECE6">
      <w:pPr>
        <w:pStyle w:val="4"/>
        <w:keepNext/>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8"/>
          <w:szCs w:val="28"/>
        </w:rPr>
      </w:pPr>
      <w:r>
        <w:rPr>
          <w:rFonts w:hint="default" w:ascii="Times New Roman" w:hAnsi="Times New Roman" w:eastAsia="Times New Roman" w:cs="Times New Roman"/>
          <w:b/>
          <w:i w:val="0"/>
          <w:color w:val="000000"/>
          <w:sz w:val="28"/>
          <w:szCs w:val="28"/>
        </w:rPr>
        <w:t>Appendix C. Site metadata and fieldwork log</w:t>
      </w:r>
    </w:p>
    <w:p w14:paraId="2AA9FC4E">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i w:val="0"/>
          <w:color w:val="000000"/>
          <w:sz w:val="24"/>
          <w:szCs w:val="24"/>
        </w:rPr>
      </w:pPr>
      <w:r>
        <w:rPr>
          <w:rFonts w:hint="default" w:ascii="Times New Roman" w:hAnsi="Times New Roman" w:eastAsia="Times New Roman" w:cs="Times New Roman"/>
          <w:i w:val="0"/>
          <w:color w:val="000000"/>
          <w:sz w:val="24"/>
          <w:szCs w:val="24"/>
        </w:rPr>
        <w:t>Appendix Table A1 records the disclosable site characteristics used to structure cross-site comparison.</w:t>
      </w:r>
    </w:p>
    <w:p w14:paraId="32EE4031">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i w:val="0"/>
          <w:color w:val="000000"/>
          <w:sz w:val="24"/>
          <w:szCs w:val="24"/>
        </w:rPr>
      </w:pPr>
    </w:p>
    <w:p w14:paraId="29F2A24C">
      <w:pPr>
        <w:pStyle w:val="164"/>
        <w:keepNext/>
        <w:pageBreakBefore w:val="0"/>
        <w:widowControl/>
        <w:kinsoku/>
        <w:wordWrap/>
        <w:overflowPunct/>
        <w:topLinePunct w:val="0"/>
        <w:autoSpaceDE/>
        <w:autoSpaceDN/>
        <w:bidi w:val="0"/>
        <w:adjustRightInd/>
        <w:snapToGrid/>
        <w:spacing w:before="0" w:after="160" w:line="240" w:lineRule="auto"/>
        <w:ind w:left="0" w:firstLine="0"/>
        <w:jc w:val="center"/>
        <w:textAlignment w:val="auto"/>
        <w:rPr>
          <w:rFonts w:hint="default" w:ascii="Times New Roman" w:hAnsi="Times New Roman" w:cs="Times New Roman"/>
          <w:sz w:val="24"/>
          <w:szCs w:val="24"/>
        </w:rPr>
      </w:pPr>
      <w:r>
        <w:rPr>
          <w:rFonts w:hint="default" w:ascii="Times New Roman" w:hAnsi="Times New Roman" w:eastAsia="Times New Roman" w:cs="Times New Roman"/>
          <w:b/>
          <w:i w:val="0"/>
          <w:color w:val="000000"/>
          <w:sz w:val="24"/>
          <w:szCs w:val="24"/>
        </w:rPr>
        <w:t>Table A1.</w:t>
      </w:r>
      <w:r>
        <w:rPr>
          <w:rFonts w:hint="default" w:ascii="Times New Roman" w:hAnsi="Times New Roman" w:eastAsia="Times New Roman" w:cs="Times New Roman"/>
          <w:b w:val="0"/>
          <w:i w:val="0"/>
          <w:color w:val="000000"/>
          <w:sz w:val="24"/>
          <w:szCs w:val="24"/>
        </w:rPr>
        <w:t xml:space="preserve"> Site metadata and analytical role across public cooling and adaptive-reuse sites.</w:t>
      </w:r>
    </w:p>
    <w:tbl>
      <w:tblPr>
        <w:tblStyle w:val="32"/>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18"/>
        <w:gridCol w:w="1368"/>
        <w:gridCol w:w="1551"/>
        <w:gridCol w:w="2553"/>
        <w:gridCol w:w="2314"/>
        <w:gridCol w:w="732"/>
      </w:tblGrid>
      <w:tr w14:paraId="53CE8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389" w:type="pct"/>
            <w:tcBorders>
              <w:top w:val="single" w:color="000000" w:sz="12" w:space="0"/>
              <w:left w:val="nil"/>
              <w:bottom w:val="single" w:color="000000" w:sz="8" w:space="0"/>
              <w:right w:val="single" w:color="000000" w:sz="12" w:space="0"/>
            </w:tcBorders>
            <w:shd w:val="clear" w:color="auto" w:fill="FFFFFF"/>
            <w:vAlign w:val="center"/>
          </w:tcPr>
          <w:p w14:paraId="2E1F9179">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Site code</w:t>
            </w:r>
          </w:p>
        </w:tc>
        <w:tc>
          <w:tcPr>
            <w:tcW w:w="740" w:type="pct"/>
            <w:tcBorders>
              <w:top w:val="single" w:color="000000" w:sz="12" w:space="0"/>
              <w:left w:val="nil"/>
              <w:bottom w:val="single" w:color="000000" w:sz="8" w:space="0"/>
              <w:right w:val="nil"/>
            </w:tcBorders>
            <w:shd w:val="clear" w:color="auto" w:fill="FFFFFF"/>
            <w:vAlign w:val="center"/>
          </w:tcPr>
          <w:p w14:paraId="28B3D1DD">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District / broad location</w:t>
            </w:r>
          </w:p>
        </w:tc>
        <w:tc>
          <w:tcPr>
            <w:tcW w:w="839" w:type="pct"/>
            <w:tcBorders>
              <w:top w:val="single" w:color="000000" w:sz="12" w:space="0"/>
              <w:left w:val="nil"/>
              <w:bottom w:val="single" w:color="000000" w:sz="8" w:space="0"/>
              <w:right w:val="nil"/>
            </w:tcBorders>
            <w:shd w:val="clear" w:color="auto" w:fill="FFFFFF"/>
            <w:vAlign w:val="center"/>
          </w:tcPr>
          <w:p w14:paraId="0F1ED3B0">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Site type</w:t>
            </w:r>
          </w:p>
        </w:tc>
        <w:tc>
          <w:tcPr>
            <w:tcW w:w="1381" w:type="pct"/>
            <w:tcBorders>
              <w:top w:val="single" w:color="000000" w:sz="12" w:space="0"/>
              <w:left w:val="nil"/>
              <w:bottom w:val="single" w:color="000000" w:sz="8" w:space="0"/>
              <w:right w:val="nil"/>
            </w:tcBorders>
            <w:shd w:val="clear" w:color="auto" w:fill="FFFFFF"/>
            <w:vAlign w:val="center"/>
          </w:tcPr>
          <w:p w14:paraId="55D0D6B9">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Entrance/access</w:t>
            </w:r>
          </w:p>
        </w:tc>
        <w:tc>
          <w:tcPr>
            <w:tcW w:w="1252" w:type="pct"/>
            <w:tcBorders>
              <w:top w:val="single" w:color="000000" w:sz="12" w:space="0"/>
              <w:left w:val="nil"/>
              <w:bottom w:val="single" w:color="000000" w:sz="8" w:space="0"/>
              <w:right w:val="nil"/>
            </w:tcBorders>
            <w:shd w:val="clear" w:color="auto" w:fill="FFFFFF"/>
            <w:vAlign w:val="center"/>
          </w:tcPr>
          <w:p w14:paraId="468352CE">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Key amenities</w:t>
            </w:r>
          </w:p>
        </w:tc>
        <w:tc>
          <w:tcPr>
            <w:tcW w:w="396" w:type="pct"/>
            <w:tcBorders>
              <w:top w:val="single" w:color="000000" w:sz="12" w:space="0"/>
              <w:left w:val="nil"/>
              <w:bottom w:val="single" w:color="000000" w:sz="8" w:space="0"/>
              <w:right w:val="nil"/>
            </w:tcBorders>
            <w:shd w:val="clear" w:color="auto" w:fill="FFFFFF"/>
            <w:vAlign w:val="center"/>
          </w:tcPr>
          <w:p w14:paraId="477CE2AB">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Case role</w:t>
            </w:r>
          </w:p>
        </w:tc>
      </w:tr>
      <w:tr w14:paraId="78278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 w:type="pct"/>
            <w:tcBorders>
              <w:top w:val="nil"/>
              <w:left w:val="nil"/>
              <w:bottom w:val="nil"/>
              <w:right w:val="single" w:color="000000" w:sz="12" w:space="0"/>
            </w:tcBorders>
            <w:shd w:val="clear" w:color="auto" w:fill="FFFFFF"/>
            <w:vAlign w:val="center"/>
          </w:tcPr>
          <w:p w14:paraId="767EC52F">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S01</w:t>
            </w:r>
          </w:p>
        </w:tc>
        <w:tc>
          <w:tcPr>
            <w:tcW w:w="740" w:type="pct"/>
            <w:tcBorders>
              <w:top w:val="nil"/>
              <w:left w:val="nil"/>
              <w:bottom w:val="nil"/>
              <w:right w:val="nil"/>
            </w:tcBorders>
            <w:shd w:val="clear" w:color="auto" w:fill="FFFFFF"/>
            <w:vAlign w:val="center"/>
          </w:tcPr>
          <w:p w14:paraId="5F0D5125">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Yuzhong</w:t>
            </w:r>
          </w:p>
        </w:tc>
        <w:tc>
          <w:tcPr>
            <w:tcW w:w="839" w:type="pct"/>
            <w:tcBorders>
              <w:top w:val="nil"/>
              <w:left w:val="nil"/>
              <w:bottom w:val="nil"/>
              <w:right w:val="nil"/>
            </w:tcBorders>
            <w:shd w:val="clear" w:color="auto" w:fill="FFFFFF"/>
            <w:vAlign w:val="center"/>
          </w:tcPr>
          <w:p w14:paraId="685CB5F1">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Public cooling</w:t>
            </w:r>
          </w:p>
        </w:tc>
        <w:tc>
          <w:tcPr>
            <w:tcW w:w="1381" w:type="pct"/>
            <w:tcBorders>
              <w:top w:val="nil"/>
              <w:left w:val="nil"/>
              <w:bottom w:val="nil"/>
              <w:right w:val="nil"/>
            </w:tcBorders>
            <w:shd w:val="clear" w:color="auto" w:fill="FFFFFF"/>
            <w:vAlign w:val="center"/>
          </w:tcPr>
          <w:p w14:paraId="6FDE2361">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Street-facing entrance followed by a 12-step descent; handrail; clear signage; visible from bus stop</w:t>
            </w:r>
          </w:p>
        </w:tc>
        <w:tc>
          <w:tcPr>
            <w:tcW w:w="1252" w:type="pct"/>
            <w:tcBorders>
              <w:top w:val="nil"/>
              <w:left w:val="nil"/>
              <w:bottom w:val="nil"/>
              <w:right w:val="nil"/>
            </w:tcBorders>
            <w:shd w:val="clear" w:color="auto" w:fill="FFFFFF"/>
            <w:vAlign w:val="center"/>
          </w:tcPr>
          <w:p w14:paraId="022F5B15">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Benches, chairs, water dispenser, toilets, fan, heritage display, staffed</w:t>
            </w:r>
          </w:p>
        </w:tc>
        <w:tc>
          <w:tcPr>
            <w:tcW w:w="396" w:type="pct"/>
            <w:tcBorders>
              <w:top w:val="nil"/>
              <w:left w:val="nil"/>
              <w:bottom w:val="nil"/>
              <w:right w:val="nil"/>
            </w:tcBorders>
            <w:shd w:val="clear" w:color="auto" w:fill="FFFFFF"/>
            <w:vAlign w:val="center"/>
          </w:tcPr>
          <w:p w14:paraId="45D18C52">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 II</w:t>
            </w:r>
          </w:p>
        </w:tc>
      </w:tr>
      <w:tr w14:paraId="25B0E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 w:type="pct"/>
            <w:tcBorders>
              <w:top w:val="nil"/>
              <w:left w:val="nil"/>
              <w:bottom w:val="nil"/>
              <w:right w:val="single" w:color="000000" w:sz="12" w:space="0"/>
            </w:tcBorders>
            <w:shd w:val="clear" w:color="auto" w:fill="FFFFFF"/>
            <w:vAlign w:val="center"/>
          </w:tcPr>
          <w:p w14:paraId="58E982CA">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S02</w:t>
            </w:r>
          </w:p>
        </w:tc>
        <w:tc>
          <w:tcPr>
            <w:tcW w:w="740" w:type="pct"/>
            <w:tcBorders>
              <w:top w:val="nil"/>
              <w:left w:val="nil"/>
              <w:bottom w:val="nil"/>
              <w:right w:val="nil"/>
            </w:tcBorders>
            <w:shd w:val="clear" w:color="auto" w:fill="FFFFFF"/>
            <w:vAlign w:val="center"/>
          </w:tcPr>
          <w:p w14:paraId="072C3BF5">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Jiangbei</w:t>
            </w:r>
          </w:p>
        </w:tc>
        <w:tc>
          <w:tcPr>
            <w:tcW w:w="839" w:type="pct"/>
            <w:tcBorders>
              <w:top w:val="nil"/>
              <w:left w:val="nil"/>
              <w:bottom w:val="nil"/>
              <w:right w:val="nil"/>
            </w:tcBorders>
            <w:shd w:val="clear" w:color="auto" w:fill="FFFFFF"/>
            <w:vAlign w:val="center"/>
          </w:tcPr>
          <w:p w14:paraId="6C76AF29">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Public cooling</w:t>
            </w:r>
          </w:p>
        </w:tc>
        <w:tc>
          <w:tcPr>
            <w:tcW w:w="1381" w:type="pct"/>
            <w:tcBorders>
              <w:top w:val="nil"/>
              <w:left w:val="nil"/>
              <w:bottom w:val="nil"/>
              <w:right w:val="nil"/>
            </w:tcBorders>
            <w:shd w:val="clear" w:color="auto" w:fill="FFFFFF"/>
            <w:vAlign w:val="center"/>
          </w:tcPr>
          <w:p w14:paraId="52246E01">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Descending 25 steps, no handrail, signage partially obscured</w:t>
            </w:r>
          </w:p>
        </w:tc>
        <w:tc>
          <w:tcPr>
            <w:tcW w:w="1252" w:type="pct"/>
            <w:tcBorders>
              <w:top w:val="nil"/>
              <w:left w:val="nil"/>
              <w:bottom w:val="nil"/>
              <w:right w:val="nil"/>
            </w:tcBorders>
            <w:shd w:val="clear" w:color="auto" w:fill="FFFFFF"/>
            <w:vAlign w:val="center"/>
          </w:tcPr>
          <w:p w14:paraId="32C4BCA1">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Metal benches, water dispenser, toilets, no fan, staffed</w:t>
            </w:r>
          </w:p>
        </w:tc>
        <w:tc>
          <w:tcPr>
            <w:tcW w:w="396" w:type="pct"/>
            <w:tcBorders>
              <w:top w:val="nil"/>
              <w:left w:val="nil"/>
              <w:bottom w:val="nil"/>
              <w:right w:val="nil"/>
            </w:tcBorders>
            <w:shd w:val="clear" w:color="auto" w:fill="FFFFFF"/>
            <w:vAlign w:val="center"/>
          </w:tcPr>
          <w:p w14:paraId="6E34D699">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 II</w:t>
            </w:r>
          </w:p>
        </w:tc>
      </w:tr>
      <w:tr w14:paraId="4B7EF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 w:type="pct"/>
            <w:tcBorders>
              <w:top w:val="nil"/>
              <w:left w:val="nil"/>
              <w:bottom w:val="nil"/>
              <w:right w:val="single" w:color="000000" w:sz="12" w:space="0"/>
            </w:tcBorders>
            <w:shd w:val="clear" w:color="auto" w:fill="FFFFFF"/>
            <w:vAlign w:val="center"/>
          </w:tcPr>
          <w:p w14:paraId="270E715C">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S03</w:t>
            </w:r>
          </w:p>
        </w:tc>
        <w:tc>
          <w:tcPr>
            <w:tcW w:w="740" w:type="pct"/>
            <w:tcBorders>
              <w:top w:val="nil"/>
              <w:left w:val="nil"/>
              <w:bottom w:val="nil"/>
              <w:right w:val="nil"/>
            </w:tcBorders>
            <w:shd w:val="clear" w:color="auto" w:fill="FFFFFF"/>
            <w:vAlign w:val="center"/>
          </w:tcPr>
          <w:p w14:paraId="479DEB65">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Yuzhong</w:t>
            </w:r>
          </w:p>
        </w:tc>
        <w:tc>
          <w:tcPr>
            <w:tcW w:w="839" w:type="pct"/>
            <w:tcBorders>
              <w:top w:val="nil"/>
              <w:left w:val="nil"/>
              <w:bottom w:val="nil"/>
              <w:right w:val="nil"/>
            </w:tcBorders>
            <w:shd w:val="clear" w:color="auto" w:fill="FFFFFF"/>
            <w:vAlign w:val="center"/>
          </w:tcPr>
          <w:p w14:paraId="2638F09D">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Public cooling</w:t>
            </w:r>
          </w:p>
        </w:tc>
        <w:tc>
          <w:tcPr>
            <w:tcW w:w="1381" w:type="pct"/>
            <w:tcBorders>
              <w:top w:val="nil"/>
              <w:left w:val="nil"/>
              <w:bottom w:val="nil"/>
              <w:right w:val="nil"/>
            </w:tcBorders>
            <w:shd w:val="clear" w:color="auto" w:fill="FFFFFF"/>
            <w:vAlign w:val="center"/>
          </w:tcPr>
          <w:p w14:paraId="5D01774B">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Street-level, gentle ramp, clear signage, visible from main road</w:t>
            </w:r>
          </w:p>
        </w:tc>
        <w:tc>
          <w:tcPr>
            <w:tcW w:w="1252" w:type="pct"/>
            <w:tcBorders>
              <w:top w:val="nil"/>
              <w:left w:val="nil"/>
              <w:bottom w:val="nil"/>
              <w:right w:val="nil"/>
            </w:tcBorders>
            <w:shd w:val="clear" w:color="auto" w:fill="FFFFFF"/>
            <w:vAlign w:val="center"/>
          </w:tcPr>
          <w:p w14:paraId="151C7B47">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Plastic chairs, wooden benches, water dispenser, toilets, fans, heritage display, staffed</w:t>
            </w:r>
          </w:p>
        </w:tc>
        <w:tc>
          <w:tcPr>
            <w:tcW w:w="396" w:type="pct"/>
            <w:tcBorders>
              <w:top w:val="nil"/>
              <w:left w:val="nil"/>
              <w:bottom w:val="nil"/>
              <w:right w:val="nil"/>
            </w:tcBorders>
            <w:shd w:val="clear" w:color="auto" w:fill="FFFFFF"/>
            <w:vAlign w:val="center"/>
          </w:tcPr>
          <w:p w14:paraId="203FCD57">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 II, III</w:t>
            </w:r>
          </w:p>
        </w:tc>
      </w:tr>
      <w:tr w14:paraId="1AA28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 w:type="pct"/>
            <w:tcBorders>
              <w:top w:val="nil"/>
              <w:left w:val="nil"/>
              <w:bottom w:val="nil"/>
              <w:right w:val="single" w:color="000000" w:sz="12" w:space="0"/>
            </w:tcBorders>
            <w:shd w:val="clear" w:color="auto" w:fill="FFFFFF"/>
            <w:vAlign w:val="center"/>
          </w:tcPr>
          <w:p w14:paraId="6D7AE3CB">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S04</w:t>
            </w:r>
          </w:p>
        </w:tc>
        <w:tc>
          <w:tcPr>
            <w:tcW w:w="740" w:type="pct"/>
            <w:tcBorders>
              <w:top w:val="nil"/>
              <w:left w:val="nil"/>
              <w:bottom w:val="nil"/>
              <w:right w:val="nil"/>
            </w:tcBorders>
            <w:shd w:val="clear" w:color="auto" w:fill="FFFFFF"/>
            <w:vAlign w:val="center"/>
          </w:tcPr>
          <w:p w14:paraId="2CE1122F">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Shapingba</w:t>
            </w:r>
          </w:p>
        </w:tc>
        <w:tc>
          <w:tcPr>
            <w:tcW w:w="839" w:type="pct"/>
            <w:tcBorders>
              <w:top w:val="nil"/>
              <w:left w:val="nil"/>
              <w:bottom w:val="nil"/>
              <w:right w:val="nil"/>
            </w:tcBorders>
            <w:shd w:val="clear" w:color="auto" w:fill="FFFFFF"/>
            <w:vAlign w:val="center"/>
          </w:tcPr>
          <w:p w14:paraId="4D31FDFD">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Public cooling</w:t>
            </w:r>
          </w:p>
        </w:tc>
        <w:tc>
          <w:tcPr>
            <w:tcW w:w="1381" w:type="pct"/>
            <w:tcBorders>
              <w:top w:val="nil"/>
              <w:left w:val="nil"/>
              <w:bottom w:val="nil"/>
              <w:right w:val="nil"/>
            </w:tcBorders>
            <w:shd w:val="clear" w:color="auto" w:fill="FFFFFF"/>
            <w:vAlign w:val="center"/>
          </w:tcPr>
          <w:p w14:paraId="3FEC7186">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Descending 22 steps, no handrail, signage present, small entrance</w:t>
            </w:r>
          </w:p>
        </w:tc>
        <w:tc>
          <w:tcPr>
            <w:tcW w:w="1252" w:type="pct"/>
            <w:tcBorders>
              <w:top w:val="nil"/>
              <w:left w:val="nil"/>
              <w:bottom w:val="nil"/>
              <w:right w:val="nil"/>
            </w:tcBorders>
            <w:shd w:val="clear" w:color="auto" w:fill="FFFFFF"/>
            <w:vAlign w:val="center"/>
          </w:tcPr>
          <w:p w14:paraId="6933F259">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Plastic chairs, water dispenser, toilets, no fan, staffed (desk only)</w:t>
            </w:r>
          </w:p>
        </w:tc>
        <w:tc>
          <w:tcPr>
            <w:tcW w:w="396" w:type="pct"/>
            <w:tcBorders>
              <w:top w:val="nil"/>
              <w:left w:val="nil"/>
              <w:bottom w:val="nil"/>
              <w:right w:val="nil"/>
            </w:tcBorders>
            <w:shd w:val="clear" w:color="auto" w:fill="FFFFFF"/>
            <w:vAlign w:val="center"/>
          </w:tcPr>
          <w:p w14:paraId="6DC7D806">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 II</w:t>
            </w:r>
          </w:p>
        </w:tc>
      </w:tr>
      <w:tr w14:paraId="4BAC8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 w:type="pct"/>
            <w:tcBorders>
              <w:top w:val="nil"/>
              <w:left w:val="nil"/>
              <w:bottom w:val="nil"/>
              <w:right w:val="single" w:color="000000" w:sz="12" w:space="0"/>
            </w:tcBorders>
            <w:shd w:val="clear" w:color="auto" w:fill="FFFFFF"/>
            <w:vAlign w:val="center"/>
          </w:tcPr>
          <w:p w14:paraId="47777B50">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S05</w:t>
            </w:r>
          </w:p>
        </w:tc>
        <w:tc>
          <w:tcPr>
            <w:tcW w:w="740" w:type="pct"/>
            <w:tcBorders>
              <w:top w:val="nil"/>
              <w:left w:val="nil"/>
              <w:bottom w:val="nil"/>
              <w:right w:val="nil"/>
            </w:tcBorders>
            <w:shd w:val="clear" w:color="auto" w:fill="FFFFFF"/>
            <w:vAlign w:val="center"/>
          </w:tcPr>
          <w:p w14:paraId="51E38105">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Jiulongpo</w:t>
            </w:r>
          </w:p>
        </w:tc>
        <w:tc>
          <w:tcPr>
            <w:tcW w:w="839" w:type="pct"/>
            <w:tcBorders>
              <w:top w:val="nil"/>
              <w:left w:val="nil"/>
              <w:bottom w:val="nil"/>
              <w:right w:val="nil"/>
            </w:tcBorders>
            <w:shd w:val="clear" w:color="auto" w:fill="FFFFFF"/>
            <w:vAlign w:val="center"/>
          </w:tcPr>
          <w:p w14:paraId="35A00176">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Public cooling</w:t>
            </w:r>
          </w:p>
        </w:tc>
        <w:tc>
          <w:tcPr>
            <w:tcW w:w="1381" w:type="pct"/>
            <w:tcBorders>
              <w:top w:val="nil"/>
              <w:left w:val="nil"/>
              <w:bottom w:val="nil"/>
              <w:right w:val="nil"/>
            </w:tcBorders>
            <w:shd w:val="clear" w:color="auto" w:fill="FFFFFF"/>
            <w:vAlign w:val="center"/>
          </w:tcPr>
          <w:p w14:paraId="1DF30F7F">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Street-level, gentle ramp, clear signage, visible from street</w:t>
            </w:r>
          </w:p>
        </w:tc>
        <w:tc>
          <w:tcPr>
            <w:tcW w:w="1252" w:type="pct"/>
            <w:tcBorders>
              <w:top w:val="nil"/>
              <w:left w:val="nil"/>
              <w:bottom w:val="nil"/>
              <w:right w:val="nil"/>
            </w:tcBorders>
            <w:shd w:val="clear" w:color="auto" w:fill="FFFFFF"/>
            <w:vAlign w:val="center"/>
          </w:tcPr>
          <w:p w14:paraId="3181CA0C">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Mixed seating (benches + chairs), water dispenser, toilets, fans, volunteer only (no dedicated staff)</w:t>
            </w:r>
          </w:p>
        </w:tc>
        <w:tc>
          <w:tcPr>
            <w:tcW w:w="396" w:type="pct"/>
            <w:tcBorders>
              <w:top w:val="nil"/>
              <w:left w:val="nil"/>
              <w:bottom w:val="nil"/>
              <w:right w:val="nil"/>
            </w:tcBorders>
            <w:shd w:val="clear" w:color="auto" w:fill="FFFFFF"/>
            <w:vAlign w:val="center"/>
          </w:tcPr>
          <w:p w14:paraId="276CFE8C">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 II</w:t>
            </w:r>
          </w:p>
        </w:tc>
      </w:tr>
      <w:tr w14:paraId="7FA68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 w:type="pct"/>
            <w:tcBorders>
              <w:top w:val="nil"/>
              <w:left w:val="nil"/>
              <w:bottom w:val="nil"/>
              <w:right w:val="single" w:color="000000" w:sz="12" w:space="0"/>
            </w:tcBorders>
            <w:shd w:val="clear" w:color="auto" w:fill="FFFFFF"/>
            <w:vAlign w:val="center"/>
          </w:tcPr>
          <w:p w14:paraId="49699D6B">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S06</w:t>
            </w:r>
          </w:p>
        </w:tc>
        <w:tc>
          <w:tcPr>
            <w:tcW w:w="740" w:type="pct"/>
            <w:tcBorders>
              <w:top w:val="nil"/>
              <w:left w:val="nil"/>
              <w:bottom w:val="nil"/>
              <w:right w:val="nil"/>
            </w:tcBorders>
            <w:shd w:val="clear" w:color="auto" w:fill="FFFFFF"/>
            <w:vAlign w:val="center"/>
          </w:tcPr>
          <w:p w14:paraId="0886B742">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Nan'an</w:t>
            </w:r>
          </w:p>
        </w:tc>
        <w:tc>
          <w:tcPr>
            <w:tcW w:w="839" w:type="pct"/>
            <w:tcBorders>
              <w:top w:val="nil"/>
              <w:left w:val="nil"/>
              <w:bottom w:val="nil"/>
              <w:right w:val="nil"/>
            </w:tcBorders>
            <w:shd w:val="clear" w:color="auto" w:fill="FFFFFF"/>
            <w:vAlign w:val="center"/>
          </w:tcPr>
          <w:p w14:paraId="61507869">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Public cooling</w:t>
            </w:r>
          </w:p>
        </w:tc>
        <w:tc>
          <w:tcPr>
            <w:tcW w:w="1381" w:type="pct"/>
            <w:tcBorders>
              <w:top w:val="nil"/>
              <w:left w:val="nil"/>
              <w:bottom w:val="nil"/>
              <w:right w:val="nil"/>
            </w:tcBorders>
            <w:shd w:val="clear" w:color="auto" w:fill="FFFFFF"/>
            <w:vAlign w:val="center"/>
          </w:tcPr>
          <w:p w14:paraId="6B7D2E0E">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Descending 15 steps, handrail (one side), clear signage</w:t>
            </w:r>
          </w:p>
        </w:tc>
        <w:tc>
          <w:tcPr>
            <w:tcW w:w="1252" w:type="pct"/>
            <w:tcBorders>
              <w:top w:val="nil"/>
              <w:left w:val="nil"/>
              <w:bottom w:val="nil"/>
              <w:right w:val="nil"/>
            </w:tcBorders>
            <w:shd w:val="clear" w:color="auto" w:fill="FFFFFF"/>
            <w:vAlign w:val="center"/>
          </w:tcPr>
          <w:p w14:paraId="673818D6">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Wooden benches, chairs, water dispenser, toilets, fans, staffed</w:t>
            </w:r>
          </w:p>
        </w:tc>
        <w:tc>
          <w:tcPr>
            <w:tcW w:w="396" w:type="pct"/>
            <w:tcBorders>
              <w:top w:val="nil"/>
              <w:left w:val="nil"/>
              <w:bottom w:val="nil"/>
              <w:right w:val="nil"/>
            </w:tcBorders>
            <w:shd w:val="clear" w:color="auto" w:fill="FFFFFF"/>
            <w:vAlign w:val="center"/>
          </w:tcPr>
          <w:p w14:paraId="622F3C36">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 II</w:t>
            </w:r>
          </w:p>
        </w:tc>
      </w:tr>
      <w:tr w14:paraId="011F2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 w:type="pct"/>
            <w:tcBorders>
              <w:top w:val="nil"/>
              <w:left w:val="nil"/>
              <w:bottom w:val="nil"/>
              <w:right w:val="single" w:color="000000" w:sz="12" w:space="0"/>
            </w:tcBorders>
            <w:shd w:val="clear" w:color="auto" w:fill="FFFFFF"/>
            <w:vAlign w:val="center"/>
          </w:tcPr>
          <w:p w14:paraId="74F5D7A1">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S07</w:t>
            </w:r>
          </w:p>
        </w:tc>
        <w:tc>
          <w:tcPr>
            <w:tcW w:w="740" w:type="pct"/>
            <w:tcBorders>
              <w:top w:val="nil"/>
              <w:left w:val="nil"/>
              <w:bottom w:val="nil"/>
              <w:right w:val="nil"/>
            </w:tcBorders>
            <w:shd w:val="clear" w:color="auto" w:fill="FFFFFF"/>
            <w:vAlign w:val="center"/>
          </w:tcPr>
          <w:p w14:paraId="5ACE60F6">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Shapingba</w:t>
            </w:r>
          </w:p>
        </w:tc>
        <w:tc>
          <w:tcPr>
            <w:tcW w:w="839" w:type="pct"/>
            <w:tcBorders>
              <w:top w:val="nil"/>
              <w:left w:val="nil"/>
              <w:bottom w:val="nil"/>
              <w:right w:val="nil"/>
            </w:tcBorders>
            <w:shd w:val="clear" w:color="auto" w:fill="FFFFFF"/>
            <w:vAlign w:val="center"/>
          </w:tcPr>
          <w:p w14:paraId="73F96FA5">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Public cooling</w:t>
            </w:r>
          </w:p>
        </w:tc>
        <w:tc>
          <w:tcPr>
            <w:tcW w:w="1381" w:type="pct"/>
            <w:tcBorders>
              <w:top w:val="nil"/>
              <w:left w:val="nil"/>
              <w:bottom w:val="nil"/>
              <w:right w:val="nil"/>
            </w:tcBorders>
            <w:shd w:val="clear" w:color="auto" w:fill="FFFFFF"/>
            <w:vAlign w:val="center"/>
          </w:tcPr>
          <w:p w14:paraId="6258AF9A">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Descending 30 steps, handrail both sides, clear signage, set back from road</w:t>
            </w:r>
          </w:p>
        </w:tc>
        <w:tc>
          <w:tcPr>
            <w:tcW w:w="1252" w:type="pct"/>
            <w:tcBorders>
              <w:top w:val="nil"/>
              <w:left w:val="nil"/>
              <w:bottom w:val="nil"/>
              <w:right w:val="nil"/>
            </w:tcBorders>
            <w:shd w:val="clear" w:color="auto" w:fill="FFFFFF"/>
            <w:vAlign w:val="center"/>
          </w:tcPr>
          <w:p w14:paraId="20753CDD">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Plastic chairs, water dispenser, toilets, fan, staffed</w:t>
            </w:r>
          </w:p>
        </w:tc>
        <w:tc>
          <w:tcPr>
            <w:tcW w:w="396" w:type="pct"/>
            <w:tcBorders>
              <w:top w:val="nil"/>
              <w:left w:val="nil"/>
              <w:bottom w:val="nil"/>
              <w:right w:val="nil"/>
            </w:tcBorders>
            <w:shd w:val="clear" w:color="auto" w:fill="FFFFFF"/>
            <w:vAlign w:val="center"/>
          </w:tcPr>
          <w:p w14:paraId="67EE104A">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 II</w:t>
            </w:r>
          </w:p>
        </w:tc>
      </w:tr>
      <w:tr w14:paraId="71442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 w:type="pct"/>
            <w:tcBorders>
              <w:top w:val="nil"/>
              <w:left w:val="nil"/>
              <w:bottom w:val="nil"/>
              <w:right w:val="single" w:color="000000" w:sz="12" w:space="0"/>
            </w:tcBorders>
            <w:shd w:val="clear" w:color="auto" w:fill="FFFFFF"/>
            <w:vAlign w:val="center"/>
          </w:tcPr>
          <w:p w14:paraId="1A724EB3">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S08</w:t>
            </w:r>
          </w:p>
        </w:tc>
        <w:tc>
          <w:tcPr>
            <w:tcW w:w="740" w:type="pct"/>
            <w:tcBorders>
              <w:top w:val="nil"/>
              <w:left w:val="nil"/>
              <w:bottom w:val="nil"/>
              <w:right w:val="nil"/>
            </w:tcBorders>
            <w:shd w:val="clear" w:color="auto" w:fill="FFFFFF"/>
            <w:vAlign w:val="center"/>
          </w:tcPr>
          <w:p w14:paraId="6BEE0127">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Jiulongpo</w:t>
            </w:r>
          </w:p>
        </w:tc>
        <w:tc>
          <w:tcPr>
            <w:tcW w:w="839" w:type="pct"/>
            <w:tcBorders>
              <w:top w:val="nil"/>
              <w:left w:val="nil"/>
              <w:bottom w:val="nil"/>
              <w:right w:val="nil"/>
            </w:tcBorders>
            <w:shd w:val="clear" w:color="auto" w:fill="FFFFFF"/>
            <w:vAlign w:val="center"/>
          </w:tcPr>
          <w:p w14:paraId="6291DA14">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Public cooling</w:t>
            </w:r>
          </w:p>
        </w:tc>
        <w:tc>
          <w:tcPr>
            <w:tcW w:w="1381" w:type="pct"/>
            <w:tcBorders>
              <w:top w:val="nil"/>
              <w:left w:val="nil"/>
              <w:bottom w:val="nil"/>
              <w:right w:val="nil"/>
            </w:tcBorders>
            <w:shd w:val="clear" w:color="auto" w:fill="FFFFFF"/>
            <w:vAlign w:val="center"/>
          </w:tcPr>
          <w:p w14:paraId="22C343B5">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Narrow passage, 8 steps, signage obscured by construction, no handrail</w:t>
            </w:r>
          </w:p>
        </w:tc>
        <w:tc>
          <w:tcPr>
            <w:tcW w:w="1252" w:type="pct"/>
            <w:tcBorders>
              <w:top w:val="nil"/>
              <w:left w:val="nil"/>
              <w:bottom w:val="nil"/>
              <w:right w:val="nil"/>
            </w:tcBorders>
            <w:shd w:val="clear" w:color="auto" w:fill="FFFFFF"/>
            <w:vAlign w:val="center"/>
          </w:tcPr>
          <w:p w14:paraId="7C88D035">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Metal benches, water dispenser, toilets (out of order during 2 visits), no fan, staffed part-time</w:t>
            </w:r>
          </w:p>
        </w:tc>
        <w:tc>
          <w:tcPr>
            <w:tcW w:w="396" w:type="pct"/>
            <w:tcBorders>
              <w:top w:val="nil"/>
              <w:left w:val="nil"/>
              <w:bottom w:val="nil"/>
              <w:right w:val="nil"/>
            </w:tcBorders>
            <w:shd w:val="clear" w:color="auto" w:fill="FFFFFF"/>
            <w:vAlign w:val="center"/>
          </w:tcPr>
          <w:p w14:paraId="7D273F90">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 II</w:t>
            </w:r>
          </w:p>
        </w:tc>
      </w:tr>
      <w:tr w14:paraId="50E5B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 w:type="pct"/>
            <w:tcBorders>
              <w:top w:val="nil"/>
              <w:left w:val="nil"/>
              <w:bottom w:val="nil"/>
              <w:right w:val="single" w:color="000000" w:sz="12" w:space="0"/>
            </w:tcBorders>
            <w:shd w:val="clear" w:color="auto" w:fill="FFFFFF"/>
            <w:vAlign w:val="center"/>
          </w:tcPr>
          <w:p w14:paraId="1FD2E4A7">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R01</w:t>
            </w:r>
          </w:p>
        </w:tc>
        <w:tc>
          <w:tcPr>
            <w:tcW w:w="740" w:type="pct"/>
            <w:tcBorders>
              <w:top w:val="nil"/>
              <w:left w:val="nil"/>
              <w:bottom w:val="nil"/>
              <w:right w:val="nil"/>
            </w:tcBorders>
            <w:shd w:val="clear" w:color="auto" w:fill="FFFFFF"/>
            <w:vAlign w:val="center"/>
          </w:tcPr>
          <w:p w14:paraId="1D23049F">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Yuzhong</w:t>
            </w:r>
          </w:p>
        </w:tc>
        <w:tc>
          <w:tcPr>
            <w:tcW w:w="839" w:type="pct"/>
            <w:tcBorders>
              <w:top w:val="nil"/>
              <w:left w:val="nil"/>
              <w:bottom w:val="nil"/>
              <w:right w:val="nil"/>
            </w:tcBorders>
            <w:shd w:val="clear" w:color="auto" w:fill="FFFFFF"/>
            <w:vAlign w:val="center"/>
          </w:tcPr>
          <w:p w14:paraId="01FA6880">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Heritage museum (adaptive reuse)</w:t>
            </w:r>
          </w:p>
        </w:tc>
        <w:tc>
          <w:tcPr>
            <w:tcW w:w="1381" w:type="pct"/>
            <w:tcBorders>
              <w:top w:val="nil"/>
              <w:left w:val="nil"/>
              <w:bottom w:val="nil"/>
              <w:right w:val="nil"/>
            </w:tcBorders>
            <w:shd w:val="clear" w:color="auto" w:fill="FFFFFF"/>
            <w:vAlign w:val="center"/>
          </w:tcPr>
          <w:p w14:paraId="75D77B61">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Street-level, wide entrance, clear signage, ramp</w:t>
            </w:r>
          </w:p>
        </w:tc>
        <w:tc>
          <w:tcPr>
            <w:tcW w:w="1252" w:type="pct"/>
            <w:tcBorders>
              <w:top w:val="nil"/>
              <w:left w:val="nil"/>
              <w:bottom w:val="nil"/>
              <w:right w:val="nil"/>
            </w:tcBorders>
            <w:shd w:val="clear" w:color="auto" w:fill="FFFFFF"/>
            <w:vAlign w:val="center"/>
          </w:tcPr>
          <w:p w14:paraId="524FD407">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Museum displays, curated lighting, seating (limited), shop, staffed, entry free</w:t>
            </w:r>
          </w:p>
        </w:tc>
        <w:tc>
          <w:tcPr>
            <w:tcW w:w="396" w:type="pct"/>
            <w:tcBorders>
              <w:top w:val="nil"/>
              <w:left w:val="nil"/>
              <w:bottom w:val="nil"/>
              <w:right w:val="nil"/>
            </w:tcBorders>
            <w:shd w:val="clear" w:color="auto" w:fill="FFFFFF"/>
            <w:vAlign w:val="center"/>
          </w:tcPr>
          <w:p w14:paraId="3959BD4B">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III</w:t>
            </w:r>
          </w:p>
        </w:tc>
      </w:tr>
      <w:tr w14:paraId="6C10E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 w:type="pct"/>
            <w:tcBorders>
              <w:top w:val="nil"/>
              <w:left w:val="nil"/>
              <w:bottom w:val="nil"/>
              <w:right w:val="single" w:color="000000" w:sz="12" w:space="0"/>
            </w:tcBorders>
            <w:shd w:val="clear" w:color="auto" w:fill="FFFFFF"/>
            <w:vAlign w:val="center"/>
          </w:tcPr>
          <w:p w14:paraId="41762199">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R02</w:t>
            </w:r>
          </w:p>
        </w:tc>
        <w:tc>
          <w:tcPr>
            <w:tcW w:w="740" w:type="pct"/>
            <w:tcBorders>
              <w:top w:val="nil"/>
              <w:left w:val="nil"/>
              <w:bottom w:val="nil"/>
              <w:right w:val="nil"/>
            </w:tcBorders>
            <w:shd w:val="clear" w:color="auto" w:fill="FFFFFF"/>
            <w:vAlign w:val="center"/>
          </w:tcPr>
          <w:p w14:paraId="08042065">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Shapingba</w:t>
            </w:r>
          </w:p>
        </w:tc>
        <w:tc>
          <w:tcPr>
            <w:tcW w:w="839" w:type="pct"/>
            <w:tcBorders>
              <w:top w:val="nil"/>
              <w:left w:val="nil"/>
              <w:bottom w:val="nil"/>
              <w:right w:val="nil"/>
            </w:tcBorders>
            <w:shd w:val="clear" w:color="auto" w:fill="FFFFFF"/>
            <w:vAlign w:val="center"/>
          </w:tcPr>
          <w:p w14:paraId="1879BC3E">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Bookshop (adaptive reuse)</w:t>
            </w:r>
          </w:p>
        </w:tc>
        <w:tc>
          <w:tcPr>
            <w:tcW w:w="1381" w:type="pct"/>
            <w:tcBorders>
              <w:top w:val="nil"/>
              <w:left w:val="nil"/>
              <w:bottom w:val="nil"/>
              <w:right w:val="nil"/>
            </w:tcBorders>
            <w:shd w:val="clear" w:color="auto" w:fill="FFFFFF"/>
            <w:vAlign w:val="center"/>
          </w:tcPr>
          <w:p w14:paraId="0C5FB34D">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Descending 10 steps, signage present, visible from street</w:t>
            </w:r>
          </w:p>
        </w:tc>
        <w:tc>
          <w:tcPr>
            <w:tcW w:w="1252" w:type="pct"/>
            <w:tcBorders>
              <w:top w:val="nil"/>
              <w:left w:val="nil"/>
              <w:bottom w:val="nil"/>
              <w:right w:val="nil"/>
            </w:tcBorders>
            <w:shd w:val="clear" w:color="auto" w:fill="FFFFFF"/>
            <w:vAlign w:val="center"/>
          </w:tcPr>
          <w:p w14:paraId="3F72D073">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Shelving, reading tables, café, air conditioning, staffed, no purchase required for entry</w:t>
            </w:r>
          </w:p>
        </w:tc>
        <w:tc>
          <w:tcPr>
            <w:tcW w:w="396" w:type="pct"/>
            <w:tcBorders>
              <w:top w:val="nil"/>
              <w:left w:val="nil"/>
              <w:bottom w:val="nil"/>
              <w:right w:val="nil"/>
            </w:tcBorders>
            <w:shd w:val="clear" w:color="auto" w:fill="FFFFFF"/>
            <w:vAlign w:val="center"/>
          </w:tcPr>
          <w:p w14:paraId="3737121A">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III</w:t>
            </w:r>
          </w:p>
        </w:tc>
      </w:tr>
      <w:tr w14:paraId="228DD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 w:type="pct"/>
            <w:tcBorders>
              <w:top w:val="nil"/>
              <w:left w:val="nil"/>
              <w:bottom w:val="nil"/>
              <w:right w:val="single" w:color="000000" w:sz="12" w:space="0"/>
            </w:tcBorders>
            <w:shd w:val="clear" w:color="auto" w:fill="FFFFFF"/>
            <w:vAlign w:val="center"/>
          </w:tcPr>
          <w:p w14:paraId="7E117252">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R03</w:t>
            </w:r>
          </w:p>
        </w:tc>
        <w:tc>
          <w:tcPr>
            <w:tcW w:w="740" w:type="pct"/>
            <w:tcBorders>
              <w:top w:val="nil"/>
              <w:left w:val="nil"/>
              <w:bottom w:val="nil"/>
              <w:right w:val="nil"/>
            </w:tcBorders>
            <w:shd w:val="clear" w:color="auto" w:fill="FFFFFF"/>
            <w:vAlign w:val="center"/>
          </w:tcPr>
          <w:p w14:paraId="78BAEAAB">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Yuzhong</w:t>
            </w:r>
          </w:p>
        </w:tc>
        <w:tc>
          <w:tcPr>
            <w:tcW w:w="839" w:type="pct"/>
            <w:tcBorders>
              <w:top w:val="nil"/>
              <w:left w:val="nil"/>
              <w:bottom w:val="nil"/>
              <w:right w:val="nil"/>
            </w:tcBorders>
            <w:shd w:val="clear" w:color="auto" w:fill="FFFFFF"/>
            <w:vAlign w:val="center"/>
          </w:tcPr>
          <w:p w14:paraId="7C611885">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Restaurant (adaptive reuse)</w:t>
            </w:r>
          </w:p>
        </w:tc>
        <w:tc>
          <w:tcPr>
            <w:tcW w:w="1381" w:type="pct"/>
            <w:tcBorders>
              <w:top w:val="nil"/>
              <w:left w:val="nil"/>
              <w:bottom w:val="nil"/>
              <w:right w:val="nil"/>
            </w:tcBorders>
            <w:shd w:val="clear" w:color="auto" w:fill="FFFFFF"/>
            <w:vAlign w:val="center"/>
          </w:tcPr>
          <w:p w14:paraId="29993338">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Street-level, wide entrance, clear signage, host station</w:t>
            </w:r>
          </w:p>
        </w:tc>
        <w:tc>
          <w:tcPr>
            <w:tcW w:w="1252" w:type="pct"/>
            <w:tcBorders>
              <w:top w:val="nil"/>
              <w:left w:val="nil"/>
              <w:bottom w:val="nil"/>
              <w:right w:val="nil"/>
            </w:tcBorders>
            <w:shd w:val="clear" w:color="auto" w:fill="FFFFFF"/>
            <w:vAlign w:val="center"/>
          </w:tcPr>
          <w:p w14:paraId="34A0C67F">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Booths, tables, full service, air conditioning, heritage display, staffed, purchase required</w:t>
            </w:r>
          </w:p>
        </w:tc>
        <w:tc>
          <w:tcPr>
            <w:tcW w:w="396" w:type="pct"/>
            <w:tcBorders>
              <w:top w:val="nil"/>
              <w:left w:val="nil"/>
              <w:bottom w:val="nil"/>
              <w:right w:val="nil"/>
            </w:tcBorders>
            <w:shd w:val="clear" w:color="auto" w:fill="FFFFFF"/>
            <w:vAlign w:val="center"/>
          </w:tcPr>
          <w:p w14:paraId="174BF959">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III</w:t>
            </w:r>
          </w:p>
        </w:tc>
      </w:tr>
      <w:tr w14:paraId="4ED58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 w:type="pct"/>
            <w:tcBorders>
              <w:top w:val="nil"/>
              <w:left w:val="nil"/>
              <w:bottom w:val="single" w:color="000000" w:sz="12" w:space="0"/>
              <w:right w:val="single" w:color="000000" w:sz="12" w:space="0"/>
            </w:tcBorders>
            <w:shd w:val="clear" w:color="auto" w:fill="FFFFFF"/>
            <w:vAlign w:val="center"/>
          </w:tcPr>
          <w:p w14:paraId="68A9AF2E">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R04</w:t>
            </w:r>
          </w:p>
        </w:tc>
        <w:tc>
          <w:tcPr>
            <w:tcW w:w="740" w:type="pct"/>
            <w:tcBorders>
              <w:top w:val="nil"/>
              <w:left w:val="nil"/>
              <w:bottom w:val="single" w:color="000000" w:sz="12" w:space="0"/>
              <w:right w:val="nil"/>
            </w:tcBorders>
            <w:shd w:val="clear" w:color="auto" w:fill="FFFFFF"/>
            <w:vAlign w:val="center"/>
          </w:tcPr>
          <w:p w14:paraId="1F292A4D">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Jiangbei</w:t>
            </w:r>
          </w:p>
        </w:tc>
        <w:tc>
          <w:tcPr>
            <w:tcW w:w="839" w:type="pct"/>
            <w:tcBorders>
              <w:top w:val="nil"/>
              <w:left w:val="nil"/>
              <w:bottom w:val="single" w:color="000000" w:sz="12" w:space="0"/>
              <w:right w:val="nil"/>
            </w:tcBorders>
            <w:shd w:val="clear" w:color="auto" w:fill="FFFFFF"/>
            <w:vAlign w:val="center"/>
          </w:tcPr>
          <w:p w14:paraId="2EDFFC72">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Cultural-exhibition space (adaptive reuse)</w:t>
            </w:r>
          </w:p>
        </w:tc>
        <w:tc>
          <w:tcPr>
            <w:tcW w:w="1381" w:type="pct"/>
            <w:tcBorders>
              <w:top w:val="nil"/>
              <w:left w:val="nil"/>
              <w:bottom w:val="single" w:color="000000" w:sz="12" w:space="0"/>
              <w:right w:val="nil"/>
            </w:tcBorders>
            <w:shd w:val="clear" w:color="auto" w:fill="FFFFFF"/>
            <w:vAlign w:val="center"/>
          </w:tcPr>
          <w:p w14:paraId="62E9EEF7">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Descending 18 steps, signage present, narrow entrance</w:t>
            </w:r>
          </w:p>
        </w:tc>
        <w:tc>
          <w:tcPr>
            <w:tcW w:w="1252" w:type="pct"/>
            <w:tcBorders>
              <w:top w:val="nil"/>
              <w:left w:val="nil"/>
              <w:bottom w:val="single" w:color="000000" w:sz="12" w:space="0"/>
              <w:right w:val="nil"/>
            </w:tcBorders>
            <w:shd w:val="clear" w:color="auto" w:fill="FFFFFF"/>
            <w:vAlign w:val="center"/>
          </w:tcPr>
          <w:p w14:paraId="1391CBA4">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Exhibition panels, benches, lighting, staffed, entry free (timed tickets)</w:t>
            </w:r>
          </w:p>
        </w:tc>
        <w:tc>
          <w:tcPr>
            <w:tcW w:w="396" w:type="pct"/>
            <w:tcBorders>
              <w:top w:val="nil"/>
              <w:left w:val="nil"/>
              <w:bottom w:val="single" w:color="000000" w:sz="12" w:space="0"/>
              <w:right w:val="nil"/>
            </w:tcBorders>
            <w:shd w:val="clear" w:color="auto" w:fill="FFFFFF"/>
            <w:vAlign w:val="center"/>
          </w:tcPr>
          <w:p w14:paraId="3646DF07">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III</w:t>
            </w:r>
          </w:p>
        </w:tc>
      </w:tr>
    </w:tbl>
    <w:p w14:paraId="20CA88CC">
      <w:pPr>
        <w:pStyle w:val="164"/>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b w:val="0"/>
          <w:i w:val="0"/>
          <w:color w:val="000000"/>
          <w:sz w:val="24"/>
          <w:szCs w:val="24"/>
        </w:rPr>
      </w:pPr>
      <w:r>
        <w:rPr>
          <w:rFonts w:hint="default" w:ascii="Times New Roman" w:hAnsi="Times New Roman" w:eastAsia="Times New Roman" w:cs="Times New Roman"/>
          <w:b w:val="0"/>
          <w:i/>
          <w:color w:val="000000"/>
          <w:sz w:val="24"/>
          <w:szCs w:val="24"/>
        </w:rPr>
        <w:t>Note.</w:t>
      </w:r>
      <w:r>
        <w:rPr>
          <w:rFonts w:hint="default" w:ascii="Times New Roman" w:hAnsi="Times New Roman" w:eastAsia="Times New Roman" w:cs="Times New Roman"/>
          <w:b w:val="0"/>
          <w:i w:val="0"/>
          <w:color w:val="000000"/>
          <w:sz w:val="24"/>
          <w:szCs w:val="24"/>
        </w:rPr>
        <w:t xml:space="preserve"> Observation coverage is reported at corpus level in Section 3.3; the table is intentionally restricted to stable site characteristics and analytical roles; observation exposure is reported at corpus level because the comparison is not weighted by site-level observation hours.</w:t>
      </w:r>
    </w:p>
    <w:p w14:paraId="38EB5FE9">
      <w:pPr>
        <w:pStyle w:val="164"/>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b w:val="0"/>
          <w:i w:val="0"/>
          <w:color w:val="000000"/>
          <w:sz w:val="24"/>
          <w:szCs w:val="24"/>
        </w:rPr>
      </w:pPr>
    </w:p>
    <w:p w14:paraId="66EA00F4">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color w:val="000000"/>
          <w:sz w:val="24"/>
          <w:szCs w:val="24"/>
        </w:rPr>
      </w:pPr>
      <w:r>
        <w:rPr>
          <w:rFonts w:hint="default" w:ascii="Times New Roman" w:hAnsi="Times New Roman" w:eastAsia="Times New Roman" w:cs="Times New Roman"/>
          <w:color w:val="000000"/>
          <w:sz w:val="24"/>
          <w:szCs w:val="24"/>
        </w:rPr>
        <w:t>These characteristics document the purposive contrasts in access, amenities, management, and reuse that informed case selection.</w:t>
      </w:r>
    </w:p>
    <w:p w14:paraId="141E7B5E">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color w:val="000000"/>
          <w:sz w:val="24"/>
          <w:szCs w:val="24"/>
        </w:rPr>
      </w:pPr>
    </w:p>
    <w:p w14:paraId="5599A987">
      <w:pPr>
        <w:pStyle w:val="4"/>
        <w:keepNext/>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8"/>
          <w:szCs w:val="28"/>
        </w:rPr>
      </w:pPr>
      <w:r>
        <w:rPr>
          <w:rFonts w:hint="default" w:ascii="Times New Roman" w:hAnsi="Times New Roman" w:eastAsia="Times New Roman" w:cs="Times New Roman"/>
          <w:b/>
          <w:i w:val="0"/>
          <w:color w:val="000000"/>
          <w:sz w:val="28"/>
          <w:szCs w:val="28"/>
        </w:rPr>
        <w:t>Appendix D. Participant metadata and recruitment audit</w:t>
      </w:r>
    </w:p>
    <w:p w14:paraId="643B989D">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i w:val="0"/>
          <w:color w:val="000000"/>
          <w:sz w:val="24"/>
          <w:szCs w:val="24"/>
        </w:rPr>
        <w:t>Appendix Table A2 provides a de-identified sample of participant metadata for the evidence-bearing interviews cited in the main text.</w:t>
      </w:r>
    </w:p>
    <w:p w14:paraId="3587D041">
      <w:pPr>
        <w:pStyle w:val="164"/>
        <w:pageBreakBefore w:val="0"/>
        <w:widowControl/>
        <w:kinsoku/>
        <w:wordWrap/>
        <w:overflowPunct/>
        <w:topLinePunct w:val="0"/>
        <w:autoSpaceDE/>
        <w:autoSpaceDN/>
        <w:bidi w:val="0"/>
        <w:adjustRightInd/>
        <w:snapToGrid/>
        <w:spacing w:before="0" w:after="160" w:line="240" w:lineRule="auto"/>
        <w:ind w:left="0" w:firstLine="0"/>
        <w:jc w:val="center"/>
        <w:textAlignment w:val="auto"/>
        <w:rPr>
          <w:rFonts w:hint="default" w:ascii="Times New Roman" w:hAnsi="Times New Roman" w:eastAsia="Times New Roman" w:cs="Times New Roman"/>
          <w:b/>
          <w:i w:val="0"/>
          <w:color w:val="000000"/>
          <w:sz w:val="24"/>
          <w:szCs w:val="24"/>
        </w:rPr>
      </w:pPr>
    </w:p>
    <w:p w14:paraId="176F2C44">
      <w:pPr>
        <w:pStyle w:val="164"/>
        <w:pageBreakBefore w:val="0"/>
        <w:widowControl/>
        <w:kinsoku/>
        <w:wordWrap/>
        <w:overflowPunct/>
        <w:topLinePunct w:val="0"/>
        <w:autoSpaceDE/>
        <w:autoSpaceDN/>
        <w:bidi w:val="0"/>
        <w:adjustRightInd/>
        <w:snapToGrid/>
        <w:spacing w:before="0" w:after="160" w:line="240" w:lineRule="auto"/>
        <w:ind w:left="0" w:firstLine="0"/>
        <w:jc w:val="center"/>
        <w:textAlignment w:val="auto"/>
        <w:rPr>
          <w:rFonts w:hint="default" w:ascii="Times New Roman" w:hAnsi="Times New Roman" w:cs="Times New Roman"/>
          <w:sz w:val="24"/>
          <w:szCs w:val="24"/>
        </w:rPr>
      </w:pPr>
      <w:r>
        <w:rPr>
          <w:rFonts w:hint="default" w:ascii="Times New Roman" w:hAnsi="Times New Roman" w:eastAsia="Times New Roman" w:cs="Times New Roman"/>
          <w:b/>
          <w:i w:val="0"/>
          <w:color w:val="000000"/>
          <w:sz w:val="24"/>
          <w:szCs w:val="24"/>
        </w:rPr>
        <w:t>Table A2.</w:t>
      </w:r>
      <w:r>
        <w:rPr>
          <w:rFonts w:hint="default" w:ascii="Times New Roman" w:hAnsi="Times New Roman" w:eastAsia="Times New Roman" w:cs="Times New Roman"/>
          <w:b w:val="0"/>
          <w:i w:val="0"/>
          <w:color w:val="000000"/>
          <w:sz w:val="24"/>
          <w:szCs w:val="24"/>
        </w:rPr>
        <w:t xml:space="preserve"> De-identified participant audit for selected evidence-bearing interviews.</w:t>
      </w:r>
    </w:p>
    <w:tbl>
      <w:tblPr>
        <w:tblStyle w:val="32"/>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2"/>
        <w:gridCol w:w="1378"/>
        <w:gridCol w:w="565"/>
        <w:gridCol w:w="739"/>
        <w:gridCol w:w="890"/>
        <w:gridCol w:w="1517"/>
        <w:gridCol w:w="1342"/>
        <w:gridCol w:w="1437"/>
        <w:gridCol w:w="762"/>
      </w:tblGrid>
      <w:tr w14:paraId="52FB2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tblHeader/>
          <w:jc w:val="center"/>
        </w:trPr>
        <w:tc>
          <w:tcPr>
            <w:tcW w:w="342" w:type="pct"/>
            <w:tcBorders>
              <w:top w:val="single" w:color="000000" w:sz="12" w:space="0"/>
              <w:left w:val="nil"/>
              <w:bottom w:val="single" w:color="000000" w:sz="8" w:space="0"/>
              <w:right w:val="single" w:color="000000" w:sz="12" w:space="0"/>
            </w:tcBorders>
            <w:shd w:val="clear" w:color="auto" w:fill="FFFFFF"/>
            <w:vAlign w:val="center"/>
          </w:tcPr>
          <w:p w14:paraId="50C4A3B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ID</w:t>
            </w:r>
          </w:p>
        </w:tc>
        <w:tc>
          <w:tcPr>
            <w:tcW w:w="780" w:type="pct"/>
            <w:tcBorders>
              <w:top w:val="single" w:color="000000" w:sz="12" w:space="0"/>
              <w:left w:val="nil"/>
              <w:bottom w:val="single" w:color="000000" w:sz="8" w:space="0"/>
              <w:right w:val="nil"/>
            </w:tcBorders>
            <w:shd w:val="clear" w:color="auto" w:fill="FFFFFF"/>
            <w:vAlign w:val="center"/>
          </w:tcPr>
          <w:p w14:paraId="59C0F30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Actor group</w:t>
            </w:r>
          </w:p>
        </w:tc>
        <w:tc>
          <w:tcPr>
            <w:tcW w:w="316" w:type="pct"/>
            <w:tcBorders>
              <w:top w:val="single" w:color="000000" w:sz="12" w:space="0"/>
              <w:left w:val="nil"/>
              <w:bottom w:val="single" w:color="000000" w:sz="8" w:space="0"/>
              <w:right w:val="nil"/>
            </w:tcBorders>
            <w:shd w:val="clear" w:color="auto" w:fill="FFFFFF"/>
            <w:vAlign w:val="center"/>
          </w:tcPr>
          <w:p w14:paraId="4C532EF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Site link</w:t>
            </w:r>
          </w:p>
        </w:tc>
        <w:tc>
          <w:tcPr>
            <w:tcW w:w="415" w:type="pct"/>
            <w:tcBorders>
              <w:top w:val="single" w:color="000000" w:sz="12" w:space="0"/>
              <w:left w:val="nil"/>
              <w:bottom w:val="single" w:color="000000" w:sz="8" w:space="0"/>
              <w:right w:val="nil"/>
            </w:tcBorders>
            <w:shd w:val="clear" w:color="auto" w:fill="FFFFFF"/>
            <w:vAlign w:val="center"/>
          </w:tcPr>
          <w:p w14:paraId="6297EB0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Age band</w:t>
            </w:r>
          </w:p>
        </w:tc>
        <w:tc>
          <w:tcPr>
            <w:tcW w:w="468" w:type="pct"/>
            <w:tcBorders>
              <w:top w:val="single" w:color="000000" w:sz="12" w:space="0"/>
              <w:left w:val="nil"/>
              <w:bottom w:val="single" w:color="000000" w:sz="8" w:space="0"/>
              <w:right w:val="nil"/>
            </w:tcBorders>
            <w:shd w:val="clear" w:color="auto" w:fill="FFFFFF"/>
            <w:vAlign w:val="center"/>
          </w:tcPr>
          <w:p w14:paraId="64458EA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Gender</w:t>
            </w:r>
          </w:p>
        </w:tc>
        <w:tc>
          <w:tcPr>
            <w:tcW w:w="813" w:type="pct"/>
            <w:tcBorders>
              <w:top w:val="single" w:color="000000" w:sz="12" w:space="0"/>
              <w:left w:val="nil"/>
              <w:bottom w:val="single" w:color="000000" w:sz="8" w:space="0"/>
              <w:right w:val="nil"/>
            </w:tcBorders>
            <w:shd w:val="clear" w:color="auto" w:fill="FFFFFF"/>
            <w:vAlign w:val="center"/>
          </w:tcPr>
          <w:p w14:paraId="3812830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Use frequency/role</w:t>
            </w:r>
          </w:p>
        </w:tc>
        <w:tc>
          <w:tcPr>
            <w:tcW w:w="707" w:type="pct"/>
            <w:tcBorders>
              <w:top w:val="single" w:color="000000" w:sz="12" w:space="0"/>
              <w:left w:val="nil"/>
              <w:bottom w:val="single" w:color="000000" w:sz="8" w:space="0"/>
              <w:right w:val="nil"/>
            </w:tcBorders>
            <w:shd w:val="clear" w:color="auto" w:fill="FFFFFF"/>
            <w:vAlign w:val="center"/>
          </w:tcPr>
          <w:p w14:paraId="04FFB0B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Recruitment route</w:t>
            </w:r>
          </w:p>
        </w:tc>
        <w:tc>
          <w:tcPr>
            <w:tcW w:w="747" w:type="pct"/>
            <w:tcBorders>
              <w:top w:val="single" w:color="000000" w:sz="12" w:space="0"/>
              <w:left w:val="nil"/>
              <w:bottom w:val="single" w:color="000000" w:sz="8" w:space="0"/>
              <w:right w:val="nil"/>
            </w:tcBorders>
            <w:shd w:val="clear" w:color="auto" w:fill="FFFFFF"/>
            <w:vAlign w:val="center"/>
          </w:tcPr>
          <w:p w14:paraId="176A0AE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Interview date/duration</w:t>
            </w:r>
          </w:p>
        </w:tc>
        <w:tc>
          <w:tcPr>
            <w:tcW w:w="409" w:type="pct"/>
            <w:tcBorders>
              <w:top w:val="single" w:color="000000" w:sz="12" w:space="0"/>
              <w:left w:val="nil"/>
              <w:bottom w:val="single" w:color="000000" w:sz="8" w:space="0"/>
              <w:right w:val="nil"/>
            </w:tcBorders>
            <w:shd w:val="clear" w:color="auto" w:fill="FFFFFF"/>
            <w:vAlign w:val="center"/>
          </w:tcPr>
          <w:p w14:paraId="67AA248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Quote IDs</w:t>
            </w:r>
          </w:p>
        </w:tc>
      </w:tr>
      <w:tr w14:paraId="5EE5A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42" w:type="pct"/>
            <w:tcBorders>
              <w:top w:val="nil"/>
              <w:left w:val="nil"/>
              <w:bottom w:val="nil"/>
              <w:right w:val="single" w:color="000000" w:sz="12" w:space="0"/>
            </w:tcBorders>
            <w:shd w:val="clear" w:color="auto" w:fill="FFFFFF"/>
            <w:vAlign w:val="center"/>
          </w:tcPr>
          <w:p w14:paraId="5CC7AFD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U01</w:t>
            </w:r>
          </w:p>
        </w:tc>
        <w:tc>
          <w:tcPr>
            <w:tcW w:w="780" w:type="pct"/>
            <w:tcBorders>
              <w:top w:val="nil"/>
              <w:left w:val="nil"/>
              <w:bottom w:val="nil"/>
              <w:right w:val="nil"/>
            </w:tcBorders>
            <w:shd w:val="clear" w:color="auto" w:fill="FFFFFF"/>
            <w:vAlign w:val="center"/>
          </w:tcPr>
          <w:p w14:paraId="1D1B63B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User</w:t>
            </w:r>
          </w:p>
        </w:tc>
        <w:tc>
          <w:tcPr>
            <w:tcW w:w="316" w:type="pct"/>
            <w:tcBorders>
              <w:top w:val="nil"/>
              <w:left w:val="nil"/>
              <w:bottom w:val="nil"/>
              <w:right w:val="nil"/>
            </w:tcBorders>
            <w:shd w:val="clear" w:color="auto" w:fill="FFFFFF"/>
            <w:vAlign w:val="center"/>
          </w:tcPr>
          <w:p w14:paraId="231253B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S01</w:t>
            </w:r>
          </w:p>
        </w:tc>
        <w:tc>
          <w:tcPr>
            <w:tcW w:w="415" w:type="pct"/>
            <w:tcBorders>
              <w:top w:val="nil"/>
              <w:left w:val="nil"/>
              <w:bottom w:val="nil"/>
              <w:right w:val="nil"/>
            </w:tcBorders>
            <w:shd w:val="clear" w:color="auto" w:fill="FFFFFF"/>
            <w:vAlign w:val="center"/>
          </w:tcPr>
          <w:p w14:paraId="4D5AF2B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70–74</w:t>
            </w:r>
          </w:p>
        </w:tc>
        <w:tc>
          <w:tcPr>
            <w:tcW w:w="468" w:type="pct"/>
            <w:tcBorders>
              <w:top w:val="nil"/>
              <w:left w:val="nil"/>
              <w:bottom w:val="nil"/>
              <w:right w:val="nil"/>
            </w:tcBorders>
            <w:shd w:val="clear" w:color="auto" w:fill="FFFFFF"/>
            <w:vAlign w:val="center"/>
          </w:tcPr>
          <w:p w14:paraId="5A49855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w:t>
            </w:r>
          </w:p>
        </w:tc>
        <w:tc>
          <w:tcPr>
            <w:tcW w:w="813" w:type="pct"/>
            <w:tcBorders>
              <w:top w:val="nil"/>
              <w:left w:val="nil"/>
              <w:bottom w:val="nil"/>
              <w:right w:val="nil"/>
            </w:tcBorders>
            <w:shd w:val="clear" w:color="auto" w:fill="FFFFFF"/>
            <w:vAlign w:val="center"/>
          </w:tcPr>
          <w:p w14:paraId="27466ED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Daily, retired</w:t>
            </w:r>
          </w:p>
        </w:tc>
        <w:tc>
          <w:tcPr>
            <w:tcW w:w="707" w:type="pct"/>
            <w:tcBorders>
              <w:top w:val="nil"/>
              <w:left w:val="nil"/>
              <w:bottom w:val="nil"/>
              <w:right w:val="nil"/>
            </w:tcBorders>
            <w:shd w:val="clear" w:color="auto" w:fill="FFFFFF"/>
            <w:vAlign w:val="center"/>
          </w:tcPr>
          <w:p w14:paraId="1569963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On-site approach</w:t>
            </w:r>
          </w:p>
        </w:tc>
        <w:tc>
          <w:tcPr>
            <w:tcW w:w="747" w:type="pct"/>
            <w:tcBorders>
              <w:top w:val="nil"/>
              <w:left w:val="nil"/>
              <w:bottom w:val="nil"/>
              <w:right w:val="nil"/>
            </w:tcBorders>
            <w:shd w:val="clear" w:color="auto" w:fill="FFFFFF"/>
            <w:vAlign w:val="center"/>
          </w:tcPr>
          <w:p w14:paraId="3983BC0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 Jul, 35 min</w:t>
            </w:r>
          </w:p>
        </w:tc>
        <w:tc>
          <w:tcPr>
            <w:tcW w:w="409" w:type="pct"/>
            <w:tcBorders>
              <w:top w:val="nil"/>
              <w:left w:val="nil"/>
              <w:bottom w:val="nil"/>
              <w:right w:val="nil"/>
            </w:tcBorders>
            <w:shd w:val="clear" w:color="auto" w:fill="FFFFFF"/>
            <w:vAlign w:val="center"/>
          </w:tcPr>
          <w:p w14:paraId="481930E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w:t>
            </w:r>
          </w:p>
        </w:tc>
      </w:tr>
      <w:tr w14:paraId="0D054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42" w:type="pct"/>
            <w:tcBorders>
              <w:top w:val="nil"/>
              <w:left w:val="nil"/>
              <w:bottom w:val="nil"/>
              <w:right w:val="single" w:color="000000" w:sz="12" w:space="0"/>
            </w:tcBorders>
            <w:shd w:val="clear" w:color="auto" w:fill="FFFFFF"/>
            <w:vAlign w:val="center"/>
          </w:tcPr>
          <w:p w14:paraId="760E700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U02</w:t>
            </w:r>
          </w:p>
        </w:tc>
        <w:tc>
          <w:tcPr>
            <w:tcW w:w="780" w:type="pct"/>
            <w:tcBorders>
              <w:top w:val="nil"/>
              <w:left w:val="nil"/>
              <w:bottom w:val="nil"/>
              <w:right w:val="nil"/>
            </w:tcBorders>
            <w:shd w:val="clear" w:color="auto" w:fill="FFFFFF"/>
            <w:vAlign w:val="center"/>
          </w:tcPr>
          <w:p w14:paraId="180467C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User</w:t>
            </w:r>
          </w:p>
        </w:tc>
        <w:tc>
          <w:tcPr>
            <w:tcW w:w="316" w:type="pct"/>
            <w:tcBorders>
              <w:top w:val="nil"/>
              <w:left w:val="nil"/>
              <w:bottom w:val="nil"/>
              <w:right w:val="nil"/>
            </w:tcBorders>
            <w:shd w:val="clear" w:color="auto" w:fill="FFFFFF"/>
            <w:vAlign w:val="center"/>
          </w:tcPr>
          <w:p w14:paraId="53C7E5F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S01</w:t>
            </w:r>
          </w:p>
        </w:tc>
        <w:tc>
          <w:tcPr>
            <w:tcW w:w="415" w:type="pct"/>
            <w:tcBorders>
              <w:top w:val="nil"/>
              <w:left w:val="nil"/>
              <w:bottom w:val="nil"/>
              <w:right w:val="nil"/>
            </w:tcBorders>
            <w:shd w:val="clear" w:color="auto" w:fill="FFFFFF"/>
            <w:vAlign w:val="center"/>
          </w:tcPr>
          <w:p w14:paraId="6E8AD33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70–74</w:t>
            </w:r>
          </w:p>
        </w:tc>
        <w:tc>
          <w:tcPr>
            <w:tcW w:w="468" w:type="pct"/>
            <w:tcBorders>
              <w:top w:val="nil"/>
              <w:left w:val="nil"/>
              <w:bottom w:val="nil"/>
              <w:right w:val="nil"/>
            </w:tcBorders>
            <w:shd w:val="clear" w:color="auto" w:fill="FFFFFF"/>
            <w:vAlign w:val="center"/>
          </w:tcPr>
          <w:p w14:paraId="72CB2E9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w:t>
            </w:r>
          </w:p>
        </w:tc>
        <w:tc>
          <w:tcPr>
            <w:tcW w:w="813" w:type="pct"/>
            <w:tcBorders>
              <w:top w:val="nil"/>
              <w:left w:val="nil"/>
              <w:bottom w:val="nil"/>
              <w:right w:val="nil"/>
            </w:tcBorders>
            <w:shd w:val="clear" w:color="auto" w:fill="FFFFFF"/>
            <w:vAlign w:val="center"/>
          </w:tcPr>
          <w:p w14:paraId="58C1648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Daily, retired</w:t>
            </w:r>
          </w:p>
        </w:tc>
        <w:tc>
          <w:tcPr>
            <w:tcW w:w="707" w:type="pct"/>
            <w:tcBorders>
              <w:top w:val="nil"/>
              <w:left w:val="nil"/>
              <w:bottom w:val="nil"/>
              <w:right w:val="nil"/>
            </w:tcBorders>
            <w:shd w:val="clear" w:color="auto" w:fill="FFFFFF"/>
            <w:vAlign w:val="center"/>
          </w:tcPr>
          <w:p w14:paraId="29FBF44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On-site approach</w:t>
            </w:r>
          </w:p>
        </w:tc>
        <w:tc>
          <w:tcPr>
            <w:tcW w:w="747" w:type="pct"/>
            <w:tcBorders>
              <w:top w:val="nil"/>
              <w:left w:val="nil"/>
              <w:bottom w:val="nil"/>
              <w:right w:val="nil"/>
            </w:tcBorders>
            <w:shd w:val="clear" w:color="auto" w:fill="FFFFFF"/>
            <w:vAlign w:val="center"/>
          </w:tcPr>
          <w:p w14:paraId="6E3EC87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 Jul, 42 min</w:t>
            </w:r>
          </w:p>
        </w:tc>
        <w:tc>
          <w:tcPr>
            <w:tcW w:w="409" w:type="pct"/>
            <w:tcBorders>
              <w:top w:val="nil"/>
              <w:left w:val="nil"/>
              <w:bottom w:val="nil"/>
              <w:right w:val="nil"/>
            </w:tcBorders>
            <w:shd w:val="clear" w:color="auto" w:fill="FFFFFF"/>
            <w:vAlign w:val="center"/>
          </w:tcPr>
          <w:p w14:paraId="436A63D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Q10</w:t>
            </w:r>
          </w:p>
        </w:tc>
      </w:tr>
      <w:tr w14:paraId="65BC1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2" w:type="pct"/>
            <w:tcBorders>
              <w:top w:val="nil"/>
              <w:left w:val="nil"/>
              <w:bottom w:val="nil"/>
              <w:right w:val="single" w:color="000000" w:sz="12" w:space="0"/>
            </w:tcBorders>
            <w:shd w:val="clear" w:color="auto" w:fill="FFFFFF"/>
            <w:vAlign w:val="center"/>
          </w:tcPr>
          <w:p w14:paraId="6177F09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U04</w:t>
            </w:r>
          </w:p>
        </w:tc>
        <w:tc>
          <w:tcPr>
            <w:tcW w:w="780" w:type="pct"/>
            <w:tcBorders>
              <w:top w:val="nil"/>
              <w:left w:val="nil"/>
              <w:bottom w:val="nil"/>
              <w:right w:val="nil"/>
            </w:tcBorders>
            <w:shd w:val="clear" w:color="auto" w:fill="FFFFFF"/>
            <w:vAlign w:val="center"/>
          </w:tcPr>
          <w:p w14:paraId="470C0CC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User</w:t>
            </w:r>
          </w:p>
        </w:tc>
        <w:tc>
          <w:tcPr>
            <w:tcW w:w="316" w:type="pct"/>
            <w:tcBorders>
              <w:top w:val="nil"/>
              <w:left w:val="nil"/>
              <w:bottom w:val="nil"/>
              <w:right w:val="nil"/>
            </w:tcBorders>
            <w:shd w:val="clear" w:color="auto" w:fill="FFFFFF"/>
            <w:vAlign w:val="center"/>
          </w:tcPr>
          <w:p w14:paraId="38B74E8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S02</w:t>
            </w:r>
          </w:p>
        </w:tc>
        <w:tc>
          <w:tcPr>
            <w:tcW w:w="415" w:type="pct"/>
            <w:tcBorders>
              <w:top w:val="nil"/>
              <w:left w:val="nil"/>
              <w:bottom w:val="nil"/>
              <w:right w:val="nil"/>
            </w:tcBorders>
            <w:shd w:val="clear" w:color="auto" w:fill="FFFFFF"/>
            <w:vAlign w:val="center"/>
          </w:tcPr>
          <w:p w14:paraId="2609B9D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70–74</w:t>
            </w:r>
          </w:p>
        </w:tc>
        <w:tc>
          <w:tcPr>
            <w:tcW w:w="468" w:type="pct"/>
            <w:tcBorders>
              <w:top w:val="nil"/>
              <w:left w:val="nil"/>
              <w:bottom w:val="nil"/>
              <w:right w:val="nil"/>
            </w:tcBorders>
            <w:shd w:val="clear" w:color="auto" w:fill="FFFFFF"/>
            <w:vAlign w:val="center"/>
          </w:tcPr>
          <w:p w14:paraId="4C3D827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w:t>
            </w:r>
          </w:p>
        </w:tc>
        <w:tc>
          <w:tcPr>
            <w:tcW w:w="813" w:type="pct"/>
            <w:tcBorders>
              <w:top w:val="nil"/>
              <w:left w:val="nil"/>
              <w:bottom w:val="nil"/>
              <w:right w:val="nil"/>
            </w:tcBorders>
            <w:shd w:val="clear" w:color="auto" w:fill="FFFFFF"/>
            <w:vAlign w:val="center"/>
          </w:tcPr>
          <w:p w14:paraId="09BC114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4–5×/wk, retired</w:t>
            </w:r>
          </w:p>
        </w:tc>
        <w:tc>
          <w:tcPr>
            <w:tcW w:w="707" w:type="pct"/>
            <w:tcBorders>
              <w:top w:val="nil"/>
              <w:left w:val="nil"/>
              <w:bottom w:val="nil"/>
              <w:right w:val="nil"/>
            </w:tcBorders>
            <w:shd w:val="clear" w:color="auto" w:fill="FFFFFF"/>
            <w:vAlign w:val="center"/>
          </w:tcPr>
          <w:p w14:paraId="4997333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On-site approach</w:t>
            </w:r>
          </w:p>
        </w:tc>
        <w:tc>
          <w:tcPr>
            <w:tcW w:w="747" w:type="pct"/>
            <w:tcBorders>
              <w:top w:val="nil"/>
              <w:left w:val="nil"/>
              <w:bottom w:val="nil"/>
              <w:right w:val="nil"/>
            </w:tcBorders>
            <w:shd w:val="clear" w:color="auto" w:fill="FFFFFF"/>
            <w:vAlign w:val="center"/>
          </w:tcPr>
          <w:p w14:paraId="0098152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 Jul, 38 min</w:t>
            </w:r>
          </w:p>
        </w:tc>
        <w:tc>
          <w:tcPr>
            <w:tcW w:w="409" w:type="pct"/>
            <w:tcBorders>
              <w:top w:val="nil"/>
              <w:left w:val="nil"/>
              <w:bottom w:val="nil"/>
              <w:right w:val="nil"/>
            </w:tcBorders>
            <w:shd w:val="clear" w:color="auto" w:fill="FFFFFF"/>
            <w:vAlign w:val="center"/>
          </w:tcPr>
          <w:p w14:paraId="269FCCB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Q1</w:t>
            </w:r>
          </w:p>
        </w:tc>
      </w:tr>
      <w:tr w14:paraId="5F679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42" w:type="pct"/>
            <w:tcBorders>
              <w:top w:val="nil"/>
              <w:left w:val="nil"/>
              <w:bottom w:val="nil"/>
              <w:right w:val="single" w:color="000000" w:sz="12" w:space="0"/>
            </w:tcBorders>
            <w:shd w:val="clear" w:color="auto" w:fill="FFFFFF"/>
            <w:vAlign w:val="center"/>
          </w:tcPr>
          <w:p w14:paraId="5EFBD02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U06</w:t>
            </w:r>
          </w:p>
        </w:tc>
        <w:tc>
          <w:tcPr>
            <w:tcW w:w="780" w:type="pct"/>
            <w:tcBorders>
              <w:top w:val="nil"/>
              <w:left w:val="nil"/>
              <w:bottom w:val="nil"/>
              <w:right w:val="nil"/>
            </w:tcBorders>
            <w:shd w:val="clear" w:color="auto" w:fill="FFFFFF"/>
            <w:vAlign w:val="center"/>
          </w:tcPr>
          <w:p w14:paraId="102E38A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User</w:t>
            </w:r>
          </w:p>
        </w:tc>
        <w:tc>
          <w:tcPr>
            <w:tcW w:w="316" w:type="pct"/>
            <w:tcBorders>
              <w:top w:val="nil"/>
              <w:left w:val="nil"/>
              <w:bottom w:val="nil"/>
              <w:right w:val="nil"/>
            </w:tcBorders>
            <w:shd w:val="clear" w:color="auto" w:fill="FFFFFF"/>
            <w:vAlign w:val="center"/>
          </w:tcPr>
          <w:p w14:paraId="3F4A7AE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S04</w:t>
            </w:r>
          </w:p>
        </w:tc>
        <w:tc>
          <w:tcPr>
            <w:tcW w:w="415" w:type="pct"/>
            <w:tcBorders>
              <w:top w:val="nil"/>
              <w:left w:val="nil"/>
              <w:bottom w:val="nil"/>
              <w:right w:val="nil"/>
            </w:tcBorders>
            <w:shd w:val="clear" w:color="auto" w:fill="FFFFFF"/>
            <w:vAlign w:val="center"/>
          </w:tcPr>
          <w:p w14:paraId="0F4B5DF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70–74</w:t>
            </w:r>
          </w:p>
        </w:tc>
        <w:tc>
          <w:tcPr>
            <w:tcW w:w="468" w:type="pct"/>
            <w:tcBorders>
              <w:top w:val="nil"/>
              <w:left w:val="nil"/>
              <w:bottom w:val="nil"/>
              <w:right w:val="nil"/>
            </w:tcBorders>
            <w:shd w:val="clear" w:color="auto" w:fill="FFFFFF"/>
            <w:vAlign w:val="center"/>
          </w:tcPr>
          <w:p w14:paraId="36CA61E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w:t>
            </w:r>
          </w:p>
        </w:tc>
        <w:tc>
          <w:tcPr>
            <w:tcW w:w="813" w:type="pct"/>
            <w:tcBorders>
              <w:top w:val="nil"/>
              <w:left w:val="nil"/>
              <w:bottom w:val="nil"/>
              <w:right w:val="nil"/>
            </w:tcBorders>
            <w:shd w:val="clear" w:color="auto" w:fill="FFFFFF"/>
            <w:vAlign w:val="center"/>
          </w:tcPr>
          <w:p w14:paraId="37EF0E4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3–4×/wk, retired</w:t>
            </w:r>
          </w:p>
        </w:tc>
        <w:tc>
          <w:tcPr>
            <w:tcW w:w="707" w:type="pct"/>
            <w:tcBorders>
              <w:top w:val="nil"/>
              <w:left w:val="nil"/>
              <w:bottom w:val="nil"/>
              <w:right w:val="nil"/>
            </w:tcBorders>
            <w:shd w:val="clear" w:color="auto" w:fill="FFFFFF"/>
            <w:vAlign w:val="center"/>
          </w:tcPr>
          <w:p w14:paraId="59DD264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On-site approach</w:t>
            </w:r>
          </w:p>
        </w:tc>
        <w:tc>
          <w:tcPr>
            <w:tcW w:w="747" w:type="pct"/>
            <w:tcBorders>
              <w:top w:val="nil"/>
              <w:left w:val="nil"/>
              <w:bottom w:val="nil"/>
              <w:right w:val="nil"/>
            </w:tcBorders>
            <w:shd w:val="clear" w:color="auto" w:fill="FFFFFF"/>
            <w:vAlign w:val="center"/>
          </w:tcPr>
          <w:p w14:paraId="28403EE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 Jul, 41 min</w:t>
            </w:r>
          </w:p>
        </w:tc>
        <w:tc>
          <w:tcPr>
            <w:tcW w:w="409" w:type="pct"/>
            <w:tcBorders>
              <w:top w:val="nil"/>
              <w:left w:val="nil"/>
              <w:bottom w:val="nil"/>
              <w:right w:val="nil"/>
            </w:tcBorders>
            <w:shd w:val="clear" w:color="auto" w:fill="FFFFFF"/>
            <w:vAlign w:val="center"/>
          </w:tcPr>
          <w:p w14:paraId="3906837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Q4</w:t>
            </w:r>
          </w:p>
        </w:tc>
      </w:tr>
      <w:tr w14:paraId="36A69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42" w:type="pct"/>
            <w:tcBorders>
              <w:top w:val="nil"/>
              <w:left w:val="nil"/>
              <w:bottom w:val="nil"/>
              <w:right w:val="single" w:color="000000" w:sz="12" w:space="0"/>
            </w:tcBorders>
            <w:shd w:val="clear" w:color="auto" w:fill="FFFFFF"/>
            <w:vAlign w:val="center"/>
          </w:tcPr>
          <w:p w14:paraId="5881971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U07</w:t>
            </w:r>
          </w:p>
        </w:tc>
        <w:tc>
          <w:tcPr>
            <w:tcW w:w="780" w:type="pct"/>
            <w:tcBorders>
              <w:top w:val="nil"/>
              <w:left w:val="nil"/>
              <w:bottom w:val="nil"/>
              <w:right w:val="nil"/>
            </w:tcBorders>
            <w:shd w:val="clear" w:color="auto" w:fill="FFFFFF"/>
            <w:vAlign w:val="center"/>
          </w:tcPr>
          <w:p w14:paraId="1DCC1BD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User</w:t>
            </w:r>
          </w:p>
        </w:tc>
        <w:tc>
          <w:tcPr>
            <w:tcW w:w="316" w:type="pct"/>
            <w:tcBorders>
              <w:top w:val="nil"/>
              <w:left w:val="nil"/>
              <w:bottom w:val="nil"/>
              <w:right w:val="nil"/>
            </w:tcBorders>
            <w:shd w:val="clear" w:color="auto" w:fill="FFFFFF"/>
            <w:vAlign w:val="center"/>
          </w:tcPr>
          <w:p w14:paraId="2F8B853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S01</w:t>
            </w:r>
          </w:p>
        </w:tc>
        <w:tc>
          <w:tcPr>
            <w:tcW w:w="415" w:type="pct"/>
            <w:tcBorders>
              <w:top w:val="nil"/>
              <w:left w:val="nil"/>
              <w:bottom w:val="nil"/>
              <w:right w:val="nil"/>
            </w:tcBorders>
            <w:shd w:val="clear" w:color="auto" w:fill="FFFFFF"/>
            <w:vAlign w:val="center"/>
          </w:tcPr>
          <w:p w14:paraId="1C42F34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65–69</w:t>
            </w:r>
          </w:p>
        </w:tc>
        <w:tc>
          <w:tcPr>
            <w:tcW w:w="468" w:type="pct"/>
            <w:tcBorders>
              <w:top w:val="nil"/>
              <w:left w:val="nil"/>
              <w:bottom w:val="nil"/>
              <w:right w:val="nil"/>
            </w:tcBorders>
            <w:shd w:val="clear" w:color="auto" w:fill="FFFFFF"/>
            <w:vAlign w:val="center"/>
          </w:tcPr>
          <w:p w14:paraId="73E6822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w:t>
            </w:r>
          </w:p>
        </w:tc>
        <w:tc>
          <w:tcPr>
            <w:tcW w:w="813" w:type="pct"/>
            <w:tcBorders>
              <w:top w:val="nil"/>
              <w:left w:val="nil"/>
              <w:bottom w:val="nil"/>
              <w:right w:val="nil"/>
            </w:tcBorders>
            <w:shd w:val="clear" w:color="auto" w:fill="FFFFFF"/>
            <w:vAlign w:val="center"/>
          </w:tcPr>
          <w:p w14:paraId="7CFB09B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Daily, retired</w:t>
            </w:r>
          </w:p>
        </w:tc>
        <w:tc>
          <w:tcPr>
            <w:tcW w:w="707" w:type="pct"/>
            <w:tcBorders>
              <w:top w:val="nil"/>
              <w:left w:val="nil"/>
              <w:bottom w:val="nil"/>
              <w:right w:val="nil"/>
            </w:tcBorders>
            <w:shd w:val="clear" w:color="auto" w:fill="FFFFFF"/>
            <w:vAlign w:val="center"/>
          </w:tcPr>
          <w:p w14:paraId="72610B2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On-site approach</w:t>
            </w:r>
          </w:p>
        </w:tc>
        <w:tc>
          <w:tcPr>
            <w:tcW w:w="747" w:type="pct"/>
            <w:tcBorders>
              <w:top w:val="nil"/>
              <w:left w:val="nil"/>
              <w:bottom w:val="nil"/>
              <w:right w:val="nil"/>
            </w:tcBorders>
            <w:shd w:val="clear" w:color="auto" w:fill="FFFFFF"/>
            <w:vAlign w:val="center"/>
          </w:tcPr>
          <w:p w14:paraId="09F035A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 Jul, 44 min</w:t>
            </w:r>
          </w:p>
        </w:tc>
        <w:tc>
          <w:tcPr>
            <w:tcW w:w="409" w:type="pct"/>
            <w:tcBorders>
              <w:top w:val="nil"/>
              <w:left w:val="nil"/>
              <w:bottom w:val="nil"/>
              <w:right w:val="nil"/>
            </w:tcBorders>
            <w:shd w:val="clear" w:color="auto" w:fill="FFFFFF"/>
            <w:vAlign w:val="center"/>
          </w:tcPr>
          <w:p w14:paraId="70AB7E6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Q6</w:t>
            </w:r>
          </w:p>
        </w:tc>
      </w:tr>
      <w:tr w14:paraId="615DD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42" w:type="pct"/>
            <w:tcBorders>
              <w:top w:val="nil"/>
              <w:left w:val="nil"/>
              <w:bottom w:val="nil"/>
              <w:right w:val="single" w:color="000000" w:sz="12" w:space="0"/>
            </w:tcBorders>
            <w:shd w:val="clear" w:color="auto" w:fill="FFFFFF"/>
            <w:vAlign w:val="center"/>
          </w:tcPr>
          <w:p w14:paraId="718A5F5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U08</w:t>
            </w:r>
          </w:p>
        </w:tc>
        <w:tc>
          <w:tcPr>
            <w:tcW w:w="780" w:type="pct"/>
            <w:tcBorders>
              <w:top w:val="nil"/>
              <w:left w:val="nil"/>
              <w:bottom w:val="nil"/>
              <w:right w:val="nil"/>
            </w:tcBorders>
            <w:shd w:val="clear" w:color="auto" w:fill="FFFFFF"/>
            <w:vAlign w:val="center"/>
          </w:tcPr>
          <w:p w14:paraId="6FBD3D2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User</w:t>
            </w:r>
          </w:p>
        </w:tc>
        <w:tc>
          <w:tcPr>
            <w:tcW w:w="316" w:type="pct"/>
            <w:tcBorders>
              <w:top w:val="nil"/>
              <w:left w:val="nil"/>
              <w:bottom w:val="nil"/>
              <w:right w:val="nil"/>
            </w:tcBorders>
            <w:shd w:val="clear" w:color="auto" w:fill="FFFFFF"/>
            <w:vAlign w:val="center"/>
          </w:tcPr>
          <w:p w14:paraId="6442B20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S03</w:t>
            </w:r>
          </w:p>
        </w:tc>
        <w:tc>
          <w:tcPr>
            <w:tcW w:w="415" w:type="pct"/>
            <w:tcBorders>
              <w:top w:val="nil"/>
              <w:left w:val="nil"/>
              <w:bottom w:val="nil"/>
              <w:right w:val="nil"/>
            </w:tcBorders>
            <w:shd w:val="clear" w:color="auto" w:fill="FFFFFF"/>
            <w:vAlign w:val="center"/>
          </w:tcPr>
          <w:p w14:paraId="044D305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70–74</w:t>
            </w:r>
          </w:p>
        </w:tc>
        <w:tc>
          <w:tcPr>
            <w:tcW w:w="468" w:type="pct"/>
            <w:tcBorders>
              <w:top w:val="nil"/>
              <w:left w:val="nil"/>
              <w:bottom w:val="nil"/>
              <w:right w:val="nil"/>
            </w:tcBorders>
            <w:shd w:val="clear" w:color="auto" w:fill="FFFFFF"/>
            <w:vAlign w:val="center"/>
          </w:tcPr>
          <w:p w14:paraId="2D46779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w:t>
            </w:r>
          </w:p>
        </w:tc>
        <w:tc>
          <w:tcPr>
            <w:tcW w:w="813" w:type="pct"/>
            <w:tcBorders>
              <w:top w:val="nil"/>
              <w:left w:val="nil"/>
              <w:bottom w:val="nil"/>
              <w:right w:val="nil"/>
            </w:tcBorders>
            <w:shd w:val="clear" w:color="auto" w:fill="FFFFFF"/>
            <w:vAlign w:val="center"/>
          </w:tcPr>
          <w:p w14:paraId="729DAE2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5–6×/wk, retired</w:t>
            </w:r>
          </w:p>
        </w:tc>
        <w:tc>
          <w:tcPr>
            <w:tcW w:w="707" w:type="pct"/>
            <w:tcBorders>
              <w:top w:val="nil"/>
              <w:left w:val="nil"/>
              <w:bottom w:val="nil"/>
              <w:right w:val="nil"/>
            </w:tcBorders>
            <w:shd w:val="clear" w:color="auto" w:fill="FFFFFF"/>
            <w:vAlign w:val="center"/>
          </w:tcPr>
          <w:p w14:paraId="4671168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On-site approach</w:t>
            </w:r>
          </w:p>
        </w:tc>
        <w:tc>
          <w:tcPr>
            <w:tcW w:w="747" w:type="pct"/>
            <w:tcBorders>
              <w:top w:val="nil"/>
              <w:left w:val="nil"/>
              <w:bottom w:val="nil"/>
              <w:right w:val="nil"/>
            </w:tcBorders>
            <w:shd w:val="clear" w:color="auto" w:fill="FFFFFF"/>
            <w:vAlign w:val="center"/>
          </w:tcPr>
          <w:p w14:paraId="49860D5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 Jul, 39 min</w:t>
            </w:r>
          </w:p>
        </w:tc>
        <w:tc>
          <w:tcPr>
            <w:tcW w:w="409" w:type="pct"/>
            <w:tcBorders>
              <w:top w:val="nil"/>
              <w:left w:val="nil"/>
              <w:bottom w:val="nil"/>
              <w:right w:val="nil"/>
            </w:tcBorders>
            <w:shd w:val="clear" w:color="auto" w:fill="FFFFFF"/>
            <w:vAlign w:val="center"/>
          </w:tcPr>
          <w:p w14:paraId="4FAC114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Q12</w:t>
            </w:r>
          </w:p>
        </w:tc>
      </w:tr>
      <w:tr w14:paraId="7B7D8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2" w:type="pct"/>
            <w:tcBorders>
              <w:top w:val="nil"/>
              <w:left w:val="nil"/>
              <w:bottom w:val="nil"/>
              <w:right w:val="single" w:color="000000" w:sz="12" w:space="0"/>
            </w:tcBorders>
            <w:shd w:val="clear" w:color="auto" w:fill="FFFFFF"/>
            <w:vAlign w:val="center"/>
          </w:tcPr>
          <w:p w14:paraId="32B3839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U11</w:t>
            </w:r>
          </w:p>
        </w:tc>
        <w:tc>
          <w:tcPr>
            <w:tcW w:w="780" w:type="pct"/>
            <w:tcBorders>
              <w:top w:val="nil"/>
              <w:left w:val="nil"/>
              <w:bottom w:val="nil"/>
              <w:right w:val="nil"/>
            </w:tcBorders>
            <w:shd w:val="clear" w:color="auto" w:fill="FFFFFF"/>
            <w:vAlign w:val="center"/>
          </w:tcPr>
          <w:p w14:paraId="0A61880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User</w:t>
            </w:r>
          </w:p>
        </w:tc>
        <w:tc>
          <w:tcPr>
            <w:tcW w:w="316" w:type="pct"/>
            <w:tcBorders>
              <w:top w:val="nil"/>
              <w:left w:val="nil"/>
              <w:bottom w:val="nil"/>
              <w:right w:val="nil"/>
            </w:tcBorders>
            <w:shd w:val="clear" w:color="auto" w:fill="FFFFFF"/>
            <w:vAlign w:val="center"/>
          </w:tcPr>
          <w:p w14:paraId="318A7B9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S01</w:t>
            </w:r>
          </w:p>
        </w:tc>
        <w:tc>
          <w:tcPr>
            <w:tcW w:w="415" w:type="pct"/>
            <w:tcBorders>
              <w:top w:val="nil"/>
              <w:left w:val="nil"/>
              <w:bottom w:val="nil"/>
              <w:right w:val="nil"/>
            </w:tcBorders>
            <w:shd w:val="clear" w:color="auto" w:fill="FFFFFF"/>
            <w:vAlign w:val="center"/>
          </w:tcPr>
          <w:p w14:paraId="1643B20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65–69</w:t>
            </w:r>
          </w:p>
        </w:tc>
        <w:tc>
          <w:tcPr>
            <w:tcW w:w="468" w:type="pct"/>
            <w:tcBorders>
              <w:top w:val="nil"/>
              <w:left w:val="nil"/>
              <w:bottom w:val="nil"/>
              <w:right w:val="nil"/>
            </w:tcBorders>
            <w:shd w:val="clear" w:color="auto" w:fill="FFFFFF"/>
            <w:vAlign w:val="center"/>
          </w:tcPr>
          <w:p w14:paraId="2B7B138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w:t>
            </w:r>
          </w:p>
        </w:tc>
        <w:tc>
          <w:tcPr>
            <w:tcW w:w="813" w:type="pct"/>
            <w:tcBorders>
              <w:top w:val="nil"/>
              <w:left w:val="nil"/>
              <w:bottom w:val="nil"/>
              <w:right w:val="nil"/>
            </w:tcBorders>
            <w:shd w:val="clear" w:color="auto" w:fill="FFFFFF"/>
            <w:vAlign w:val="center"/>
          </w:tcPr>
          <w:p w14:paraId="384BCC3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6–7×/wk, retired</w:t>
            </w:r>
          </w:p>
        </w:tc>
        <w:tc>
          <w:tcPr>
            <w:tcW w:w="707" w:type="pct"/>
            <w:tcBorders>
              <w:top w:val="nil"/>
              <w:left w:val="nil"/>
              <w:bottom w:val="nil"/>
              <w:right w:val="nil"/>
            </w:tcBorders>
            <w:shd w:val="clear" w:color="auto" w:fill="FFFFFF"/>
            <w:vAlign w:val="center"/>
          </w:tcPr>
          <w:p w14:paraId="5F14296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On-site approach</w:t>
            </w:r>
          </w:p>
        </w:tc>
        <w:tc>
          <w:tcPr>
            <w:tcW w:w="747" w:type="pct"/>
            <w:tcBorders>
              <w:top w:val="nil"/>
              <w:left w:val="nil"/>
              <w:bottom w:val="nil"/>
              <w:right w:val="nil"/>
            </w:tcBorders>
            <w:shd w:val="clear" w:color="auto" w:fill="FFFFFF"/>
            <w:vAlign w:val="center"/>
          </w:tcPr>
          <w:p w14:paraId="695F5FD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 Jul, 36 min</w:t>
            </w:r>
          </w:p>
        </w:tc>
        <w:tc>
          <w:tcPr>
            <w:tcW w:w="409" w:type="pct"/>
            <w:tcBorders>
              <w:top w:val="nil"/>
              <w:left w:val="nil"/>
              <w:bottom w:val="nil"/>
              <w:right w:val="nil"/>
            </w:tcBorders>
            <w:shd w:val="clear" w:color="auto" w:fill="FFFFFF"/>
            <w:vAlign w:val="center"/>
          </w:tcPr>
          <w:p w14:paraId="74B6451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Q2</w:t>
            </w:r>
          </w:p>
        </w:tc>
      </w:tr>
      <w:tr w14:paraId="2FA5D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42" w:type="pct"/>
            <w:tcBorders>
              <w:top w:val="nil"/>
              <w:left w:val="nil"/>
              <w:bottom w:val="nil"/>
              <w:right w:val="single" w:color="000000" w:sz="12" w:space="0"/>
            </w:tcBorders>
            <w:shd w:val="clear" w:color="auto" w:fill="FFFFFF"/>
            <w:vAlign w:val="center"/>
          </w:tcPr>
          <w:p w14:paraId="25B3F8C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U15</w:t>
            </w:r>
          </w:p>
        </w:tc>
        <w:tc>
          <w:tcPr>
            <w:tcW w:w="780" w:type="pct"/>
            <w:tcBorders>
              <w:top w:val="nil"/>
              <w:left w:val="nil"/>
              <w:bottom w:val="nil"/>
              <w:right w:val="nil"/>
            </w:tcBorders>
            <w:shd w:val="clear" w:color="auto" w:fill="FFFFFF"/>
            <w:vAlign w:val="center"/>
          </w:tcPr>
          <w:p w14:paraId="1A01EC7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User</w:t>
            </w:r>
          </w:p>
        </w:tc>
        <w:tc>
          <w:tcPr>
            <w:tcW w:w="316" w:type="pct"/>
            <w:tcBorders>
              <w:top w:val="nil"/>
              <w:left w:val="nil"/>
              <w:bottom w:val="nil"/>
              <w:right w:val="nil"/>
            </w:tcBorders>
            <w:shd w:val="clear" w:color="auto" w:fill="FFFFFF"/>
            <w:vAlign w:val="center"/>
          </w:tcPr>
          <w:p w14:paraId="7B8BD40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S03</w:t>
            </w:r>
          </w:p>
        </w:tc>
        <w:tc>
          <w:tcPr>
            <w:tcW w:w="415" w:type="pct"/>
            <w:tcBorders>
              <w:top w:val="nil"/>
              <w:left w:val="nil"/>
              <w:bottom w:val="nil"/>
              <w:right w:val="nil"/>
            </w:tcBorders>
            <w:shd w:val="clear" w:color="auto" w:fill="FFFFFF"/>
            <w:vAlign w:val="center"/>
          </w:tcPr>
          <w:p w14:paraId="0994F31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60–64</w:t>
            </w:r>
          </w:p>
        </w:tc>
        <w:tc>
          <w:tcPr>
            <w:tcW w:w="468" w:type="pct"/>
            <w:tcBorders>
              <w:top w:val="nil"/>
              <w:left w:val="nil"/>
              <w:bottom w:val="nil"/>
              <w:right w:val="nil"/>
            </w:tcBorders>
            <w:shd w:val="clear" w:color="auto" w:fill="FFFFFF"/>
            <w:vAlign w:val="center"/>
          </w:tcPr>
          <w:p w14:paraId="6730D4D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w:t>
            </w:r>
          </w:p>
        </w:tc>
        <w:tc>
          <w:tcPr>
            <w:tcW w:w="813" w:type="pct"/>
            <w:tcBorders>
              <w:top w:val="nil"/>
              <w:left w:val="nil"/>
              <w:bottom w:val="nil"/>
              <w:right w:val="nil"/>
            </w:tcBorders>
            <w:shd w:val="clear" w:color="auto" w:fill="FFFFFF"/>
            <w:vAlign w:val="center"/>
          </w:tcPr>
          <w:p w14:paraId="5EED1FC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4–5×/wk, retired</w:t>
            </w:r>
          </w:p>
        </w:tc>
        <w:tc>
          <w:tcPr>
            <w:tcW w:w="707" w:type="pct"/>
            <w:tcBorders>
              <w:top w:val="nil"/>
              <w:left w:val="nil"/>
              <w:bottom w:val="nil"/>
              <w:right w:val="nil"/>
            </w:tcBorders>
            <w:shd w:val="clear" w:color="auto" w:fill="FFFFFF"/>
            <w:vAlign w:val="center"/>
          </w:tcPr>
          <w:p w14:paraId="6DFEADA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On-site approach</w:t>
            </w:r>
          </w:p>
        </w:tc>
        <w:tc>
          <w:tcPr>
            <w:tcW w:w="747" w:type="pct"/>
            <w:tcBorders>
              <w:top w:val="nil"/>
              <w:left w:val="nil"/>
              <w:bottom w:val="nil"/>
              <w:right w:val="nil"/>
            </w:tcBorders>
            <w:shd w:val="clear" w:color="auto" w:fill="FFFFFF"/>
            <w:vAlign w:val="center"/>
          </w:tcPr>
          <w:p w14:paraId="00E4D41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 Jul, 33 min</w:t>
            </w:r>
          </w:p>
        </w:tc>
        <w:tc>
          <w:tcPr>
            <w:tcW w:w="409" w:type="pct"/>
            <w:tcBorders>
              <w:top w:val="nil"/>
              <w:left w:val="nil"/>
              <w:bottom w:val="nil"/>
              <w:right w:val="nil"/>
            </w:tcBorders>
            <w:shd w:val="clear" w:color="auto" w:fill="FFFFFF"/>
            <w:vAlign w:val="center"/>
          </w:tcPr>
          <w:p w14:paraId="6B60685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Q9</w:t>
            </w:r>
          </w:p>
        </w:tc>
      </w:tr>
      <w:tr w14:paraId="34E6A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42" w:type="pct"/>
            <w:tcBorders>
              <w:top w:val="nil"/>
              <w:left w:val="nil"/>
              <w:bottom w:val="nil"/>
              <w:right w:val="single" w:color="000000" w:sz="12" w:space="0"/>
            </w:tcBorders>
            <w:shd w:val="clear" w:color="auto" w:fill="FFFFFF"/>
            <w:vAlign w:val="center"/>
          </w:tcPr>
          <w:p w14:paraId="0E6B528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U18</w:t>
            </w:r>
          </w:p>
        </w:tc>
        <w:tc>
          <w:tcPr>
            <w:tcW w:w="780" w:type="pct"/>
            <w:tcBorders>
              <w:top w:val="nil"/>
              <w:left w:val="nil"/>
              <w:bottom w:val="nil"/>
              <w:right w:val="nil"/>
            </w:tcBorders>
            <w:shd w:val="clear" w:color="auto" w:fill="FFFFFF"/>
            <w:vAlign w:val="center"/>
          </w:tcPr>
          <w:p w14:paraId="7C656D4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User</w:t>
            </w:r>
          </w:p>
        </w:tc>
        <w:tc>
          <w:tcPr>
            <w:tcW w:w="316" w:type="pct"/>
            <w:tcBorders>
              <w:top w:val="nil"/>
              <w:left w:val="nil"/>
              <w:bottom w:val="nil"/>
              <w:right w:val="nil"/>
            </w:tcBorders>
            <w:shd w:val="clear" w:color="auto" w:fill="FFFFFF"/>
            <w:vAlign w:val="center"/>
          </w:tcPr>
          <w:p w14:paraId="0D7E52C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S03</w:t>
            </w:r>
          </w:p>
        </w:tc>
        <w:tc>
          <w:tcPr>
            <w:tcW w:w="415" w:type="pct"/>
            <w:tcBorders>
              <w:top w:val="nil"/>
              <w:left w:val="nil"/>
              <w:bottom w:val="nil"/>
              <w:right w:val="nil"/>
            </w:tcBorders>
            <w:shd w:val="clear" w:color="auto" w:fill="FFFFFF"/>
            <w:vAlign w:val="center"/>
          </w:tcPr>
          <w:p w14:paraId="3551A1C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75–79</w:t>
            </w:r>
          </w:p>
        </w:tc>
        <w:tc>
          <w:tcPr>
            <w:tcW w:w="468" w:type="pct"/>
            <w:tcBorders>
              <w:top w:val="nil"/>
              <w:left w:val="nil"/>
              <w:bottom w:val="nil"/>
              <w:right w:val="nil"/>
            </w:tcBorders>
            <w:shd w:val="clear" w:color="auto" w:fill="FFFFFF"/>
            <w:vAlign w:val="center"/>
          </w:tcPr>
          <w:p w14:paraId="74DED4F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w:t>
            </w:r>
          </w:p>
        </w:tc>
        <w:tc>
          <w:tcPr>
            <w:tcW w:w="813" w:type="pct"/>
            <w:tcBorders>
              <w:top w:val="nil"/>
              <w:left w:val="nil"/>
              <w:bottom w:val="nil"/>
              <w:right w:val="nil"/>
            </w:tcBorders>
            <w:shd w:val="clear" w:color="auto" w:fill="FFFFFF"/>
            <w:vAlign w:val="center"/>
          </w:tcPr>
          <w:p w14:paraId="2F367E9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Daily, retired</w:t>
            </w:r>
          </w:p>
        </w:tc>
        <w:tc>
          <w:tcPr>
            <w:tcW w:w="707" w:type="pct"/>
            <w:tcBorders>
              <w:top w:val="nil"/>
              <w:left w:val="nil"/>
              <w:bottom w:val="nil"/>
              <w:right w:val="nil"/>
            </w:tcBorders>
            <w:shd w:val="clear" w:color="auto" w:fill="FFFFFF"/>
            <w:vAlign w:val="center"/>
          </w:tcPr>
          <w:p w14:paraId="2C92C72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On-site approach</w:t>
            </w:r>
          </w:p>
        </w:tc>
        <w:tc>
          <w:tcPr>
            <w:tcW w:w="747" w:type="pct"/>
            <w:tcBorders>
              <w:top w:val="nil"/>
              <w:left w:val="nil"/>
              <w:bottom w:val="nil"/>
              <w:right w:val="nil"/>
            </w:tcBorders>
            <w:shd w:val="clear" w:color="auto" w:fill="FFFFFF"/>
            <w:vAlign w:val="center"/>
          </w:tcPr>
          <w:p w14:paraId="4DE1916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 Jul, 28 min</w:t>
            </w:r>
          </w:p>
        </w:tc>
        <w:tc>
          <w:tcPr>
            <w:tcW w:w="409" w:type="pct"/>
            <w:tcBorders>
              <w:top w:val="nil"/>
              <w:left w:val="nil"/>
              <w:bottom w:val="nil"/>
              <w:right w:val="nil"/>
            </w:tcBorders>
            <w:shd w:val="clear" w:color="auto" w:fill="FFFFFF"/>
            <w:vAlign w:val="center"/>
          </w:tcPr>
          <w:p w14:paraId="0D9A27E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Q5-NEG</w:t>
            </w:r>
          </w:p>
        </w:tc>
      </w:tr>
      <w:tr w14:paraId="131EF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42" w:type="pct"/>
            <w:tcBorders>
              <w:top w:val="nil"/>
              <w:left w:val="nil"/>
              <w:bottom w:val="nil"/>
              <w:right w:val="single" w:color="000000" w:sz="12" w:space="0"/>
            </w:tcBorders>
            <w:shd w:val="clear" w:color="auto" w:fill="FFFFFF"/>
            <w:vAlign w:val="center"/>
          </w:tcPr>
          <w:p w14:paraId="4DFD7BF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U22</w:t>
            </w:r>
          </w:p>
        </w:tc>
        <w:tc>
          <w:tcPr>
            <w:tcW w:w="780" w:type="pct"/>
            <w:tcBorders>
              <w:top w:val="nil"/>
              <w:left w:val="nil"/>
              <w:bottom w:val="nil"/>
              <w:right w:val="nil"/>
            </w:tcBorders>
            <w:shd w:val="clear" w:color="auto" w:fill="FFFFFF"/>
            <w:vAlign w:val="center"/>
          </w:tcPr>
          <w:p w14:paraId="635B763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User</w:t>
            </w:r>
          </w:p>
        </w:tc>
        <w:tc>
          <w:tcPr>
            <w:tcW w:w="316" w:type="pct"/>
            <w:tcBorders>
              <w:top w:val="nil"/>
              <w:left w:val="nil"/>
              <w:bottom w:val="nil"/>
              <w:right w:val="nil"/>
            </w:tcBorders>
            <w:shd w:val="clear" w:color="auto" w:fill="FFFFFF"/>
            <w:vAlign w:val="center"/>
          </w:tcPr>
          <w:p w14:paraId="6DF1F4B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S07</w:t>
            </w:r>
          </w:p>
        </w:tc>
        <w:tc>
          <w:tcPr>
            <w:tcW w:w="415" w:type="pct"/>
            <w:tcBorders>
              <w:top w:val="nil"/>
              <w:left w:val="nil"/>
              <w:bottom w:val="nil"/>
              <w:right w:val="nil"/>
            </w:tcBorders>
            <w:shd w:val="clear" w:color="auto" w:fill="FFFFFF"/>
            <w:vAlign w:val="center"/>
          </w:tcPr>
          <w:p w14:paraId="2704B5A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45–49</w:t>
            </w:r>
          </w:p>
        </w:tc>
        <w:tc>
          <w:tcPr>
            <w:tcW w:w="468" w:type="pct"/>
            <w:tcBorders>
              <w:top w:val="nil"/>
              <w:left w:val="nil"/>
              <w:bottom w:val="nil"/>
              <w:right w:val="nil"/>
            </w:tcBorders>
            <w:shd w:val="clear" w:color="auto" w:fill="FFFFFF"/>
            <w:vAlign w:val="center"/>
          </w:tcPr>
          <w:p w14:paraId="56D189D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w:t>
            </w:r>
          </w:p>
        </w:tc>
        <w:tc>
          <w:tcPr>
            <w:tcW w:w="813" w:type="pct"/>
            <w:tcBorders>
              <w:top w:val="nil"/>
              <w:left w:val="nil"/>
              <w:bottom w:val="nil"/>
              <w:right w:val="nil"/>
            </w:tcBorders>
            <w:shd w:val="clear" w:color="auto" w:fill="FFFFFF"/>
            <w:vAlign w:val="center"/>
          </w:tcPr>
          <w:p w14:paraId="3C26C1C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Occasional, cleaner</w:t>
            </w:r>
          </w:p>
        </w:tc>
        <w:tc>
          <w:tcPr>
            <w:tcW w:w="707" w:type="pct"/>
            <w:tcBorders>
              <w:top w:val="nil"/>
              <w:left w:val="nil"/>
              <w:bottom w:val="nil"/>
              <w:right w:val="nil"/>
            </w:tcBorders>
            <w:shd w:val="clear" w:color="auto" w:fill="FFFFFF"/>
            <w:vAlign w:val="center"/>
          </w:tcPr>
          <w:p w14:paraId="7DB6886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On-site approach</w:t>
            </w:r>
          </w:p>
        </w:tc>
        <w:tc>
          <w:tcPr>
            <w:tcW w:w="747" w:type="pct"/>
            <w:tcBorders>
              <w:top w:val="nil"/>
              <w:left w:val="nil"/>
              <w:bottom w:val="nil"/>
              <w:right w:val="nil"/>
            </w:tcBorders>
            <w:shd w:val="clear" w:color="auto" w:fill="FFFFFF"/>
            <w:vAlign w:val="center"/>
          </w:tcPr>
          <w:p w14:paraId="6BD4C53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 Jul, 31 min</w:t>
            </w:r>
          </w:p>
        </w:tc>
        <w:tc>
          <w:tcPr>
            <w:tcW w:w="409" w:type="pct"/>
            <w:tcBorders>
              <w:top w:val="nil"/>
              <w:left w:val="nil"/>
              <w:bottom w:val="nil"/>
              <w:right w:val="nil"/>
            </w:tcBorders>
            <w:shd w:val="clear" w:color="auto" w:fill="FFFFFF"/>
            <w:vAlign w:val="center"/>
          </w:tcPr>
          <w:p w14:paraId="3A4194D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Q3-NEG</w:t>
            </w:r>
          </w:p>
        </w:tc>
      </w:tr>
      <w:tr w14:paraId="110B0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2" w:type="pct"/>
            <w:tcBorders>
              <w:top w:val="nil"/>
              <w:left w:val="nil"/>
              <w:bottom w:val="nil"/>
              <w:right w:val="single" w:color="000000" w:sz="12" w:space="0"/>
            </w:tcBorders>
            <w:shd w:val="clear" w:color="auto" w:fill="FFFFFF"/>
            <w:vAlign w:val="center"/>
          </w:tcPr>
          <w:p w14:paraId="458A0F0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U25</w:t>
            </w:r>
          </w:p>
        </w:tc>
        <w:tc>
          <w:tcPr>
            <w:tcW w:w="780" w:type="pct"/>
            <w:tcBorders>
              <w:top w:val="nil"/>
              <w:left w:val="nil"/>
              <w:bottom w:val="nil"/>
              <w:right w:val="nil"/>
            </w:tcBorders>
            <w:shd w:val="clear" w:color="auto" w:fill="FFFFFF"/>
            <w:vAlign w:val="center"/>
          </w:tcPr>
          <w:p w14:paraId="62DEFA1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User</w:t>
            </w:r>
          </w:p>
        </w:tc>
        <w:tc>
          <w:tcPr>
            <w:tcW w:w="316" w:type="pct"/>
            <w:tcBorders>
              <w:top w:val="nil"/>
              <w:left w:val="nil"/>
              <w:bottom w:val="nil"/>
              <w:right w:val="nil"/>
            </w:tcBorders>
            <w:shd w:val="clear" w:color="auto" w:fill="FFFFFF"/>
            <w:vAlign w:val="center"/>
          </w:tcPr>
          <w:p w14:paraId="5983CBE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S06</w:t>
            </w:r>
          </w:p>
        </w:tc>
        <w:tc>
          <w:tcPr>
            <w:tcW w:w="415" w:type="pct"/>
            <w:tcBorders>
              <w:top w:val="nil"/>
              <w:left w:val="nil"/>
              <w:bottom w:val="nil"/>
              <w:right w:val="nil"/>
            </w:tcBorders>
            <w:shd w:val="clear" w:color="auto" w:fill="FFFFFF"/>
            <w:vAlign w:val="center"/>
          </w:tcPr>
          <w:p w14:paraId="2F358D8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50–54</w:t>
            </w:r>
          </w:p>
        </w:tc>
        <w:tc>
          <w:tcPr>
            <w:tcW w:w="468" w:type="pct"/>
            <w:tcBorders>
              <w:top w:val="nil"/>
              <w:left w:val="nil"/>
              <w:bottom w:val="nil"/>
              <w:right w:val="nil"/>
            </w:tcBorders>
            <w:shd w:val="clear" w:color="auto" w:fill="FFFFFF"/>
            <w:vAlign w:val="center"/>
          </w:tcPr>
          <w:p w14:paraId="3E58560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w:t>
            </w:r>
          </w:p>
        </w:tc>
        <w:tc>
          <w:tcPr>
            <w:tcW w:w="813" w:type="pct"/>
            <w:tcBorders>
              <w:top w:val="nil"/>
              <w:left w:val="nil"/>
              <w:bottom w:val="nil"/>
              <w:right w:val="nil"/>
            </w:tcBorders>
            <w:shd w:val="clear" w:color="auto" w:fill="FFFFFF"/>
            <w:vAlign w:val="center"/>
          </w:tcPr>
          <w:p w14:paraId="7ED1679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Occasional, office worker</w:t>
            </w:r>
          </w:p>
        </w:tc>
        <w:tc>
          <w:tcPr>
            <w:tcW w:w="707" w:type="pct"/>
            <w:tcBorders>
              <w:top w:val="nil"/>
              <w:left w:val="nil"/>
              <w:bottom w:val="nil"/>
              <w:right w:val="nil"/>
            </w:tcBorders>
            <w:shd w:val="clear" w:color="auto" w:fill="FFFFFF"/>
            <w:vAlign w:val="center"/>
          </w:tcPr>
          <w:p w14:paraId="68AFAEA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On-site approach</w:t>
            </w:r>
          </w:p>
        </w:tc>
        <w:tc>
          <w:tcPr>
            <w:tcW w:w="747" w:type="pct"/>
            <w:tcBorders>
              <w:top w:val="nil"/>
              <w:left w:val="nil"/>
              <w:bottom w:val="nil"/>
              <w:right w:val="nil"/>
            </w:tcBorders>
            <w:shd w:val="clear" w:color="auto" w:fill="FFFFFF"/>
            <w:vAlign w:val="center"/>
          </w:tcPr>
          <w:p w14:paraId="57088CE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 Jul, 25 min</w:t>
            </w:r>
          </w:p>
        </w:tc>
        <w:tc>
          <w:tcPr>
            <w:tcW w:w="409" w:type="pct"/>
            <w:tcBorders>
              <w:top w:val="nil"/>
              <w:left w:val="nil"/>
              <w:bottom w:val="nil"/>
              <w:right w:val="nil"/>
            </w:tcBorders>
            <w:shd w:val="clear" w:color="auto" w:fill="FFFFFF"/>
            <w:vAlign w:val="center"/>
          </w:tcPr>
          <w:p w14:paraId="5E6FF2F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Q7-NEG</w:t>
            </w:r>
          </w:p>
        </w:tc>
      </w:tr>
      <w:tr w14:paraId="472D6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42" w:type="pct"/>
            <w:tcBorders>
              <w:top w:val="nil"/>
              <w:left w:val="nil"/>
              <w:bottom w:val="nil"/>
              <w:right w:val="single" w:color="000000" w:sz="12" w:space="0"/>
            </w:tcBorders>
            <w:shd w:val="clear" w:color="auto" w:fill="FFFFFF"/>
            <w:vAlign w:val="center"/>
          </w:tcPr>
          <w:p w14:paraId="3C2C457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U29</w:t>
            </w:r>
          </w:p>
        </w:tc>
        <w:tc>
          <w:tcPr>
            <w:tcW w:w="780" w:type="pct"/>
            <w:tcBorders>
              <w:top w:val="nil"/>
              <w:left w:val="nil"/>
              <w:bottom w:val="nil"/>
              <w:right w:val="nil"/>
            </w:tcBorders>
            <w:shd w:val="clear" w:color="auto" w:fill="FFFFFF"/>
            <w:vAlign w:val="center"/>
          </w:tcPr>
          <w:p w14:paraId="0D574AB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User</w:t>
            </w:r>
          </w:p>
        </w:tc>
        <w:tc>
          <w:tcPr>
            <w:tcW w:w="316" w:type="pct"/>
            <w:tcBorders>
              <w:top w:val="nil"/>
              <w:left w:val="nil"/>
              <w:bottom w:val="nil"/>
              <w:right w:val="nil"/>
            </w:tcBorders>
            <w:shd w:val="clear" w:color="auto" w:fill="FFFFFF"/>
            <w:vAlign w:val="center"/>
          </w:tcPr>
          <w:p w14:paraId="034237C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S04</w:t>
            </w:r>
          </w:p>
        </w:tc>
        <w:tc>
          <w:tcPr>
            <w:tcW w:w="415" w:type="pct"/>
            <w:tcBorders>
              <w:top w:val="nil"/>
              <w:left w:val="nil"/>
              <w:bottom w:val="nil"/>
              <w:right w:val="nil"/>
            </w:tcBorders>
            <w:shd w:val="clear" w:color="auto" w:fill="FFFFFF"/>
            <w:vAlign w:val="center"/>
          </w:tcPr>
          <w:p w14:paraId="2C21AA8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55–59</w:t>
            </w:r>
          </w:p>
        </w:tc>
        <w:tc>
          <w:tcPr>
            <w:tcW w:w="468" w:type="pct"/>
            <w:tcBorders>
              <w:top w:val="nil"/>
              <w:left w:val="nil"/>
              <w:bottom w:val="nil"/>
              <w:right w:val="nil"/>
            </w:tcBorders>
            <w:shd w:val="clear" w:color="auto" w:fill="FFFFFF"/>
            <w:vAlign w:val="center"/>
          </w:tcPr>
          <w:p w14:paraId="7F78FC1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w:t>
            </w:r>
          </w:p>
        </w:tc>
        <w:tc>
          <w:tcPr>
            <w:tcW w:w="813" w:type="pct"/>
            <w:tcBorders>
              <w:top w:val="nil"/>
              <w:left w:val="nil"/>
              <w:bottom w:val="nil"/>
              <w:right w:val="nil"/>
            </w:tcBorders>
            <w:shd w:val="clear" w:color="auto" w:fill="FFFFFF"/>
            <w:vAlign w:val="center"/>
          </w:tcPr>
          <w:p w14:paraId="04AC8DF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3–4×/wk (caregiver)</w:t>
            </w:r>
          </w:p>
        </w:tc>
        <w:tc>
          <w:tcPr>
            <w:tcW w:w="707" w:type="pct"/>
            <w:tcBorders>
              <w:top w:val="nil"/>
              <w:left w:val="nil"/>
              <w:bottom w:val="nil"/>
              <w:right w:val="nil"/>
            </w:tcBorders>
            <w:shd w:val="clear" w:color="auto" w:fill="FFFFFF"/>
            <w:vAlign w:val="center"/>
          </w:tcPr>
          <w:p w14:paraId="1790AB4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On-site approach</w:t>
            </w:r>
          </w:p>
        </w:tc>
        <w:tc>
          <w:tcPr>
            <w:tcW w:w="747" w:type="pct"/>
            <w:tcBorders>
              <w:top w:val="nil"/>
              <w:left w:val="nil"/>
              <w:bottom w:val="nil"/>
              <w:right w:val="nil"/>
            </w:tcBorders>
            <w:shd w:val="clear" w:color="auto" w:fill="FFFFFF"/>
            <w:vAlign w:val="center"/>
          </w:tcPr>
          <w:p w14:paraId="6E3A043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 Aug, 47 min</w:t>
            </w:r>
          </w:p>
        </w:tc>
        <w:tc>
          <w:tcPr>
            <w:tcW w:w="409" w:type="pct"/>
            <w:tcBorders>
              <w:top w:val="nil"/>
              <w:left w:val="nil"/>
              <w:bottom w:val="nil"/>
              <w:right w:val="nil"/>
            </w:tcBorders>
            <w:shd w:val="clear" w:color="auto" w:fill="FFFFFF"/>
            <w:vAlign w:val="center"/>
          </w:tcPr>
          <w:p w14:paraId="1BBF149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Q8</w:t>
            </w:r>
          </w:p>
        </w:tc>
      </w:tr>
      <w:tr w14:paraId="280B7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2" w:type="pct"/>
            <w:tcBorders>
              <w:top w:val="nil"/>
              <w:left w:val="nil"/>
              <w:bottom w:val="nil"/>
              <w:right w:val="single" w:color="000000" w:sz="12" w:space="0"/>
            </w:tcBorders>
            <w:shd w:val="clear" w:color="auto" w:fill="FFFFFF"/>
            <w:vAlign w:val="center"/>
          </w:tcPr>
          <w:p w14:paraId="76F9227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M01</w:t>
            </w:r>
          </w:p>
        </w:tc>
        <w:tc>
          <w:tcPr>
            <w:tcW w:w="780" w:type="pct"/>
            <w:tcBorders>
              <w:top w:val="nil"/>
              <w:left w:val="nil"/>
              <w:bottom w:val="nil"/>
              <w:right w:val="nil"/>
            </w:tcBorders>
            <w:shd w:val="clear" w:color="auto" w:fill="FFFFFF"/>
            <w:vAlign w:val="center"/>
          </w:tcPr>
          <w:p w14:paraId="1B91909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Management</w:t>
            </w:r>
          </w:p>
        </w:tc>
        <w:tc>
          <w:tcPr>
            <w:tcW w:w="316" w:type="pct"/>
            <w:tcBorders>
              <w:top w:val="nil"/>
              <w:left w:val="nil"/>
              <w:bottom w:val="nil"/>
              <w:right w:val="nil"/>
            </w:tcBorders>
            <w:shd w:val="clear" w:color="auto" w:fill="FFFFFF"/>
            <w:vAlign w:val="center"/>
          </w:tcPr>
          <w:p w14:paraId="65C6B57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S01</w:t>
            </w:r>
          </w:p>
        </w:tc>
        <w:tc>
          <w:tcPr>
            <w:tcW w:w="415" w:type="pct"/>
            <w:tcBorders>
              <w:top w:val="nil"/>
              <w:left w:val="nil"/>
              <w:bottom w:val="nil"/>
              <w:right w:val="nil"/>
            </w:tcBorders>
            <w:shd w:val="clear" w:color="auto" w:fill="FFFFFF"/>
            <w:vAlign w:val="center"/>
          </w:tcPr>
          <w:p w14:paraId="03AA062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50–54</w:t>
            </w:r>
          </w:p>
        </w:tc>
        <w:tc>
          <w:tcPr>
            <w:tcW w:w="468" w:type="pct"/>
            <w:tcBorders>
              <w:top w:val="nil"/>
              <w:left w:val="nil"/>
              <w:bottom w:val="nil"/>
              <w:right w:val="nil"/>
            </w:tcBorders>
            <w:shd w:val="clear" w:color="auto" w:fill="FFFFFF"/>
            <w:vAlign w:val="center"/>
          </w:tcPr>
          <w:p w14:paraId="449CF85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w:t>
            </w:r>
          </w:p>
        </w:tc>
        <w:tc>
          <w:tcPr>
            <w:tcW w:w="813" w:type="pct"/>
            <w:tcBorders>
              <w:top w:val="nil"/>
              <w:left w:val="nil"/>
              <w:bottom w:val="nil"/>
              <w:right w:val="nil"/>
            </w:tcBorders>
            <w:shd w:val="clear" w:color="auto" w:fill="FFFFFF"/>
            <w:vAlign w:val="center"/>
          </w:tcPr>
          <w:p w14:paraId="204BC3F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Site manager, civil defence</w:t>
            </w:r>
          </w:p>
        </w:tc>
        <w:tc>
          <w:tcPr>
            <w:tcW w:w="707" w:type="pct"/>
            <w:tcBorders>
              <w:top w:val="nil"/>
              <w:left w:val="nil"/>
              <w:bottom w:val="nil"/>
              <w:right w:val="nil"/>
            </w:tcBorders>
            <w:shd w:val="clear" w:color="auto" w:fill="FFFFFF"/>
            <w:vAlign w:val="center"/>
          </w:tcPr>
          <w:p w14:paraId="441D562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Institutional contact</w:t>
            </w:r>
          </w:p>
        </w:tc>
        <w:tc>
          <w:tcPr>
            <w:tcW w:w="747" w:type="pct"/>
            <w:tcBorders>
              <w:top w:val="nil"/>
              <w:left w:val="nil"/>
              <w:bottom w:val="nil"/>
              <w:right w:val="nil"/>
            </w:tcBorders>
            <w:shd w:val="clear" w:color="auto" w:fill="FFFFFF"/>
            <w:vAlign w:val="center"/>
          </w:tcPr>
          <w:p w14:paraId="2BC22A2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 Jul, 52 min</w:t>
            </w:r>
          </w:p>
        </w:tc>
        <w:tc>
          <w:tcPr>
            <w:tcW w:w="409" w:type="pct"/>
            <w:tcBorders>
              <w:top w:val="nil"/>
              <w:left w:val="nil"/>
              <w:bottom w:val="nil"/>
              <w:right w:val="nil"/>
            </w:tcBorders>
            <w:shd w:val="clear" w:color="auto" w:fill="FFFFFF"/>
            <w:vAlign w:val="center"/>
          </w:tcPr>
          <w:p w14:paraId="34F5C2A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w:t>
            </w:r>
          </w:p>
        </w:tc>
      </w:tr>
      <w:tr w14:paraId="66652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42" w:type="pct"/>
            <w:tcBorders>
              <w:top w:val="nil"/>
              <w:left w:val="nil"/>
              <w:bottom w:val="nil"/>
              <w:right w:val="single" w:color="000000" w:sz="12" w:space="0"/>
            </w:tcBorders>
            <w:shd w:val="clear" w:color="auto" w:fill="FFFFFF"/>
            <w:vAlign w:val="center"/>
          </w:tcPr>
          <w:p w14:paraId="73B6489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M04</w:t>
            </w:r>
          </w:p>
        </w:tc>
        <w:tc>
          <w:tcPr>
            <w:tcW w:w="780" w:type="pct"/>
            <w:tcBorders>
              <w:top w:val="nil"/>
              <w:left w:val="nil"/>
              <w:bottom w:val="nil"/>
              <w:right w:val="nil"/>
            </w:tcBorders>
            <w:shd w:val="clear" w:color="auto" w:fill="FFFFFF"/>
            <w:vAlign w:val="center"/>
          </w:tcPr>
          <w:p w14:paraId="1017E54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Management</w:t>
            </w:r>
          </w:p>
        </w:tc>
        <w:tc>
          <w:tcPr>
            <w:tcW w:w="316" w:type="pct"/>
            <w:tcBorders>
              <w:top w:val="nil"/>
              <w:left w:val="nil"/>
              <w:bottom w:val="nil"/>
              <w:right w:val="nil"/>
            </w:tcBorders>
            <w:shd w:val="clear" w:color="auto" w:fill="FFFFFF"/>
            <w:vAlign w:val="center"/>
          </w:tcPr>
          <w:p w14:paraId="6F993C5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S04</w:t>
            </w:r>
          </w:p>
        </w:tc>
        <w:tc>
          <w:tcPr>
            <w:tcW w:w="415" w:type="pct"/>
            <w:tcBorders>
              <w:top w:val="nil"/>
              <w:left w:val="nil"/>
              <w:bottom w:val="nil"/>
              <w:right w:val="nil"/>
            </w:tcBorders>
            <w:shd w:val="clear" w:color="auto" w:fill="FFFFFF"/>
            <w:vAlign w:val="center"/>
          </w:tcPr>
          <w:p w14:paraId="08F1090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45–49</w:t>
            </w:r>
          </w:p>
        </w:tc>
        <w:tc>
          <w:tcPr>
            <w:tcW w:w="468" w:type="pct"/>
            <w:tcBorders>
              <w:top w:val="nil"/>
              <w:left w:val="nil"/>
              <w:bottom w:val="nil"/>
              <w:right w:val="nil"/>
            </w:tcBorders>
            <w:shd w:val="clear" w:color="auto" w:fill="FFFFFF"/>
            <w:vAlign w:val="center"/>
          </w:tcPr>
          <w:p w14:paraId="5DFFB04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w:t>
            </w:r>
          </w:p>
        </w:tc>
        <w:tc>
          <w:tcPr>
            <w:tcW w:w="813" w:type="pct"/>
            <w:tcBorders>
              <w:top w:val="nil"/>
              <w:left w:val="nil"/>
              <w:bottom w:val="nil"/>
              <w:right w:val="nil"/>
            </w:tcBorders>
            <w:shd w:val="clear" w:color="auto" w:fill="FFFFFF"/>
            <w:vAlign w:val="center"/>
          </w:tcPr>
          <w:p w14:paraId="4E70A7A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Site staff, community</w:t>
            </w:r>
          </w:p>
        </w:tc>
        <w:tc>
          <w:tcPr>
            <w:tcW w:w="707" w:type="pct"/>
            <w:tcBorders>
              <w:top w:val="nil"/>
              <w:left w:val="nil"/>
              <w:bottom w:val="nil"/>
              <w:right w:val="nil"/>
            </w:tcBorders>
            <w:shd w:val="clear" w:color="auto" w:fill="FFFFFF"/>
            <w:vAlign w:val="center"/>
          </w:tcPr>
          <w:p w14:paraId="7E8F972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Institutional contact</w:t>
            </w:r>
          </w:p>
        </w:tc>
        <w:tc>
          <w:tcPr>
            <w:tcW w:w="747" w:type="pct"/>
            <w:tcBorders>
              <w:top w:val="nil"/>
              <w:left w:val="nil"/>
              <w:bottom w:val="nil"/>
              <w:right w:val="nil"/>
            </w:tcBorders>
            <w:shd w:val="clear" w:color="auto" w:fill="FFFFFF"/>
            <w:vAlign w:val="center"/>
          </w:tcPr>
          <w:p w14:paraId="640A6FD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 Jul, 38 min</w:t>
            </w:r>
          </w:p>
        </w:tc>
        <w:tc>
          <w:tcPr>
            <w:tcW w:w="409" w:type="pct"/>
            <w:tcBorders>
              <w:top w:val="nil"/>
              <w:left w:val="nil"/>
              <w:bottom w:val="nil"/>
              <w:right w:val="nil"/>
            </w:tcBorders>
            <w:shd w:val="clear" w:color="auto" w:fill="FFFFFF"/>
            <w:vAlign w:val="center"/>
          </w:tcPr>
          <w:p w14:paraId="371C532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w:t>
            </w:r>
          </w:p>
        </w:tc>
      </w:tr>
      <w:tr w14:paraId="72A74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42" w:type="pct"/>
            <w:tcBorders>
              <w:top w:val="nil"/>
              <w:left w:val="nil"/>
              <w:bottom w:val="single" w:color="000000" w:sz="12" w:space="0"/>
              <w:right w:val="single" w:color="000000" w:sz="12" w:space="0"/>
            </w:tcBorders>
            <w:shd w:val="clear" w:color="auto" w:fill="FFFFFF"/>
            <w:vAlign w:val="center"/>
          </w:tcPr>
          <w:p w14:paraId="542672F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D04</w:t>
            </w:r>
          </w:p>
        </w:tc>
        <w:tc>
          <w:tcPr>
            <w:tcW w:w="780" w:type="pct"/>
            <w:tcBorders>
              <w:top w:val="nil"/>
              <w:left w:val="nil"/>
              <w:bottom w:val="single" w:color="000000" w:sz="12" w:space="0"/>
              <w:right w:val="nil"/>
            </w:tcBorders>
            <w:shd w:val="clear" w:color="auto" w:fill="FFFFFF"/>
            <w:vAlign w:val="center"/>
          </w:tcPr>
          <w:p w14:paraId="66D8502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Design/Reuse</w:t>
            </w:r>
          </w:p>
        </w:tc>
        <w:tc>
          <w:tcPr>
            <w:tcW w:w="316" w:type="pct"/>
            <w:tcBorders>
              <w:top w:val="nil"/>
              <w:left w:val="nil"/>
              <w:bottom w:val="single" w:color="000000" w:sz="12" w:space="0"/>
              <w:right w:val="nil"/>
            </w:tcBorders>
            <w:shd w:val="clear" w:color="auto" w:fill="FFFFFF"/>
            <w:vAlign w:val="center"/>
          </w:tcPr>
          <w:p w14:paraId="59EF9A4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R03</w:t>
            </w:r>
          </w:p>
        </w:tc>
        <w:tc>
          <w:tcPr>
            <w:tcW w:w="415" w:type="pct"/>
            <w:tcBorders>
              <w:top w:val="nil"/>
              <w:left w:val="nil"/>
              <w:bottom w:val="single" w:color="000000" w:sz="12" w:space="0"/>
              <w:right w:val="nil"/>
            </w:tcBorders>
            <w:shd w:val="clear" w:color="auto" w:fill="FFFFFF"/>
            <w:vAlign w:val="center"/>
          </w:tcPr>
          <w:p w14:paraId="7354C70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35–39</w:t>
            </w:r>
          </w:p>
        </w:tc>
        <w:tc>
          <w:tcPr>
            <w:tcW w:w="468" w:type="pct"/>
            <w:tcBorders>
              <w:top w:val="nil"/>
              <w:left w:val="nil"/>
              <w:bottom w:val="single" w:color="000000" w:sz="12" w:space="0"/>
              <w:right w:val="nil"/>
            </w:tcBorders>
            <w:shd w:val="clear" w:color="auto" w:fill="FFFFFF"/>
            <w:vAlign w:val="center"/>
          </w:tcPr>
          <w:p w14:paraId="42232E0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w:t>
            </w:r>
          </w:p>
        </w:tc>
        <w:tc>
          <w:tcPr>
            <w:tcW w:w="813" w:type="pct"/>
            <w:tcBorders>
              <w:top w:val="nil"/>
              <w:left w:val="nil"/>
              <w:bottom w:val="single" w:color="000000" w:sz="12" w:space="0"/>
              <w:right w:val="nil"/>
            </w:tcBorders>
            <w:shd w:val="clear" w:color="auto" w:fill="FFFFFF"/>
            <w:vAlign w:val="center"/>
          </w:tcPr>
          <w:p w14:paraId="12A1A5B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Restaurant operator</w:t>
            </w:r>
          </w:p>
        </w:tc>
        <w:tc>
          <w:tcPr>
            <w:tcW w:w="707" w:type="pct"/>
            <w:tcBorders>
              <w:top w:val="nil"/>
              <w:left w:val="nil"/>
              <w:bottom w:val="single" w:color="000000" w:sz="12" w:space="0"/>
              <w:right w:val="nil"/>
            </w:tcBorders>
            <w:shd w:val="clear" w:color="auto" w:fill="FFFFFF"/>
            <w:vAlign w:val="center"/>
          </w:tcPr>
          <w:p w14:paraId="5EBD584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On-site approach</w:t>
            </w:r>
          </w:p>
        </w:tc>
        <w:tc>
          <w:tcPr>
            <w:tcW w:w="747" w:type="pct"/>
            <w:tcBorders>
              <w:top w:val="nil"/>
              <w:left w:val="nil"/>
              <w:bottom w:val="single" w:color="000000" w:sz="12" w:space="0"/>
              <w:right w:val="nil"/>
            </w:tcBorders>
            <w:shd w:val="clear" w:color="auto" w:fill="FFFFFF"/>
            <w:vAlign w:val="center"/>
          </w:tcPr>
          <w:p w14:paraId="11EB9A2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 Aug, 45 min</w:t>
            </w:r>
          </w:p>
        </w:tc>
        <w:tc>
          <w:tcPr>
            <w:tcW w:w="409" w:type="pct"/>
            <w:tcBorders>
              <w:top w:val="nil"/>
              <w:left w:val="nil"/>
              <w:bottom w:val="single" w:color="000000" w:sz="12" w:space="0"/>
              <w:right w:val="nil"/>
            </w:tcBorders>
            <w:shd w:val="clear" w:color="auto" w:fill="FFFFFF"/>
            <w:vAlign w:val="center"/>
          </w:tcPr>
          <w:p w14:paraId="579C7ED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Q11</w:t>
            </w:r>
          </w:p>
        </w:tc>
      </w:tr>
    </w:tbl>
    <w:p w14:paraId="6C7A20D6">
      <w:pPr>
        <w:pStyle w:val="164"/>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b w:val="0"/>
          <w:i/>
          <w:color w:val="000000"/>
          <w:sz w:val="24"/>
          <w:szCs w:val="24"/>
        </w:rPr>
        <w:t>Note.</w:t>
      </w:r>
      <w:r>
        <w:rPr>
          <w:rFonts w:hint="default" w:ascii="Times New Roman" w:hAnsi="Times New Roman" w:eastAsia="Times New Roman" w:cs="Times New Roman"/>
          <w:b w:val="0"/>
          <w:i w:val="0"/>
          <w:color w:val="000000"/>
          <w:sz w:val="24"/>
          <w:szCs w:val="24"/>
        </w:rPr>
        <w:t xml:space="preserve"> The full participant roster is retained in the secure project archive; only fields necessary for analytic transparency are reproduced here to reduce re-identification risk.</w:t>
      </w:r>
    </w:p>
    <w:p w14:paraId="56BA3CED">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color w:val="000000"/>
          <w:sz w:val="24"/>
          <w:szCs w:val="24"/>
        </w:rPr>
      </w:pPr>
    </w:p>
    <w:p w14:paraId="4F5D8511">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color w:val="000000"/>
          <w:sz w:val="24"/>
          <w:szCs w:val="24"/>
        </w:rPr>
      </w:pPr>
      <w:r>
        <w:rPr>
          <w:rFonts w:hint="default" w:ascii="Times New Roman" w:hAnsi="Times New Roman" w:eastAsia="Times New Roman" w:cs="Times New Roman"/>
          <w:color w:val="000000"/>
          <w:sz w:val="24"/>
          <w:szCs w:val="24"/>
        </w:rPr>
        <w:t>The selected rows permit readers to inspect how quoted perspectives are distributed across user, management, and reuse roles.</w:t>
      </w:r>
    </w:p>
    <w:p w14:paraId="4D27E94A">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color w:val="000000"/>
          <w:sz w:val="24"/>
          <w:szCs w:val="24"/>
        </w:rPr>
      </w:pPr>
    </w:p>
    <w:p w14:paraId="22278214">
      <w:pPr>
        <w:pStyle w:val="4"/>
        <w:keepNext/>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8"/>
          <w:szCs w:val="28"/>
        </w:rPr>
      </w:pPr>
      <w:r>
        <w:rPr>
          <w:rFonts w:hint="default" w:ascii="Times New Roman" w:hAnsi="Times New Roman" w:eastAsia="Times New Roman" w:cs="Times New Roman"/>
          <w:b/>
          <w:i w:val="0"/>
          <w:color w:val="000000"/>
          <w:sz w:val="28"/>
          <w:szCs w:val="28"/>
        </w:rPr>
        <w:t>Appendix E. Document corpus audit</w:t>
      </w:r>
    </w:p>
    <w:p w14:paraId="1FD898A3">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i w:val="0"/>
          <w:color w:val="000000"/>
          <w:sz w:val="24"/>
          <w:szCs w:val="24"/>
        </w:rPr>
      </w:pPr>
      <w:r>
        <w:rPr>
          <w:rFonts w:hint="default" w:ascii="Times New Roman" w:hAnsi="Times New Roman" w:eastAsia="Times New Roman" w:cs="Times New Roman"/>
          <w:i w:val="0"/>
          <w:color w:val="000000"/>
          <w:sz w:val="24"/>
          <w:szCs w:val="24"/>
        </w:rPr>
        <w:t>Appendix Table A3 identifies documentary sources most directly used to contextualize public-service, rule, heritage, and commercial framings.</w:t>
      </w:r>
    </w:p>
    <w:p w14:paraId="4A13EE55">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i w:val="0"/>
          <w:color w:val="000000"/>
          <w:sz w:val="24"/>
          <w:szCs w:val="24"/>
        </w:rPr>
      </w:pPr>
    </w:p>
    <w:p w14:paraId="095AF4FC">
      <w:pPr>
        <w:pStyle w:val="164"/>
        <w:keepNext/>
        <w:pageBreakBefore w:val="0"/>
        <w:widowControl/>
        <w:kinsoku/>
        <w:wordWrap/>
        <w:overflowPunct/>
        <w:topLinePunct w:val="0"/>
        <w:autoSpaceDE/>
        <w:autoSpaceDN/>
        <w:bidi w:val="0"/>
        <w:adjustRightInd/>
        <w:snapToGrid/>
        <w:spacing w:before="0" w:after="160" w:line="240" w:lineRule="auto"/>
        <w:ind w:left="0" w:firstLine="0"/>
        <w:jc w:val="center"/>
        <w:textAlignment w:val="auto"/>
        <w:rPr>
          <w:rFonts w:hint="default" w:ascii="Times New Roman" w:hAnsi="Times New Roman" w:cs="Times New Roman"/>
          <w:sz w:val="24"/>
          <w:szCs w:val="24"/>
        </w:rPr>
      </w:pPr>
      <w:r>
        <w:rPr>
          <w:rFonts w:hint="default" w:ascii="Times New Roman" w:hAnsi="Times New Roman" w:eastAsia="Times New Roman" w:cs="Times New Roman"/>
          <w:b/>
          <w:i w:val="0"/>
          <w:color w:val="000000"/>
          <w:sz w:val="24"/>
          <w:szCs w:val="24"/>
        </w:rPr>
        <w:t>Table A3.</w:t>
      </w:r>
      <w:r>
        <w:rPr>
          <w:rFonts w:hint="default" w:ascii="Times New Roman" w:hAnsi="Times New Roman" w:eastAsia="Times New Roman" w:cs="Times New Roman"/>
          <w:b w:val="0"/>
          <w:i w:val="0"/>
          <w:color w:val="000000"/>
          <w:sz w:val="24"/>
          <w:szCs w:val="24"/>
        </w:rPr>
        <w:t xml:space="preserve"> Selected document-corpus audit.</w:t>
      </w:r>
    </w:p>
    <w:tbl>
      <w:tblPr>
        <w:tblStyle w:val="32"/>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2"/>
        <w:gridCol w:w="946"/>
        <w:gridCol w:w="705"/>
        <w:gridCol w:w="960"/>
        <w:gridCol w:w="761"/>
        <w:gridCol w:w="935"/>
        <w:gridCol w:w="4323"/>
      </w:tblGrid>
      <w:tr w14:paraId="4CC59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332" w:type="pct"/>
            <w:tcBorders>
              <w:top w:val="single" w:color="000000" w:sz="12" w:space="0"/>
              <w:left w:val="nil"/>
              <w:bottom w:val="single" w:color="000000" w:sz="8" w:space="0"/>
              <w:right w:val="single" w:color="000000" w:sz="12" w:space="0"/>
            </w:tcBorders>
            <w:shd w:val="clear" w:color="auto" w:fill="FFFFFF"/>
            <w:vAlign w:val="center"/>
          </w:tcPr>
          <w:p w14:paraId="5992C983">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Doc ID</w:t>
            </w:r>
          </w:p>
        </w:tc>
        <w:tc>
          <w:tcPr>
            <w:tcW w:w="490" w:type="pct"/>
            <w:tcBorders>
              <w:top w:val="single" w:color="000000" w:sz="12" w:space="0"/>
              <w:left w:val="nil"/>
              <w:bottom w:val="single" w:color="000000" w:sz="8" w:space="0"/>
              <w:right w:val="nil"/>
            </w:tcBorders>
            <w:shd w:val="clear" w:color="auto" w:fill="FFFFFF"/>
            <w:vAlign w:val="center"/>
          </w:tcPr>
          <w:p w14:paraId="3855E443">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Source/issuer</w:t>
            </w:r>
          </w:p>
        </w:tc>
        <w:tc>
          <w:tcPr>
            <w:tcW w:w="382" w:type="pct"/>
            <w:tcBorders>
              <w:top w:val="single" w:color="000000" w:sz="12" w:space="0"/>
              <w:left w:val="nil"/>
              <w:bottom w:val="single" w:color="000000" w:sz="8" w:space="0"/>
              <w:right w:val="nil"/>
            </w:tcBorders>
            <w:shd w:val="clear" w:color="auto" w:fill="FFFFFF"/>
            <w:vAlign w:val="center"/>
          </w:tcPr>
          <w:p w14:paraId="52569C50">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Date</w:t>
            </w:r>
          </w:p>
        </w:tc>
        <w:tc>
          <w:tcPr>
            <w:tcW w:w="521" w:type="pct"/>
            <w:tcBorders>
              <w:top w:val="single" w:color="000000" w:sz="12" w:space="0"/>
              <w:left w:val="nil"/>
              <w:bottom w:val="single" w:color="000000" w:sz="8" w:space="0"/>
              <w:right w:val="nil"/>
            </w:tcBorders>
            <w:shd w:val="clear" w:color="auto" w:fill="FFFFFF"/>
            <w:vAlign w:val="center"/>
          </w:tcPr>
          <w:p w14:paraId="1619679B">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Type</w:t>
            </w:r>
          </w:p>
        </w:tc>
        <w:tc>
          <w:tcPr>
            <w:tcW w:w="413" w:type="pct"/>
            <w:tcBorders>
              <w:top w:val="single" w:color="000000" w:sz="12" w:space="0"/>
              <w:left w:val="nil"/>
              <w:bottom w:val="single" w:color="000000" w:sz="8" w:space="0"/>
              <w:right w:val="nil"/>
            </w:tcBorders>
            <w:shd w:val="clear" w:color="auto" w:fill="FFFFFF"/>
            <w:vAlign w:val="center"/>
          </w:tcPr>
          <w:p w14:paraId="2B5A33F6">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Site/case relevance</w:t>
            </w:r>
          </w:p>
        </w:tc>
        <w:tc>
          <w:tcPr>
            <w:tcW w:w="508" w:type="pct"/>
            <w:tcBorders>
              <w:top w:val="single" w:color="000000" w:sz="12" w:space="0"/>
              <w:left w:val="nil"/>
              <w:bottom w:val="single" w:color="000000" w:sz="8" w:space="0"/>
              <w:right w:val="nil"/>
            </w:tcBorders>
            <w:shd w:val="clear" w:color="auto" w:fill="FFFFFF"/>
            <w:vAlign w:val="center"/>
          </w:tcPr>
          <w:p w14:paraId="4D5FD345">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Analytical use</w:t>
            </w:r>
          </w:p>
        </w:tc>
        <w:tc>
          <w:tcPr>
            <w:tcW w:w="2351" w:type="pct"/>
            <w:tcBorders>
              <w:top w:val="single" w:color="000000" w:sz="12" w:space="0"/>
              <w:left w:val="nil"/>
              <w:bottom w:val="single" w:color="000000" w:sz="8" w:space="0"/>
              <w:right w:val="nil"/>
            </w:tcBorders>
            <w:shd w:val="clear" w:color="auto" w:fill="FFFFFF"/>
            <w:vAlign w:val="center"/>
          </w:tcPr>
          <w:p w14:paraId="160F64D5">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Archived location/access</w:t>
            </w:r>
          </w:p>
        </w:tc>
      </w:tr>
      <w:tr w14:paraId="183A3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2" w:type="pct"/>
            <w:tcBorders>
              <w:top w:val="nil"/>
              <w:left w:val="nil"/>
              <w:bottom w:val="nil"/>
              <w:right w:val="single" w:color="000000" w:sz="12" w:space="0"/>
            </w:tcBorders>
            <w:shd w:val="clear" w:color="auto" w:fill="FFFFFF"/>
            <w:vAlign w:val="center"/>
          </w:tcPr>
          <w:p w14:paraId="12619EDB">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DOC01</w:t>
            </w:r>
          </w:p>
        </w:tc>
        <w:tc>
          <w:tcPr>
            <w:tcW w:w="490" w:type="pct"/>
            <w:tcBorders>
              <w:top w:val="nil"/>
              <w:left w:val="nil"/>
              <w:bottom w:val="nil"/>
              <w:right w:val="nil"/>
            </w:tcBorders>
            <w:shd w:val="clear" w:color="auto" w:fill="FFFFFF"/>
            <w:vAlign w:val="center"/>
          </w:tcPr>
          <w:p w14:paraId="5E059253">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Chongqing Municipal Office of National Defense Mobilization</w:t>
            </w:r>
          </w:p>
        </w:tc>
        <w:tc>
          <w:tcPr>
            <w:tcW w:w="382" w:type="pct"/>
            <w:tcBorders>
              <w:top w:val="nil"/>
              <w:left w:val="nil"/>
              <w:bottom w:val="nil"/>
              <w:right w:val="nil"/>
            </w:tcBorders>
            <w:shd w:val="clear" w:color="auto" w:fill="FFFFFF"/>
            <w:vAlign w:val="center"/>
          </w:tcPr>
          <w:p w14:paraId="0F677A28">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7-Jul-26</w:t>
            </w:r>
          </w:p>
        </w:tc>
        <w:tc>
          <w:tcPr>
            <w:tcW w:w="521" w:type="pct"/>
            <w:tcBorders>
              <w:top w:val="nil"/>
              <w:left w:val="nil"/>
              <w:bottom w:val="nil"/>
              <w:right w:val="nil"/>
            </w:tcBorders>
            <w:shd w:val="clear" w:color="auto" w:fill="FFFFFF"/>
            <w:vAlign w:val="center"/>
          </w:tcPr>
          <w:p w14:paraId="2C7CC222">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Annual cooling-site announcement</w:t>
            </w:r>
          </w:p>
        </w:tc>
        <w:tc>
          <w:tcPr>
            <w:tcW w:w="413" w:type="pct"/>
            <w:tcBorders>
              <w:top w:val="nil"/>
              <w:left w:val="nil"/>
              <w:bottom w:val="nil"/>
              <w:right w:val="nil"/>
            </w:tcBorders>
            <w:shd w:val="clear" w:color="auto" w:fill="FFFFFF"/>
            <w:vAlign w:val="center"/>
          </w:tcPr>
          <w:p w14:paraId="551011E1">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All public sites (S01–S08)</w:t>
            </w:r>
          </w:p>
        </w:tc>
        <w:tc>
          <w:tcPr>
            <w:tcW w:w="508" w:type="pct"/>
            <w:tcBorders>
              <w:top w:val="nil"/>
              <w:left w:val="nil"/>
              <w:bottom w:val="nil"/>
              <w:right w:val="nil"/>
            </w:tcBorders>
            <w:shd w:val="clear" w:color="auto" w:fill="FFFFFF"/>
            <w:vAlign w:val="center"/>
          </w:tcPr>
          <w:p w14:paraId="17CD67FC">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Case I public-framing: official numbers, programme description, public-service narrative</w:t>
            </w:r>
          </w:p>
        </w:tc>
        <w:tc>
          <w:tcPr>
            <w:tcW w:w="2351" w:type="pct"/>
            <w:tcBorders>
              <w:top w:val="nil"/>
              <w:left w:val="nil"/>
              <w:bottom w:val="nil"/>
              <w:right w:val="nil"/>
            </w:tcBorders>
            <w:shd w:val="clear" w:color="auto" w:fill="FFFFFF"/>
            <w:vAlign w:val="center"/>
          </w:tcPr>
          <w:p w14:paraId="17351CC4">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https://rmfkb.cq.gov.cn/sy_246/bmdt/zqrfdt/202607/t20260707_15805978.html; accessed 8 Jul 2026</w:t>
            </w:r>
          </w:p>
        </w:tc>
      </w:tr>
      <w:tr w14:paraId="294F9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2" w:type="pct"/>
            <w:tcBorders>
              <w:top w:val="nil"/>
              <w:left w:val="nil"/>
              <w:bottom w:val="nil"/>
              <w:right w:val="single" w:color="000000" w:sz="12" w:space="0"/>
            </w:tcBorders>
            <w:shd w:val="clear" w:color="auto" w:fill="FFFFFF"/>
            <w:vAlign w:val="center"/>
          </w:tcPr>
          <w:p w14:paraId="09D00981">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DOC04</w:t>
            </w:r>
          </w:p>
        </w:tc>
        <w:tc>
          <w:tcPr>
            <w:tcW w:w="490" w:type="pct"/>
            <w:tcBorders>
              <w:top w:val="nil"/>
              <w:left w:val="nil"/>
              <w:bottom w:val="nil"/>
              <w:right w:val="nil"/>
            </w:tcBorders>
            <w:shd w:val="clear" w:color="auto" w:fill="FFFFFF"/>
            <w:vAlign w:val="center"/>
          </w:tcPr>
          <w:p w14:paraId="6DA7AA98">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S01 on-site signage</w:t>
            </w:r>
          </w:p>
        </w:tc>
        <w:tc>
          <w:tcPr>
            <w:tcW w:w="382" w:type="pct"/>
            <w:tcBorders>
              <w:top w:val="nil"/>
              <w:left w:val="nil"/>
              <w:bottom w:val="nil"/>
              <w:right w:val="nil"/>
            </w:tcBorders>
            <w:shd w:val="clear" w:color="auto" w:fill="FFFFFF"/>
            <w:vAlign w:val="center"/>
          </w:tcPr>
          <w:p w14:paraId="65D456E5">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Observed 16 Jul 2025</w:t>
            </w:r>
          </w:p>
        </w:tc>
        <w:tc>
          <w:tcPr>
            <w:tcW w:w="521" w:type="pct"/>
            <w:tcBorders>
              <w:top w:val="nil"/>
              <w:left w:val="nil"/>
              <w:bottom w:val="nil"/>
              <w:right w:val="nil"/>
            </w:tcBorders>
            <w:shd w:val="clear" w:color="auto" w:fill="FFFFFF"/>
            <w:vAlign w:val="center"/>
          </w:tcPr>
          <w:p w14:paraId="3A5E04D6">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Posted rules</w:t>
            </w:r>
          </w:p>
        </w:tc>
        <w:tc>
          <w:tcPr>
            <w:tcW w:w="413" w:type="pct"/>
            <w:tcBorders>
              <w:top w:val="nil"/>
              <w:left w:val="nil"/>
              <w:bottom w:val="nil"/>
              <w:right w:val="nil"/>
            </w:tcBorders>
            <w:shd w:val="clear" w:color="auto" w:fill="FFFFFF"/>
            <w:vAlign w:val="center"/>
          </w:tcPr>
          <w:p w14:paraId="20878D60">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S01</w:t>
            </w:r>
          </w:p>
        </w:tc>
        <w:tc>
          <w:tcPr>
            <w:tcW w:w="508" w:type="pct"/>
            <w:tcBorders>
              <w:top w:val="nil"/>
              <w:left w:val="nil"/>
              <w:bottom w:val="nil"/>
              <w:right w:val="nil"/>
            </w:tcBorders>
            <w:shd w:val="clear" w:color="auto" w:fill="FFFFFF"/>
            <w:vAlign w:val="center"/>
          </w:tcPr>
          <w:p w14:paraId="26EDCB02">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Case I &amp; II: rule content, tone, enforcement cues</w:t>
            </w:r>
          </w:p>
        </w:tc>
        <w:tc>
          <w:tcPr>
            <w:tcW w:w="2351" w:type="pct"/>
            <w:tcBorders>
              <w:top w:val="nil"/>
              <w:left w:val="nil"/>
              <w:bottom w:val="nil"/>
              <w:right w:val="nil"/>
            </w:tcBorders>
            <w:shd w:val="clear" w:color="auto" w:fill="FFFFFF"/>
            <w:vAlign w:val="center"/>
          </w:tcPr>
          <w:p w14:paraId="3B188627">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Photo S01_012, filed</w:t>
            </w:r>
          </w:p>
        </w:tc>
      </w:tr>
      <w:tr w14:paraId="3BDDD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2" w:type="pct"/>
            <w:tcBorders>
              <w:top w:val="nil"/>
              <w:left w:val="nil"/>
              <w:bottom w:val="nil"/>
              <w:right w:val="single" w:color="000000" w:sz="12" w:space="0"/>
            </w:tcBorders>
            <w:shd w:val="clear" w:color="auto" w:fill="FFFFFF"/>
            <w:vAlign w:val="center"/>
          </w:tcPr>
          <w:p w14:paraId="6633F252">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DOC05</w:t>
            </w:r>
          </w:p>
        </w:tc>
        <w:tc>
          <w:tcPr>
            <w:tcW w:w="490" w:type="pct"/>
            <w:tcBorders>
              <w:top w:val="nil"/>
              <w:left w:val="nil"/>
              <w:bottom w:val="nil"/>
              <w:right w:val="nil"/>
            </w:tcBorders>
            <w:shd w:val="clear" w:color="auto" w:fill="FFFFFF"/>
            <w:vAlign w:val="center"/>
          </w:tcPr>
          <w:p w14:paraId="07592D2A">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S02 on-site signage</w:t>
            </w:r>
          </w:p>
        </w:tc>
        <w:tc>
          <w:tcPr>
            <w:tcW w:w="382" w:type="pct"/>
            <w:tcBorders>
              <w:top w:val="nil"/>
              <w:left w:val="nil"/>
              <w:bottom w:val="nil"/>
              <w:right w:val="nil"/>
            </w:tcBorders>
            <w:shd w:val="clear" w:color="auto" w:fill="FFFFFF"/>
            <w:vAlign w:val="center"/>
          </w:tcPr>
          <w:p w14:paraId="391FAF92">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Observed 17 Jul 2025</w:t>
            </w:r>
          </w:p>
        </w:tc>
        <w:tc>
          <w:tcPr>
            <w:tcW w:w="521" w:type="pct"/>
            <w:tcBorders>
              <w:top w:val="nil"/>
              <w:left w:val="nil"/>
              <w:bottom w:val="nil"/>
              <w:right w:val="nil"/>
            </w:tcBorders>
            <w:shd w:val="clear" w:color="auto" w:fill="FFFFFF"/>
            <w:vAlign w:val="center"/>
          </w:tcPr>
          <w:p w14:paraId="7448ADC4">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Posted rules</w:t>
            </w:r>
          </w:p>
        </w:tc>
        <w:tc>
          <w:tcPr>
            <w:tcW w:w="413" w:type="pct"/>
            <w:tcBorders>
              <w:top w:val="nil"/>
              <w:left w:val="nil"/>
              <w:bottom w:val="nil"/>
              <w:right w:val="nil"/>
            </w:tcBorders>
            <w:shd w:val="clear" w:color="auto" w:fill="FFFFFF"/>
            <w:vAlign w:val="center"/>
          </w:tcPr>
          <w:p w14:paraId="5F0609A6">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S02</w:t>
            </w:r>
          </w:p>
        </w:tc>
        <w:tc>
          <w:tcPr>
            <w:tcW w:w="508" w:type="pct"/>
            <w:tcBorders>
              <w:top w:val="nil"/>
              <w:left w:val="nil"/>
              <w:bottom w:val="nil"/>
              <w:right w:val="nil"/>
            </w:tcBorders>
            <w:shd w:val="clear" w:color="auto" w:fill="FFFFFF"/>
            <w:vAlign w:val="center"/>
          </w:tcPr>
          <w:p w14:paraId="0E05FDAB">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Case I &amp; II: comparison of rule framing</w:t>
            </w:r>
          </w:p>
        </w:tc>
        <w:tc>
          <w:tcPr>
            <w:tcW w:w="2351" w:type="pct"/>
            <w:tcBorders>
              <w:top w:val="nil"/>
              <w:left w:val="nil"/>
              <w:bottom w:val="nil"/>
              <w:right w:val="nil"/>
            </w:tcBorders>
            <w:shd w:val="clear" w:color="auto" w:fill="FFFFFF"/>
            <w:vAlign w:val="center"/>
          </w:tcPr>
          <w:p w14:paraId="73F0865A">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Photo S02_050, filed</w:t>
            </w:r>
          </w:p>
        </w:tc>
      </w:tr>
      <w:tr w14:paraId="4669E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2" w:type="pct"/>
            <w:tcBorders>
              <w:top w:val="nil"/>
              <w:left w:val="nil"/>
              <w:bottom w:val="nil"/>
              <w:right w:val="single" w:color="000000" w:sz="12" w:space="0"/>
            </w:tcBorders>
            <w:shd w:val="clear" w:color="auto" w:fill="FFFFFF"/>
            <w:vAlign w:val="center"/>
          </w:tcPr>
          <w:p w14:paraId="065E1D29">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DOC08</w:t>
            </w:r>
          </w:p>
        </w:tc>
        <w:tc>
          <w:tcPr>
            <w:tcW w:w="490" w:type="pct"/>
            <w:tcBorders>
              <w:top w:val="nil"/>
              <w:left w:val="nil"/>
              <w:bottom w:val="nil"/>
              <w:right w:val="nil"/>
            </w:tcBorders>
            <w:shd w:val="clear" w:color="auto" w:fill="FFFFFF"/>
            <w:vAlign w:val="center"/>
          </w:tcPr>
          <w:p w14:paraId="6FF9362A">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S05 on-site signage</w:t>
            </w:r>
          </w:p>
        </w:tc>
        <w:tc>
          <w:tcPr>
            <w:tcW w:w="382" w:type="pct"/>
            <w:tcBorders>
              <w:top w:val="nil"/>
              <w:left w:val="nil"/>
              <w:bottom w:val="nil"/>
              <w:right w:val="nil"/>
            </w:tcBorders>
            <w:shd w:val="clear" w:color="auto" w:fill="FFFFFF"/>
            <w:vAlign w:val="center"/>
          </w:tcPr>
          <w:p w14:paraId="46F7C1B7">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Observed 18 Jul 2025</w:t>
            </w:r>
          </w:p>
        </w:tc>
        <w:tc>
          <w:tcPr>
            <w:tcW w:w="521" w:type="pct"/>
            <w:tcBorders>
              <w:top w:val="nil"/>
              <w:left w:val="nil"/>
              <w:bottom w:val="nil"/>
              <w:right w:val="nil"/>
            </w:tcBorders>
            <w:shd w:val="clear" w:color="auto" w:fill="FFFFFF"/>
            <w:vAlign w:val="center"/>
          </w:tcPr>
          <w:p w14:paraId="47B60E26">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Posted rules + volunteer notice</w:t>
            </w:r>
          </w:p>
        </w:tc>
        <w:tc>
          <w:tcPr>
            <w:tcW w:w="413" w:type="pct"/>
            <w:tcBorders>
              <w:top w:val="nil"/>
              <w:left w:val="nil"/>
              <w:bottom w:val="nil"/>
              <w:right w:val="nil"/>
            </w:tcBorders>
            <w:shd w:val="clear" w:color="auto" w:fill="FFFFFF"/>
            <w:vAlign w:val="center"/>
          </w:tcPr>
          <w:p w14:paraId="1CD8EB82">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S05</w:t>
            </w:r>
          </w:p>
        </w:tc>
        <w:tc>
          <w:tcPr>
            <w:tcW w:w="508" w:type="pct"/>
            <w:tcBorders>
              <w:top w:val="nil"/>
              <w:left w:val="nil"/>
              <w:bottom w:val="nil"/>
              <w:right w:val="nil"/>
            </w:tcBorders>
            <w:shd w:val="clear" w:color="auto" w:fill="FFFFFF"/>
            <w:vAlign w:val="center"/>
          </w:tcPr>
          <w:p w14:paraId="55A6F521">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Case I: absence of formal staff, volunteer presence</w:t>
            </w:r>
          </w:p>
        </w:tc>
        <w:tc>
          <w:tcPr>
            <w:tcW w:w="2351" w:type="pct"/>
            <w:tcBorders>
              <w:top w:val="nil"/>
              <w:left w:val="nil"/>
              <w:bottom w:val="nil"/>
              <w:right w:val="nil"/>
            </w:tcBorders>
            <w:shd w:val="clear" w:color="auto" w:fill="FFFFFF"/>
            <w:vAlign w:val="center"/>
          </w:tcPr>
          <w:p w14:paraId="4DABF2F0">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Photo S05_160, filed</w:t>
            </w:r>
          </w:p>
        </w:tc>
      </w:tr>
      <w:tr w14:paraId="67B59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2" w:type="pct"/>
            <w:tcBorders>
              <w:top w:val="nil"/>
              <w:left w:val="nil"/>
              <w:bottom w:val="nil"/>
              <w:right w:val="single" w:color="000000" w:sz="12" w:space="0"/>
            </w:tcBorders>
            <w:shd w:val="clear" w:color="auto" w:fill="FFFFFF"/>
            <w:vAlign w:val="center"/>
          </w:tcPr>
          <w:p w14:paraId="4433BC02">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DOC15</w:t>
            </w:r>
          </w:p>
        </w:tc>
        <w:tc>
          <w:tcPr>
            <w:tcW w:w="490" w:type="pct"/>
            <w:tcBorders>
              <w:top w:val="nil"/>
              <w:left w:val="nil"/>
              <w:bottom w:val="nil"/>
              <w:right w:val="nil"/>
            </w:tcBorders>
            <w:shd w:val="clear" w:color="auto" w:fill="FFFFFF"/>
            <w:vAlign w:val="center"/>
          </w:tcPr>
          <w:p w14:paraId="7E130F88">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Chongqing Municipal Office of National Defense Mobilization</w:t>
            </w:r>
          </w:p>
        </w:tc>
        <w:tc>
          <w:tcPr>
            <w:tcW w:w="382" w:type="pct"/>
            <w:tcBorders>
              <w:top w:val="nil"/>
              <w:left w:val="nil"/>
              <w:bottom w:val="nil"/>
              <w:right w:val="nil"/>
            </w:tcBorders>
            <w:shd w:val="clear" w:color="auto" w:fill="FFFFFF"/>
            <w:vAlign w:val="center"/>
          </w:tcPr>
          <w:p w14:paraId="0F914386">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4-Sep-24</w:t>
            </w:r>
          </w:p>
        </w:tc>
        <w:tc>
          <w:tcPr>
            <w:tcW w:w="521" w:type="pct"/>
            <w:tcBorders>
              <w:top w:val="nil"/>
              <w:left w:val="nil"/>
              <w:bottom w:val="nil"/>
              <w:right w:val="nil"/>
            </w:tcBorders>
            <w:shd w:val="clear" w:color="auto" w:fill="FFFFFF"/>
            <w:vAlign w:val="center"/>
          </w:tcPr>
          <w:p w14:paraId="3919F033">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Publicity material ("Cooling in civil-defence facilities")</w:t>
            </w:r>
          </w:p>
        </w:tc>
        <w:tc>
          <w:tcPr>
            <w:tcW w:w="413" w:type="pct"/>
            <w:tcBorders>
              <w:top w:val="nil"/>
              <w:left w:val="nil"/>
              <w:bottom w:val="nil"/>
              <w:right w:val="nil"/>
            </w:tcBorders>
            <w:shd w:val="clear" w:color="auto" w:fill="FFFFFF"/>
            <w:vAlign w:val="center"/>
          </w:tcPr>
          <w:p w14:paraId="53D39F2E">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All public sites</w:t>
            </w:r>
          </w:p>
        </w:tc>
        <w:tc>
          <w:tcPr>
            <w:tcW w:w="508" w:type="pct"/>
            <w:tcBorders>
              <w:top w:val="nil"/>
              <w:left w:val="nil"/>
              <w:bottom w:val="nil"/>
              <w:right w:val="nil"/>
            </w:tcBorders>
            <w:shd w:val="clear" w:color="auto" w:fill="FFFFFF"/>
            <w:vAlign w:val="center"/>
          </w:tcPr>
          <w:p w14:paraId="24FF7145">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Case I &amp; III: official care narrative, community activities</w:t>
            </w:r>
          </w:p>
        </w:tc>
        <w:tc>
          <w:tcPr>
            <w:tcW w:w="2351" w:type="pct"/>
            <w:tcBorders>
              <w:top w:val="nil"/>
              <w:left w:val="nil"/>
              <w:bottom w:val="nil"/>
              <w:right w:val="nil"/>
            </w:tcBorders>
            <w:shd w:val="clear" w:color="auto" w:fill="FFFFFF"/>
            <w:vAlign w:val="center"/>
          </w:tcPr>
          <w:p w14:paraId="6C53CEDF">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https://rmfkb.cq.gov.cn/sy_246/jdtp/202408/t20240816_13510128.html; accessed 12 Jul 2025</w:t>
            </w:r>
          </w:p>
        </w:tc>
      </w:tr>
      <w:tr w14:paraId="53BE7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2" w:type="pct"/>
            <w:tcBorders>
              <w:top w:val="nil"/>
              <w:left w:val="nil"/>
              <w:bottom w:val="nil"/>
              <w:right w:val="single" w:color="000000" w:sz="12" w:space="0"/>
            </w:tcBorders>
            <w:shd w:val="clear" w:color="auto" w:fill="FFFFFF"/>
            <w:vAlign w:val="center"/>
          </w:tcPr>
          <w:p w14:paraId="2CFA3A1B">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DOC18</w:t>
            </w:r>
          </w:p>
        </w:tc>
        <w:tc>
          <w:tcPr>
            <w:tcW w:w="490" w:type="pct"/>
            <w:tcBorders>
              <w:top w:val="nil"/>
              <w:left w:val="nil"/>
              <w:bottom w:val="nil"/>
              <w:right w:val="nil"/>
            </w:tcBorders>
            <w:shd w:val="clear" w:color="auto" w:fill="FFFFFF"/>
            <w:vAlign w:val="center"/>
          </w:tcPr>
          <w:p w14:paraId="61EACFA2">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Chongqing Municipal Office of National Defense Mobilization</w:t>
            </w:r>
          </w:p>
        </w:tc>
        <w:tc>
          <w:tcPr>
            <w:tcW w:w="382" w:type="pct"/>
            <w:tcBorders>
              <w:top w:val="nil"/>
              <w:left w:val="nil"/>
              <w:bottom w:val="nil"/>
              <w:right w:val="nil"/>
            </w:tcBorders>
            <w:shd w:val="clear" w:color="auto" w:fill="FFFFFF"/>
            <w:vAlign w:val="center"/>
          </w:tcPr>
          <w:p w14:paraId="59F0FB16">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30-Apr-25</w:t>
            </w:r>
          </w:p>
        </w:tc>
        <w:tc>
          <w:tcPr>
            <w:tcW w:w="521" w:type="pct"/>
            <w:tcBorders>
              <w:top w:val="nil"/>
              <w:left w:val="nil"/>
              <w:bottom w:val="nil"/>
              <w:right w:val="nil"/>
            </w:tcBorders>
            <w:shd w:val="clear" w:color="auto" w:fill="FFFFFF"/>
            <w:vAlign w:val="center"/>
          </w:tcPr>
          <w:p w14:paraId="6FFDBC21">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Publicity material ("Air-raid shelter plus")</w:t>
            </w:r>
          </w:p>
        </w:tc>
        <w:tc>
          <w:tcPr>
            <w:tcW w:w="413" w:type="pct"/>
            <w:tcBorders>
              <w:top w:val="nil"/>
              <w:left w:val="nil"/>
              <w:bottom w:val="nil"/>
              <w:right w:val="nil"/>
            </w:tcBorders>
            <w:shd w:val="clear" w:color="auto" w:fill="FFFFFF"/>
            <w:vAlign w:val="center"/>
          </w:tcPr>
          <w:p w14:paraId="66351529">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R01–R04</w:t>
            </w:r>
          </w:p>
        </w:tc>
        <w:tc>
          <w:tcPr>
            <w:tcW w:w="508" w:type="pct"/>
            <w:tcBorders>
              <w:top w:val="nil"/>
              <w:left w:val="nil"/>
              <w:bottom w:val="nil"/>
              <w:right w:val="nil"/>
            </w:tcBorders>
            <w:shd w:val="clear" w:color="auto" w:fill="FFFFFF"/>
            <w:vAlign w:val="center"/>
          </w:tcPr>
          <w:p w14:paraId="77EEA15F">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Case III: official framing of adaptive reuse, consumption</w:t>
            </w:r>
          </w:p>
        </w:tc>
        <w:tc>
          <w:tcPr>
            <w:tcW w:w="2351" w:type="pct"/>
            <w:tcBorders>
              <w:top w:val="nil"/>
              <w:left w:val="nil"/>
              <w:bottom w:val="nil"/>
              <w:right w:val="nil"/>
            </w:tcBorders>
            <w:shd w:val="clear" w:color="auto" w:fill="FFFFFF"/>
            <w:vAlign w:val="center"/>
          </w:tcPr>
          <w:p w14:paraId="0918BF35">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https://rmfkb.cq.gov.cn/sy_246/bmdt/zqrfdt/202504/t20250430_14573455.html; accessed 10 Jul 2025</w:t>
            </w:r>
          </w:p>
        </w:tc>
      </w:tr>
      <w:tr w14:paraId="475A0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2" w:type="pct"/>
            <w:tcBorders>
              <w:top w:val="nil"/>
              <w:left w:val="nil"/>
              <w:bottom w:val="nil"/>
              <w:right w:val="single" w:color="000000" w:sz="12" w:space="0"/>
            </w:tcBorders>
            <w:shd w:val="clear" w:color="auto" w:fill="FFFFFF"/>
            <w:vAlign w:val="center"/>
          </w:tcPr>
          <w:p w14:paraId="3B6005CA">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DOC24</w:t>
            </w:r>
          </w:p>
        </w:tc>
        <w:tc>
          <w:tcPr>
            <w:tcW w:w="490" w:type="pct"/>
            <w:tcBorders>
              <w:top w:val="nil"/>
              <w:left w:val="nil"/>
              <w:bottom w:val="nil"/>
              <w:right w:val="nil"/>
            </w:tcBorders>
            <w:shd w:val="clear" w:color="auto" w:fill="FFFFFF"/>
            <w:vAlign w:val="center"/>
          </w:tcPr>
          <w:p w14:paraId="121D4116">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R01 operator</w:t>
            </w:r>
          </w:p>
        </w:tc>
        <w:tc>
          <w:tcPr>
            <w:tcW w:w="382" w:type="pct"/>
            <w:tcBorders>
              <w:top w:val="nil"/>
              <w:left w:val="nil"/>
              <w:bottom w:val="nil"/>
              <w:right w:val="nil"/>
            </w:tcBorders>
            <w:shd w:val="clear" w:color="auto" w:fill="FFFFFF"/>
            <w:vAlign w:val="center"/>
          </w:tcPr>
          <w:p w14:paraId="18C75E8E">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Observed 29 Jul 2025</w:t>
            </w:r>
          </w:p>
        </w:tc>
        <w:tc>
          <w:tcPr>
            <w:tcW w:w="521" w:type="pct"/>
            <w:tcBorders>
              <w:top w:val="nil"/>
              <w:left w:val="nil"/>
              <w:bottom w:val="nil"/>
              <w:right w:val="nil"/>
            </w:tcBorders>
            <w:shd w:val="clear" w:color="auto" w:fill="FFFFFF"/>
            <w:vAlign w:val="center"/>
          </w:tcPr>
          <w:p w14:paraId="19FBA6DC">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Exhibition brochure</w:t>
            </w:r>
          </w:p>
        </w:tc>
        <w:tc>
          <w:tcPr>
            <w:tcW w:w="413" w:type="pct"/>
            <w:tcBorders>
              <w:top w:val="nil"/>
              <w:left w:val="nil"/>
              <w:bottom w:val="nil"/>
              <w:right w:val="nil"/>
            </w:tcBorders>
            <w:shd w:val="clear" w:color="auto" w:fill="FFFFFF"/>
            <w:vAlign w:val="center"/>
          </w:tcPr>
          <w:p w14:paraId="7A56C57C">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R01</w:t>
            </w:r>
          </w:p>
        </w:tc>
        <w:tc>
          <w:tcPr>
            <w:tcW w:w="508" w:type="pct"/>
            <w:tcBorders>
              <w:top w:val="nil"/>
              <w:left w:val="nil"/>
              <w:bottom w:val="nil"/>
              <w:right w:val="nil"/>
            </w:tcBorders>
            <w:shd w:val="clear" w:color="auto" w:fill="FFFFFF"/>
            <w:vAlign w:val="center"/>
          </w:tcPr>
          <w:p w14:paraId="4C5EAC45">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Case III: heritage interpretation, visitor experience</w:t>
            </w:r>
          </w:p>
        </w:tc>
        <w:tc>
          <w:tcPr>
            <w:tcW w:w="2351" w:type="pct"/>
            <w:tcBorders>
              <w:top w:val="nil"/>
              <w:left w:val="nil"/>
              <w:bottom w:val="nil"/>
              <w:right w:val="nil"/>
            </w:tcBorders>
            <w:shd w:val="clear" w:color="auto" w:fill="FFFFFF"/>
            <w:vAlign w:val="center"/>
          </w:tcPr>
          <w:p w14:paraId="2CCF3EFC">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Brochure copy, filed</w:t>
            </w:r>
          </w:p>
        </w:tc>
      </w:tr>
      <w:tr w14:paraId="5B2BA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2" w:type="pct"/>
            <w:tcBorders>
              <w:top w:val="nil"/>
              <w:left w:val="nil"/>
              <w:bottom w:val="single" w:color="000000" w:sz="12" w:space="0"/>
              <w:right w:val="single" w:color="000000" w:sz="12" w:space="0"/>
            </w:tcBorders>
            <w:shd w:val="clear" w:color="auto" w:fill="FFFFFF"/>
            <w:vAlign w:val="center"/>
          </w:tcPr>
          <w:p w14:paraId="0AEA13B0">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DOC27</w:t>
            </w:r>
          </w:p>
        </w:tc>
        <w:tc>
          <w:tcPr>
            <w:tcW w:w="490" w:type="pct"/>
            <w:tcBorders>
              <w:top w:val="nil"/>
              <w:left w:val="nil"/>
              <w:bottom w:val="single" w:color="000000" w:sz="12" w:space="0"/>
              <w:right w:val="nil"/>
            </w:tcBorders>
            <w:shd w:val="clear" w:color="auto" w:fill="FFFFFF"/>
            <w:vAlign w:val="center"/>
          </w:tcPr>
          <w:p w14:paraId="7E27714C">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R03 operator</w:t>
            </w:r>
          </w:p>
        </w:tc>
        <w:tc>
          <w:tcPr>
            <w:tcW w:w="382" w:type="pct"/>
            <w:tcBorders>
              <w:top w:val="nil"/>
              <w:left w:val="nil"/>
              <w:bottom w:val="single" w:color="000000" w:sz="12" w:space="0"/>
              <w:right w:val="nil"/>
            </w:tcBorders>
            <w:shd w:val="clear" w:color="auto" w:fill="FFFFFF"/>
            <w:vAlign w:val="center"/>
          </w:tcPr>
          <w:p w14:paraId="7DD17E61">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Observed 12 Aug 2025</w:t>
            </w:r>
          </w:p>
        </w:tc>
        <w:tc>
          <w:tcPr>
            <w:tcW w:w="521" w:type="pct"/>
            <w:tcBorders>
              <w:top w:val="nil"/>
              <w:left w:val="nil"/>
              <w:bottom w:val="single" w:color="000000" w:sz="12" w:space="0"/>
              <w:right w:val="nil"/>
            </w:tcBorders>
            <w:shd w:val="clear" w:color="auto" w:fill="FFFFFF"/>
            <w:vAlign w:val="center"/>
          </w:tcPr>
          <w:p w14:paraId="7B654529">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Menu / promotional material</w:t>
            </w:r>
          </w:p>
        </w:tc>
        <w:tc>
          <w:tcPr>
            <w:tcW w:w="413" w:type="pct"/>
            <w:tcBorders>
              <w:top w:val="nil"/>
              <w:left w:val="nil"/>
              <w:bottom w:val="single" w:color="000000" w:sz="12" w:space="0"/>
              <w:right w:val="nil"/>
            </w:tcBorders>
            <w:shd w:val="clear" w:color="auto" w:fill="FFFFFF"/>
            <w:vAlign w:val="center"/>
          </w:tcPr>
          <w:p w14:paraId="35499D42">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R03</w:t>
            </w:r>
          </w:p>
        </w:tc>
        <w:tc>
          <w:tcPr>
            <w:tcW w:w="508" w:type="pct"/>
            <w:tcBorders>
              <w:top w:val="nil"/>
              <w:left w:val="nil"/>
              <w:bottom w:val="single" w:color="000000" w:sz="12" w:space="0"/>
              <w:right w:val="nil"/>
            </w:tcBorders>
            <w:shd w:val="clear" w:color="auto" w:fill="FFFFFF"/>
            <w:vAlign w:val="center"/>
          </w:tcPr>
          <w:p w14:paraId="145D7CA5">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Case III: commercial framing, heritage marketing</w:t>
            </w:r>
          </w:p>
        </w:tc>
        <w:tc>
          <w:tcPr>
            <w:tcW w:w="2351" w:type="pct"/>
            <w:tcBorders>
              <w:top w:val="nil"/>
              <w:left w:val="nil"/>
              <w:bottom w:val="single" w:color="000000" w:sz="12" w:space="0"/>
              <w:right w:val="nil"/>
            </w:tcBorders>
            <w:shd w:val="clear" w:color="auto" w:fill="FFFFFF"/>
            <w:vAlign w:val="center"/>
          </w:tcPr>
          <w:p w14:paraId="72671591">
            <w:pPr>
              <w:keepNext/>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Menu copy, filed</w:t>
            </w:r>
          </w:p>
        </w:tc>
      </w:tr>
    </w:tbl>
    <w:p w14:paraId="315D2087">
      <w:pPr>
        <w:pStyle w:val="164"/>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sz w:val="24"/>
          <w:szCs w:val="24"/>
        </w:rPr>
      </w:pPr>
      <w:r>
        <w:rPr>
          <w:rFonts w:hint="default" w:ascii="Times New Roman" w:hAnsi="Times New Roman" w:eastAsia="Times New Roman" w:cs="Times New Roman"/>
          <w:i/>
          <w:sz w:val="24"/>
          <w:szCs w:val="24"/>
        </w:rPr>
        <w:t>Note.</w:t>
      </w:r>
      <w:r>
        <w:rPr>
          <w:rFonts w:hint="default" w:ascii="Times New Roman" w:hAnsi="Times New Roman" w:eastAsia="Times New Roman" w:cs="Times New Roman"/>
          <w:sz w:val="24"/>
          <w:szCs w:val="24"/>
        </w:rPr>
        <w:t xml:space="preserve"> The complete 47-item corpus comprised municipal announcements/policy notices (n=9), on-site rules/signage (n=14), official publicity (n=11), reuse-operator materials (n=7), and directly relevant media reports (n=6). Table A3 reproduces selected evidence-bearing documents; the full index is retained in the project archive. The 2026 municipal announcement is used only as a post-fieldwork contextual update.</w:t>
      </w:r>
    </w:p>
    <w:p w14:paraId="5FD917F7">
      <w:pPr>
        <w:pStyle w:val="164"/>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sz w:val="24"/>
          <w:szCs w:val="24"/>
        </w:rPr>
      </w:pPr>
    </w:p>
    <w:p w14:paraId="489B8DAC">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color w:val="000000"/>
          <w:sz w:val="24"/>
          <w:szCs w:val="24"/>
        </w:rPr>
      </w:pPr>
      <w:r>
        <w:rPr>
          <w:rFonts w:hint="default" w:ascii="Times New Roman" w:hAnsi="Times New Roman" w:eastAsia="Times New Roman" w:cs="Times New Roman"/>
          <w:color w:val="000000"/>
          <w:sz w:val="24"/>
          <w:szCs w:val="24"/>
        </w:rPr>
        <w:t>The table separates institutional discourse from participant evidence while making documentary provenance inspectable.</w:t>
      </w:r>
    </w:p>
    <w:p w14:paraId="6AAD0838">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color w:val="000000"/>
          <w:sz w:val="24"/>
          <w:szCs w:val="24"/>
        </w:rPr>
      </w:pPr>
    </w:p>
    <w:p w14:paraId="790539B9">
      <w:pPr>
        <w:pStyle w:val="4"/>
        <w:keepNext/>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8"/>
          <w:szCs w:val="28"/>
        </w:rPr>
      </w:pPr>
      <w:r>
        <w:rPr>
          <w:rFonts w:hint="default" w:ascii="Times New Roman" w:hAnsi="Times New Roman" w:eastAsia="Times New Roman" w:cs="Times New Roman"/>
          <w:b/>
          <w:i w:val="0"/>
          <w:color w:val="000000"/>
          <w:sz w:val="28"/>
          <w:szCs w:val="28"/>
        </w:rPr>
        <w:t>Appendix F. Analytical codebook structure</w:t>
      </w:r>
    </w:p>
    <w:p w14:paraId="0719B51E">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i w:val="0"/>
          <w:color w:val="000000"/>
          <w:sz w:val="24"/>
          <w:szCs w:val="24"/>
        </w:rPr>
        <w:t>Appendix Table A4 summarizes the final codebook structure after deductive framework coding and inductive refinement within each domain.</w:t>
      </w:r>
    </w:p>
    <w:p w14:paraId="7C5BF63C">
      <w:pPr>
        <w:pStyle w:val="164"/>
        <w:pageBreakBefore w:val="0"/>
        <w:widowControl/>
        <w:kinsoku/>
        <w:wordWrap/>
        <w:overflowPunct/>
        <w:topLinePunct w:val="0"/>
        <w:autoSpaceDE/>
        <w:autoSpaceDN/>
        <w:bidi w:val="0"/>
        <w:adjustRightInd/>
        <w:snapToGrid/>
        <w:spacing w:before="0" w:after="160" w:line="240" w:lineRule="auto"/>
        <w:ind w:left="0" w:firstLine="0"/>
        <w:jc w:val="center"/>
        <w:textAlignment w:val="auto"/>
        <w:rPr>
          <w:rFonts w:hint="default" w:ascii="Times New Roman" w:hAnsi="Times New Roman" w:eastAsia="Times New Roman" w:cs="Times New Roman"/>
          <w:b/>
          <w:i w:val="0"/>
          <w:color w:val="000000"/>
          <w:sz w:val="24"/>
          <w:szCs w:val="24"/>
        </w:rPr>
      </w:pPr>
    </w:p>
    <w:p w14:paraId="31C2B70A">
      <w:pPr>
        <w:pStyle w:val="164"/>
        <w:pageBreakBefore w:val="0"/>
        <w:widowControl/>
        <w:kinsoku/>
        <w:wordWrap/>
        <w:overflowPunct/>
        <w:topLinePunct w:val="0"/>
        <w:autoSpaceDE/>
        <w:autoSpaceDN/>
        <w:bidi w:val="0"/>
        <w:adjustRightInd/>
        <w:snapToGrid/>
        <w:spacing w:before="0" w:after="160" w:line="240" w:lineRule="auto"/>
        <w:ind w:left="0" w:firstLine="0"/>
        <w:jc w:val="center"/>
        <w:textAlignment w:val="auto"/>
        <w:rPr>
          <w:rFonts w:hint="default" w:ascii="Times New Roman" w:hAnsi="Times New Roman" w:cs="Times New Roman"/>
          <w:sz w:val="24"/>
          <w:szCs w:val="24"/>
        </w:rPr>
      </w:pPr>
      <w:r>
        <w:rPr>
          <w:rFonts w:hint="default" w:ascii="Times New Roman" w:hAnsi="Times New Roman" w:eastAsia="Times New Roman" w:cs="Times New Roman"/>
          <w:b/>
          <w:i w:val="0"/>
          <w:color w:val="000000"/>
          <w:sz w:val="24"/>
          <w:szCs w:val="24"/>
        </w:rPr>
        <w:t>Table A4.</w:t>
      </w:r>
      <w:r>
        <w:rPr>
          <w:rFonts w:hint="default" w:ascii="Times New Roman" w:hAnsi="Times New Roman" w:eastAsia="Times New Roman" w:cs="Times New Roman"/>
          <w:b w:val="0"/>
          <w:i w:val="0"/>
          <w:color w:val="000000"/>
          <w:sz w:val="24"/>
          <w:szCs w:val="24"/>
        </w:rPr>
        <w:t xml:space="preserve"> Final codebook structure used in the two-pass analysis.</w:t>
      </w:r>
    </w:p>
    <w:tbl>
      <w:tblPr>
        <w:tblStyle w:val="32"/>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33"/>
        <w:gridCol w:w="2206"/>
        <w:gridCol w:w="1911"/>
        <w:gridCol w:w="1463"/>
        <w:gridCol w:w="2329"/>
      </w:tblGrid>
      <w:tr w14:paraId="12A5A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675" w:type="pct"/>
            <w:tcBorders>
              <w:top w:val="single" w:color="000000" w:sz="12" w:space="0"/>
              <w:left w:val="nil"/>
              <w:bottom w:val="single" w:color="000000" w:sz="8" w:space="0"/>
              <w:right w:val="single" w:color="000000" w:sz="12" w:space="0"/>
            </w:tcBorders>
            <w:shd w:val="clear" w:color="auto" w:fill="FFFFFF"/>
            <w:vAlign w:val="center"/>
          </w:tcPr>
          <w:p w14:paraId="7B35BF0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Framework domain</w:t>
            </w:r>
          </w:p>
        </w:tc>
        <w:tc>
          <w:tcPr>
            <w:tcW w:w="1206" w:type="pct"/>
            <w:tcBorders>
              <w:top w:val="single" w:color="000000" w:sz="12" w:space="0"/>
              <w:left w:val="nil"/>
              <w:bottom w:val="single" w:color="000000" w:sz="8" w:space="0"/>
              <w:right w:val="nil"/>
            </w:tcBorders>
            <w:shd w:val="clear" w:color="auto" w:fill="FFFFFF"/>
            <w:vAlign w:val="center"/>
          </w:tcPr>
          <w:p w14:paraId="02B2668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Definition</w:t>
            </w:r>
          </w:p>
        </w:tc>
        <w:tc>
          <w:tcPr>
            <w:tcW w:w="1045" w:type="pct"/>
            <w:tcBorders>
              <w:top w:val="single" w:color="000000" w:sz="12" w:space="0"/>
              <w:left w:val="nil"/>
              <w:bottom w:val="single" w:color="000000" w:sz="8" w:space="0"/>
              <w:right w:val="nil"/>
            </w:tcBorders>
            <w:shd w:val="clear" w:color="auto" w:fill="FFFFFF"/>
            <w:vAlign w:val="center"/>
          </w:tcPr>
          <w:p w14:paraId="2B18116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Examples of possible subcodes</w:t>
            </w:r>
          </w:p>
        </w:tc>
        <w:tc>
          <w:tcPr>
            <w:tcW w:w="799" w:type="pct"/>
            <w:tcBorders>
              <w:top w:val="single" w:color="000000" w:sz="12" w:space="0"/>
              <w:left w:val="nil"/>
              <w:bottom w:val="single" w:color="000000" w:sz="8" w:space="0"/>
              <w:right w:val="nil"/>
            </w:tcBorders>
            <w:shd w:val="clear" w:color="auto" w:fill="FFFFFF"/>
            <w:vAlign w:val="center"/>
          </w:tcPr>
          <w:p w14:paraId="6CCC7E4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Evidence rule</w:t>
            </w:r>
          </w:p>
        </w:tc>
        <w:tc>
          <w:tcPr>
            <w:tcW w:w="1273" w:type="pct"/>
            <w:tcBorders>
              <w:top w:val="single" w:color="000000" w:sz="12" w:space="0"/>
              <w:left w:val="nil"/>
              <w:bottom w:val="single" w:color="000000" w:sz="8" w:space="0"/>
              <w:right w:val="nil"/>
            </w:tcBorders>
            <w:shd w:val="clear" w:color="auto" w:fill="FFFFFF"/>
            <w:vAlign w:val="center"/>
          </w:tcPr>
          <w:p w14:paraId="3919393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Final realized subcodes</w:t>
            </w:r>
          </w:p>
        </w:tc>
      </w:tr>
      <w:tr w14:paraId="77DC7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75" w:type="pct"/>
            <w:tcBorders>
              <w:top w:val="nil"/>
              <w:left w:val="nil"/>
              <w:bottom w:val="nil"/>
              <w:right w:val="single" w:color="000000" w:sz="12" w:space="0"/>
            </w:tcBorders>
            <w:shd w:val="clear" w:color="auto" w:fill="FFFFFF"/>
            <w:vAlign w:val="center"/>
          </w:tcPr>
          <w:p w14:paraId="054DBF8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Material and bodily dynamics</w:t>
            </w:r>
          </w:p>
        </w:tc>
        <w:tc>
          <w:tcPr>
            <w:tcW w:w="1206" w:type="pct"/>
            <w:tcBorders>
              <w:top w:val="nil"/>
              <w:left w:val="nil"/>
              <w:bottom w:val="nil"/>
              <w:right w:val="nil"/>
            </w:tcBorders>
            <w:shd w:val="clear" w:color="auto" w:fill="FFFFFF"/>
            <w:vAlign w:val="center"/>
          </w:tcPr>
          <w:p w14:paraId="3EF3342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Spatial/material conditions through which bodies encounter the setting.</w:t>
            </w:r>
          </w:p>
        </w:tc>
        <w:tc>
          <w:tcPr>
            <w:tcW w:w="1045" w:type="pct"/>
            <w:tcBorders>
              <w:top w:val="nil"/>
              <w:left w:val="nil"/>
              <w:bottom w:val="nil"/>
              <w:right w:val="nil"/>
            </w:tcBorders>
            <w:shd w:val="clear" w:color="auto" w:fill="FFFFFF"/>
            <w:vAlign w:val="center"/>
          </w:tcPr>
          <w:p w14:paraId="5E78838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threshold; gradient; humidity; light; sound; seating; posture; circulation; proximity</w:t>
            </w:r>
          </w:p>
        </w:tc>
        <w:tc>
          <w:tcPr>
            <w:tcW w:w="799" w:type="pct"/>
            <w:tcBorders>
              <w:top w:val="nil"/>
              <w:left w:val="nil"/>
              <w:bottom w:val="nil"/>
              <w:right w:val="nil"/>
            </w:tcBorders>
            <w:shd w:val="clear" w:color="auto" w:fill="FFFFFF"/>
            <w:vAlign w:val="center"/>
          </w:tcPr>
          <w:p w14:paraId="59BA31B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Code only when tied to an observed or narrated spatial relation.</w:t>
            </w:r>
          </w:p>
        </w:tc>
        <w:tc>
          <w:tcPr>
            <w:tcW w:w="1273" w:type="pct"/>
            <w:tcBorders>
              <w:top w:val="nil"/>
              <w:left w:val="nil"/>
              <w:bottom w:val="nil"/>
              <w:right w:val="nil"/>
            </w:tcBorders>
            <w:shd w:val="clear" w:color="auto" w:fill="FFFFFF"/>
            <w:vAlign w:val="center"/>
          </w:tcPr>
          <w:p w14:paraId="31F05FC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entrance-legibility; stairs/effort; experienced-thermal-contrast; dampness; acoustics/reverberation; seating-type; furniture-arrangement; zonal-differentiation; ventilation; odour; visibility; proximity-to-exit</w:t>
            </w:r>
          </w:p>
        </w:tc>
      </w:tr>
      <w:tr w14:paraId="08410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75" w:type="pct"/>
            <w:tcBorders>
              <w:top w:val="nil"/>
              <w:left w:val="nil"/>
              <w:bottom w:val="nil"/>
              <w:right w:val="single" w:color="000000" w:sz="12" w:space="0"/>
            </w:tcBorders>
            <w:shd w:val="clear" w:color="auto" w:fill="FFFFFF"/>
            <w:vAlign w:val="center"/>
          </w:tcPr>
          <w:p w14:paraId="2317FD5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Embodied emotions</w:t>
            </w:r>
          </w:p>
        </w:tc>
        <w:tc>
          <w:tcPr>
            <w:tcW w:w="1206" w:type="pct"/>
            <w:tcBorders>
              <w:top w:val="nil"/>
              <w:left w:val="nil"/>
              <w:bottom w:val="nil"/>
              <w:right w:val="nil"/>
            </w:tcBorders>
            <w:shd w:val="clear" w:color="auto" w:fill="FFFFFF"/>
            <w:vAlign w:val="center"/>
          </w:tcPr>
          <w:p w14:paraId="20CD161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Felt or expressed experiences situated in the encounter.</w:t>
            </w:r>
          </w:p>
        </w:tc>
        <w:tc>
          <w:tcPr>
            <w:tcW w:w="1045" w:type="pct"/>
            <w:tcBorders>
              <w:top w:val="nil"/>
              <w:left w:val="nil"/>
              <w:bottom w:val="nil"/>
              <w:right w:val="nil"/>
            </w:tcBorders>
            <w:shd w:val="clear" w:color="auto" w:fill="FFFFFF"/>
            <w:vAlign w:val="center"/>
          </w:tcPr>
          <w:p w14:paraId="4385E87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relief; calm; unease; safety; embarrassment; dignity; nostalgia; irritation</w:t>
            </w:r>
          </w:p>
        </w:tc>
        <w:tc>
          <w:tcPr>
            <w:tcW w:w="799" w:type="pct"/>
            <w:tcBorders>
              <w:top w:val="nil"/>
              <w:left w:val="nil"/>
              <w:bottom w:val="nil"/>
              <w:right w:val="nil"/>
            </w:tcBorders>
            <w:shd w:val="clear" w:color="auto" w:fill="FFFFFF"/>
            <w:vAlign w:val="center"/>
          </w:tcPr>
          <w:p w14:paraId="44D17BF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Do not infer emotion from behaviour alone when no defensible contextual evidence exists.</w:t>
            </w:r>
          </w:p>
        </w:tc>
        <w:tc>
          <w:tcPr>
            <w:tcW w:w="1273" w:type="pct"/>
            <w:tcBorders>
              <w:top w:val="nil"/>
              <w:left w:val="nil"/>
              <w:bottom w:val="nil"/>
              <w:right w:val="nil"/>
            </w:tcBorders>
            <w:shd w:val="clear" w:color="auto" w:fill="FFFFFF"/>
            <w:vAlign w:val="center"/>
          </w:tcPr>
          <w:p w14:paraId="7332AB4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relief; bodily-effort-discomfort; dampness-disgust; calm; safety; surveillance-anxiety; awkwardness; embarrassment; dignity; nostalgia; indifference; loneliness; social-warmth; territorial-security; confinement-anxiety; coolness-as-dominant</w:t>
            </w:r>
          </w:p>
        </w:tc>
      </w:tr>
      <w:tr w14:paraId="126A8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75" w:type="pct"/>
            <w:tcBorders>
              <w:top w:val="nil"/>
              <w:left w:val="nil"/>
              <w:bottom w:val="nil"/>
              <w:right w:val="single" w:color="000000" w:sz="12" w:space="0"/>
            </w:tcBorders>
            <w:shd w:val="clear" w:color="auto" w:fill="FFFFFF"/>
            <w:vAlign w:val="center"/>
          </w:tcPr>
          <w:p w14:paraId="4F6B6D2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Emotional practices</w:t>
            </w:r>
          </w:p>
        </w:tc>
        <w:tc>
          <w:tcPr>
            <w:tcW w:w="1206" w:type="pct"/>
            <w:tcBorders>
              <w:top w:val="nil"/>
              <w:left w:val="nil"/>
              <w:bottom w:val="nil"/>
              <w:right w:val="nil"/>
            </w:tcBorders>
            <w:shd w:val="clear" w:color="auto" w:fill="FFFFFF"/>
            <w:vAlign w:val="center"/>
          </w:tcPr>
          <w:p w14:paraId="1AE0FF6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Practices through which feelings are expressed, regulated, redirected, or made social.</w:t>
            </w:r>
          </w:p>
        </w:tc>
        <w:tc>
          <w:tcPr>
            <w:tcW w:w="1045" w:type="pct"/>
            <w:tcBorders>
              <w:top w:val="nil"/>
              <w:left w:val="nil"/>
              <w:bottom w:val="nil"/>
              <w:right w:val="nil"/>
            </w:tcBorders>
            <w:shd w:val="clear" w:color="auto" w:fill="FFFFFF"/>
            <w:vAlign w:val="center"/>
          </w:tcPr>
          <w:p w14:paraId="51FD8DF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staying; leaving; moving; talking; avoiding; caring; joking; claiming a corner</w:t>
            </w:r>
          </w:p>
        </w:tc>
        <w:tc>
          <w:tcPr>
            <w:tcW w:w="799" w:type="pct"/>
            <w:tcBorders>
              <w:top w:val="nil"/>
              <w:left w:val="nil"/>
              <w:bottom w:val="nil"/>
              <w:right w:val="nil"/>
            </w:tcBorders>
            <w:shd w:val="clear" w:color="auto" w:fill="FFFFFF"/>
            <w:vAlign w:val="center"/>
          </w:tcPr>
          <w:p w14:paraId="1526361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Link practice to context and, where possible, participant interpretation.</w:t>
            </w:r>
          </w:p>
        </w:tc>
        <w:tc>
          <w:tcPr>
            <w:tcW w:w="1273" w:type="pct"/>
            <w:tcBorders>
              <w:top w:val="nil"/>
              <w:left w:val="nil"/>
              <w:bottom w:val="nil"/>
              <w:right w:val="nil"/>
            </w:tcBorders>
            <w:shd w:val="clear" w:color="auto" w:fill="FFFFFF"/>
            <w:vAlign w:val="center"/>
          </w:tcPr>
          <w:p w14:paraId="7452A08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seat-claiming; seat-saving; greeting-regulars; card-playing; food-sharing; avoiding-eye-contact; moving-zones; leaving-early; caring-for-relative; checking-on-absent-regulars; queueing; reclining; sleeping; reading; phone-use; group-conversation; solitary-sitting; watching-staff</w:t>
            </w:r>
          </w:p>
        </w:tc>
      </w:tr>
      <w:tr w14:paraId="7F3E0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75" w:type="pct"/>
            <w:tcBorders>
              <w:top w:val="nil"/>
              <w:left w:val="nil"/>
              <w:bottom w:val="single" w:color="000000" w:sz="12" w:space="0"/>
              <w:right w:val="single" w:color="000000" w:sz="12" w:space="0"/>
            </w:tcBorders>
            <w:shd w:val="clear" w:color="auto" w:fill="FFFFFF"/>
            <w:vAlign w:val="center"/>
          </w:tcPr>
          <w:p w14:paraId="19734E4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Emotional politics</w:t>
            </w:r>
          </w:p>
        </w:tc>
        <w:tc>
          <w:tcPr>
            <w:tcW w:w="1206" w:type="pct"/>
            <w:tcBorders>
              <w:top w:val="nil"/>
              <w:left w:val="nil"/>
              <w:bottom w:val="single" w:color="000000" w:sz="12" w:space="0"/>
              <w:right w:val="nil"/>
            </w:tcBorders>
            <w:shd w:val="clear" w:color="auto" w:fill="FFFFFF"/>
            <w:vAlign w:val="center"/>
          </w:tcPr>
          <w:p w14:paraId="2F24146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Institutional/collective organisation of feeling and appropriate use.</w:t>
            </w:r>
          </w:p>
        </w:tc>
        <w:tc>
          <w:tcPr>
            <w:tcW w:w="1045" w:type="pct"/>
            <w:tcBorders>
              <w:top w:val="nil"/>
              <w:left w:val="nil"/>
              <w:bottom w:val="single" w:color="000000" w:sz="12" w:space="0"/>
              <w:right w:val="nil"/>
            </w:tcBorders>
            <w:shd w:val="clear" w:color="auto" w:fill="FFFFFF"/>
            <w:vAlign w:val="center"/>
          </w:tcPr>
          <w:p w14:paraId="1DF8A59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public care; rules; safety; memory; heritage; commercialisation; entitlement</w:t>
            </w:r>
          </w:p>
        </w:tc>
        <w:tc>
          <w:tcPr>
            <w:tcW w:w="799" w:type="pct"/>
            <w:tcBorders>
              <w:top w:val="nil"/>
              <w:left w:val="nil"/>
              <w:bottom w:val="single" w:color="000000" w:sz="12" w:space="0"/>
              <w:right w:val="nil"/>
            </w:tcBorders>
            <w:shd w:val="clear" w:color="auto" w:fill="FFFFFF"/>
            <w:vAlign w:val="center"/>
          </w:tcPr>
          <w:p w14:paraId="62E7EC6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Require evidence of institutional framing, rules, discourse, or contested interpretation.</w:t>
            </w:r>
          </w:p>
        </w:tc>
        <w:tc>
          <w:tcPr>
            <w:tcW w:w="1273" w:type="pct"/>
            <w:tcBorders>
              <w:top w:val="nil"/>
              <w:left w:val="nil"/>
              <w:bottom w:val="single" w:color="000000" w:sz="12" w:space="0"/>
              <w:right w:val="nil"/>
            </w:tcBorders>
            <w:shd w:val="clear" w:color="auto" w:fill="FFFFFF"/>
            <w:vAlign w:val="center"/>
          </w:tcPr>
          <w:p w14:paraId="3F8BAA0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public-care-narrative; staff-as-care; staff-as-surveillance; rule-tone (please vs. imperative); entitlement-to-stay; newcomer-exclusion; heritage-display; memory-connection; memory-indifference; consumption-boundary; commercial-amenity; public-vs-commercial-comparison; government-provision; low-carbon-framing; accessibility-as-right</w:t>
            </w:r>
          </w:p>
        </w:tc>
      </w:tr>
    </w:tbl>
    <w:p w14:paraId="133711E5">
      <w:pPr>
        <w:pStyle w:val="164"/>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b w:val="0"/>
          <w:i w:val="0"/>
          <w:color w:val="000000"/>
          <w:sz w:val="24"/>
          <w:szCs w:val="24"/>
        </w:rPr>
      </w:pPr>
      <w:r>
        <w:rPr>
          <w:rFonts w:hint="default" w:ascii="Times New Roman" w:hAnsi="Times New Roman" w:eastAsia="Times New Roman" w:cs="Times New Roman"/>
          <w:b w:val="0"/>
          <w:i/>
          <w:color w:val="000000"/>
          <w:sz w:val="24"/>
          <w:szCs w:val="24"/>
        </w:rPr>
        <w:t>Note.</w:t>
      </w:r>
      <w:r>
        <w:rPr>
          <w:rFonts w:hint="default" w:ascii="Times New Roman" w:hAnsi="Times New Roman" w:eastAsia="Times New Roman" w:cs="Times New Roman"/>
          <w:b w:val="0"/>
          <w:i w:val="0"/>
          <w:color w:val="000000"/>
          <w:sz w:val="24"/>
          <w:szCs w:val="24"/>
        </w:rPr>
        <w:t xml:space="preserve"> Subcodes are analytical descriptors grounded in the realized corpus; they are not treated as psychometric variables, causal mechanisms, or mutually exclusive categories. Terms such as entitlement-to-stay and newcomer-exclusion are coding labels for situated evidence rather than newly proposed theoretical constructs.</w:t>
      </w:r>
    </w:p>
    <w:p w14:paraId="1D43B2CA">
      <w:pPr>
        <w:pStyle w:val="164"/>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b w:val="0"/>
          <w:i w:val="0"/>
          <w:color w:val="000000"/>
          <w:sz w:val="24"/>
          <w:szCs w:val="24"/>
        </w:rPr>
      </w:pPr>
    </w:p>
    <w:p w14:paraId="0FBA28BB">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color w:val="000000"/>
          <w:sz w:val="24"/>
          <w:szCs w:val="24"/>
        </w:rPr>
      </w:pPr>
      <w:r>
        <w:rPr>
          <w:rFonts w:hint="default" w:ascii="Times New Roman" w:hAnsi="Times New Roman" w:eastAsia="Times New Roman" w:cs="Times New Roman"/>
          <w:color w:val="000000"/>
          <w:sz w:val="24"/>
          <w:szCs w:val="24"/>
        </w:rPr>
        <w:t>The codebook shows how theoretical structure was retained without preventing field-specific themes from emerging.</w:t>
      </w:r>
    </w:p>
    <w:p w14:paraId="09752E0A">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color w:val="000000"/>
          <w:sz w:val="24"/>
          <w:szCs w:val="24"/>
        </w:rPr>
      </w:pPr>
    </w:p>
    <w:p w14:paraId="7E8C36A3">
      <w:pPr>
        <w:pStyle w:val="4"/>
        <w:keepNext/>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8"/>
          <w:szCs w:val="28"/>
        </w:rPr>
      </w:pPr>
      <w:r>
        <w:rPr>
          <w:rFonts w:hint="default" w:ascii="Times New Roman" w:hAnsi="Times New Roman" w:eastAsia="Times New Roman" w:cs="Times New Roman"/>
          <w:b/>
          <w:i w:val="0"/>
          <w:color w:val="000000"/>
          <w:sz w:val="28"/>
          <w:szCs w:val="28"/>
        </w:rPr>
        <w:t>Appendix G. Quotation and fieldnote audit trail</w:t>
      </w:r>
    </w:p>
    <w:p w14:paraId="2F42FA9C">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i w:val="0"/>
          <w:color w:val="000000"/>
          <w:sz w:val="24"/>
          <w:szCs w:val="24"/>
        </w:rPr>
      </w:pPr>
      <w:r>
        <w:rPr>
          <w:rFonts w:hint="default" w:ascii="Times New Roman" w:hAnsi="Times New Roman" w:eastAsia="Times New Roman" w:cs="Times New Roman"/>
          <w:i w:val="0"/>
          <w:color w:val="000000"/>
          <w:sz w:val="24"/>
          <w:szCs w:val="24"/>
        </w:rPr>
        <w:t>Appendix Table A5 links every primary excerpt reproduced in the main text to a de-identified transcript or fieldnote location.</w:t>
      </w:r>
    </w:p>
    <w:p w14:paraId="7F0EA90E">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i w:val="0"/>
          <w:color w:val="000000"/>
          <w:sz w:val="24"/>
          <w:szCs w:val="24"/>
        </w:rPr>
      </w:pPr>
    </w:p>
    <w:p w14:paraId="4EFE727A">
      <w:pPr>
        <w:pStyle w:val="164"/>
        <w:pageBreakBefore w:val="0"/>
        <w:widowControl/>
        <w:kinsoku/>
        <w:wordWrap/>
        <w:overflowPunct/>
        <w:topLinePunct w:val="0"/>
        <w:autoSpaceDE/>
        <w:autoSpaceDN/>
        <w:bidi w:val="0"/>
        <w:adjustRightInd/>
        <w:snapToGrid/>
        <w:spacing w:before="0" w:after="160" w:line="240" w:lineRule="auto"/>
        <w:ind w:left="0" w:firstLine="0"/>
        <w:jc w:val="center"/>
        <w:textAlignment w:val="auto"/>
        <w:rPr>
          <w:rFonts w:hint="default" w:ascii="Times New Roman" w:hAnsi="Times New Roman" w:cs="Times New Roman"/>
          <w:sz w:val="24"/>
          <w:szCs w:val="24"/>
        </w:rPr>
      </w:pPr>
      <w:r>
        <w:rPr>
          <w:rFonts w:hint="default" w:ascii="Times New Roman" w:hAnsi="Times New Roman" w:eastAsia="Times New Roman" w:cs="Times New Roman"/>
          <w:b/>
          <w:i w:val="0"/>
          <w:color w:val="000000"/>
          <w:sz w:val="24"/>
          <w:szCs w:val="24"/>
        </w:rPr>
        <w:t>Table A5.</w:t>
      </w:r>
      <w:r>
        <w:rPr>
          <w:rFonts w:hint="default" w:ascii="Times New Roman" w:hAnsi="Times New Roman" w:eastAsia="Times New Roman" w:cs="Times New Roman"/>
          <w:b w:val="0"/>
          <w:i w:val="0"/>
          <w:color w:val="000000"/>
          <w:sz w:val="24"/>
          <w:szCs w:val="24"/>
        </w:rPr>
        <w:t xml:space="preserve"> Quotation and fieldnote audit trail for all primary excerpts reproduced in the main text.</w:t>
      </w:r>
    </w:p>
    <w:tbl>
      <w:tblPr>
        <w:tblStyle w:val="32"/>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19"/>
        <w:gridCol w:w="909"/>
        <w:gridCol w:w="1401"/>
        <w:gridCol w:w="1773"/>
        <w:gridCol w:w="929"/>
        <w:gridCol w:w="1060"/>
        <w:gridCol w:w="1020"/>
        <w:gridCol w:w="1231"/>
      </w:tblGrid>
      <w:tr w14:paraId="3EAA2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502" w:type="pct"/>
            <w:tcBorders>
              <w:top w:val="single" w:color="000000" w:sz="12" w:space="0"/>
              <w:left w:val="nil"/>
              <w:bottom w:val="single" w:color="000000" w:sz="8" w:space="0"/>
              <w:right w:val="single" w:color="000000" w:sz="12" w:space="0"/>
            </w:tcBorders>
            <w:shd w:val="clear" w:color="auto" w:fill="FFFFFF"/>
            <w:vAlign w:val="center"/>
          </w:tcPr>
          <w:p w14:paraId="65DCCFE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Evidence ID</w:t>
            </w:r>
          </w:p>
        </w:tc>
        <w:tc>
          <w:tcPr>
            <w:tcW w:w="513" w:type="pct"/>
            <w:tcBorders>
              <w:top w:val="single" w:color="000000" w:sz="12" w:space="0"/>
              <w:left w:val="nil"/>
              <w:bottom w:val="single" w:color="000000" w:sz="8" w:space="0"/>
              <w:right w:val="nil"/>
            </w:tcBorders>
            <w:shd w:val="clear" w:color="auto" w:fill="FFFFFF"/>
            <w:vAlign w:val="center"/>
          </w:tcPr>
          <w:p w14:paraId="53F3DCF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Source type</w:t>
            </w:r>
          </w:p>
        </w:tc>
        <w:tc>
          <w:tcPr>
            <w:tcW w:w="738" w:type="pct"/>
            <w:tcBorders>
              <w:top w:val="single" w:color="000000" w:sz="12" w:space="0"/>
              <w:left w:val="nil"/>
              <w:bottom w:val="single" w:color="000000" w:sz="8" w:space="0"/>
              <w:right w:val="nil"/>
            </w:tcBorders>
            <w:shd w:val="clear" w:color="auto" w:fill="FFFFFF"/>
            <w:vAlign w:val="center"/>
          </w:tcPr>
          <w:p w14:paraId="215CA8D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Participant/site ID</w:t>
            </w:r>
          </w:p>
        </w:tc>
        <w:tc>
          <w:tcPr>
            <w:tcW w:w="939" w:type="pct"/>
            <w:tcBorders>
              <w:top w:val="single" w:color="000000" w:sz="12" w:space="0"/>
              <w:left w:val="nil"/>
              <w:bottom w:val="single" w:color="000000" w:sz="8" w:space="0"/>
              <w:right w:val="nil"/>
            </w:tcBorders>
            <w:shd w:val="clear" w:color="auto" w:fill="FFFFFF"/>
            <w:vAlign w:val="center"/>
          </w:tcPr>
          <w:p w14:paraId="3166A31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Transcript/fieldnote location</w:t>
            </w:r>
          </w:p>
        </w:tc>
        <w:tc>
          <w:tcPr>
            <w:tcW w:w="496" w:type="pct"/>
            <w:tcBorders>
              <w:top w:val="single" w:color="000000" w:sz="12" w:space="0"/>
              <w:left w:val="nil"/>
              <w:bottom w:val="single" w:color="000000" w:sz="8" w:space="0"/>
              <w:right w:val="nil"/>
            </w:tcBorders>
            <w:shd w:val="clear" w:color="auto" w:fill="FFFFFF"/>
            <w:vAlign w:val="center"/>
          </w:tcPr>
          <w:p w14:paraId="541C3A2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Original-language checked</w:t>
            </w:r>
          </w:p>
        </w:tc>
        <w:tc>
          <w:tcPr>
            <w:tcW w:w="554" w:type="pct"/>
            <w:tcBorders>
              <w:top w:val="single" w:color="000000" w:sz="12" w:space="0"/>
              <w:left w:val="nil"/>
              <w:bottom w:val="single" w:color="000000" w:sz="8" w:space="0"/>
              <w:right w:val="nil"/>
            </w:tcBorders>
            <w:shd w:val="clear" w:color="auto" w:fill="FFFFFF"/>
            <w:vAlign w:val="center"/>
          </w:tcPr>
          <w:p w14:paraId="27612F1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English translation checked</w:t>
            </w:r>
          </w:p>
        </w:tc>
        <w:tc>
          <w:tcPr>
            <w:tcW w:w="555" w:type="pct"/>
            <w:tcBorders>
              <w:top w:val="single" w:color="000000" w:sz="12" w:space="0"/>
              <w:left w:val="nil"/>
              <w:bottom w:val="single" w:color="000000" w:sz="8" w:space="0"/>
              <w:right w:val="nil"/>
            </w:tcBorders>
            <w:shd w:val="clear" w:color="auto" w:fill="FFFFFF"/>
            <w:vAlign w:val="center"/>
          </w:tcPr>
          <w:p w14:paraId="4EE6C76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Finding subsection</w:t>
            </w:r>
          </w:p>
        </w:tc>
        <w:tc>
          <w:tcPr>
            <w:tcW w:w="698" w:type="pct"/>
            <w:tcBorders>
              <w:top w:val="single" w:color="000000" w:sz="12" w:space="0"/>
              <w:left w:val="nil"/>
              <w:bottom w:val="single" w:color="000000" w:sz="8" w:space="0"/>
              <w:right w:val="nil"/>
            </w:tcBorders>
            <w:shd w:val="clear" w:color="auto" w:fill="FFFFFF"/>
            <w:vAlign w:val="center"/>
          </w:tcPr>
          <w:p w14:paraId="3405E87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4"/>
                <w:szCs w:val="24"/>
                <w:u w:val="none"/>
              </w:rPr>
            </w:pPr>
            <w:r>
              <w:rPr>
                <w:rFonts w:hint="default" w:ascii="Times New Roman" w:hAnsi="Times New Roman" w:eastAsia="宋体" w:cs="Times New Roman"/>
                <w:b/>
                <w:i w:val="0"/>
                <w:iCs w:val="0"/>
                <w:color w:val="000000"/>
                <w:kern w:val="0"/>
                <w:sz w:val="24"/>
                <w:szCs w:val="24"/>
                <w:u w:val="none"/>
                <w:lang w:val="en-US" w:eastAsia="zh-CN" w:bidi="ar"/>
              </w:rPr>
              <w:t>Analytical claim supported</w:t>
            </w:r>
          </w:p>
        </w:tc>
      </w:tr>
      <w:tr w14:paraId="0954B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2" w:type="pct"/>
            <w:tcBorders>
              <w:top w:val="nil"/>
              <w:left w:val="nil"/>
              <w:bottom w:val="nil"/>
              <w:right w:val="single" w:color="000000" w:sz="12" w:space="0"/>
            </w:tcBorders>
            <w:shd w:val="clear" w:color="auto" w:fill="FFFFFF"/>
            <w:vAlign w:val="center"/>
          </w:tcPr>
          <w:p w14:paraId="71485D0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Q1</w:t>
            </w:r>
          </w:p>
        </w:tc>
        <w:tc>
          <w:tcPr>
            <w:tcW w:w="513" w:type="pct"/>
            <w:tcBorders>
              <w:top w:val="nil"/>
              <w:left w:val="nil"/>
              <w:bottom w:val="nil"/>
              <w:right w:val="nil"/>
            </w:tcBorders>
            <w:shd w:val="clear" w:color="auto" w:fill="FFFFFF"/>
            <w:vAlign w:val="center"/>
          </w:tcPr>
          <w:p w14:paraId="0EC0A5E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Interview</w:t>
            </w:r>
          </w:p>
        </w:tc>
        <w:tc>
          <w:tcPr>
            <w:tcW w:w="738" w:type="pct"/>
            <w:tcBorders>
              <w:top w:val="nil"/>
              <w:left w:val="nil"/>
              <w:bottom w:val="nil"/>
              <w:right w:val="nil"/>
            </w:tcBorders>
            <w:shd w:val="clear" w:color="auto" w:fill="FFFFFF"/>
            <w:vAlign w:val="center"/>
          </w:tcPr>
          <w:p w14:paraId="7F1B693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U04, S02</w:t>
            </w:r>
          </w:p>
        </w:tc>
        <w:tc>
          <w:tcPr>
            <w:tcW w:w="939" w:type="pct"/>
            <w:tcBorders>
              <w:top w:val="nil"/>
              <w:left w:val="nil"/>
              <w:bottom w:val="nil"/>
              <w:right w:val="nil"/>
            </w:tcBorders>
            <w:shd w:val="clear" w:color="auto" w:fill="FFFFFF"/>
            <w:vAlign w:val="center"/>
          </w:tcPr>
          <w:p w14:paraId="4693088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Transcript U04, p. 3, lines 12–18</w:t>
            </w:r>
          </w:p>
        </w:tc>
        <w:tc>
          <w:tcPr>
            <w:tcW w:w="496" w:type="pct"/>
            <w:tcBorders>
              <w:top w:val="nil"/>
              <w:left w:val="nil"/>
              <w:bottom w:val="nil"/>
              <w:right w:val="nil"/>
            </w:tcBorders>
            <w:shd w:val="clear" w:color="auto" w:fill="FFFFFF"/>
            <w:vAlign w:val="center"/>
          </w:tcPr>
          <w:p w14:paraId="7EF9E48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Yes</w:t>
            </w:r>
          </w:p>
        </w:tc>
        <w:tc>
          <w:tcPr>
            <w:tcW w:w="554" w:type="pct"/>
            <w:tcBorders>
              <w:top w:val="nil"/>
              <w:left w:val="nil"/>
              <w:bottom w:val="nil"/>
              <w:right w:val="nil"/>
            </w:tcBorders>
            <w:shd w:val="clear" w:color="auto" w:fill="FFFFFF"/>
            <w:vAlign w:val="center"/>
          </w:tcPr>
          <w:p w14:paraId="78BBC36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Yes</w:t>
            </w:r>
          </w:p>
        </w:tc>
        <w:tc>
          <w:tcPr>
            <w:tcW w:w="555" w:type="pct"/>
            <w:tcBorders>
              <w:top w:val="nil"/>
              <w:left w:val="nil"/>
              <w:bottom w:val="nil"/>
              <w:right w:val="nil"/>
            </w:tcBorders>
            <w:shd w:val="clear" w:color="auto" w:fill="FFFFFF"/>
            <w:vAlign w:val="center"/>
          </w:tcPr>
          <w:p w14:paraId="2757371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4.1.1</w:t>
            </w:r>
          </w:p>
        </w:tc>
        <w:tc>
          <w:tcPr>
            <w:tcW w:w="698" w:type="pct"/>
            <w:tcBorders>
              <w:top w:val="nil"/>
              <w:left w:val="nil"/>
              <w:bottom w:val="nil"/>
              <w:right w:val="nil"/>
            </w:tcBorders>
            <w:shd w:val="clear" w:color="auto" w:fill="FFFFFF"/>
            <w:vAlign w:val="center"/>
          </w:tcPr>
          <w:p w14:paraId="3899F4B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Entrance transition as immediate bodily relief; stairs as constraint</w:t>
            </w:r>
          </w:p>
        </w:tc>
      </w:tr>
      <w:tr w14:paraId="7572A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2" w:type="pct"/>
            <w:tcBorders>
              <w:top w:val="nil"/>
              <w:left w:val="nil"/>
              <w:bottom w:val="nil"/>
              <w:right w:val="single" w:color="000000" w:sz="12" w:space="0"/>
            </w:tcBorders>
            <w:shd w:val="clear" w:color="auto" w:fill="FFFFFF"/>
            <w:vAlign w:val="center"/>
          </w:tcPr>
          <w:p w14:paraId="593DA7D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FN1</w:t>
            </w:r>
          </w:p>
        </w:tc>
        <w:tc>
          <w:tcPr>
            <w:tcW w:w="513" w:type="pct"/>
            <w:tcBorders>
              <w:top w:val="nil"/>
              <w:left w:val="nil"/>
              <w:bottom w:val="nil"/>
              <w:right w:val="nil"/>
            </w:tcBorders>
            <w:shd w:val="clear" w:color="auto" w:fill="FFFFFF"/>
            <w:vAlign w:val="center"/>
          </w:tcPr>
          <w:p w14:paraId="7276F27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Fieldnote</w:t>
            </w:r>
          </w:p>
        </w:tc>
        <w:tc>
          <w:tcPr>
            <w:tcW w:w="738" w:type="pct"/>
            <w:tcBorders>
              <w:top w:val="nil"/>
              <w:left w:val="nil"/>
              <w:bottom w:val="nil"/>
              <w:right w:val="nil"/>
            </w:tcBorders>
            <w:shd w:val="clear" w:color="auto" w:fill="FFFFFF"/>
            <w:vAlign w:val="center"/>
          </w:tcPr>
          <w:p w14:paraId="1019FE0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S04</w:t>
            </w:r>
          </w:p>
        </w:tc>
        <w:tc>
          <w:tcPr>
            <w:tcW w:w="939" w:type="pct"/>
            <w:tcBorders>
              <w:top w:val="nil"/>
              <w:left w:val="nil"/>
              <w:bottom w:val="nil"/>
              <w:right w:val="nil"/>
            </w:tcBorders>
            <w:shd w:val="clear" w:color="auto" w:fill="FFFFFF"/>
            <w:vAlign w:val="center"/>
          </w:tcPr>
          <w:p w14:paraId="0B77972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Fieldnote 25 Jul, pp. 2–3</w:t>
            </w:r>
          </w:p>
        </w:tc>
        <w:tc>
          <w:tcPr>
            <w:tcW w:w="496" w:type="pct"/>
            <w:tcBorders>
              <w:top w:val="nil"/>
              <w:left w:val="nil"/>
              <w:bottom w:val="nil"/>
              <w:right w:val="nil"/>
            </w:tcBorders>
            <w:shd w:val="clear" w:color="auto" w:fill="FFFFFF"/>
            <w:vAlign w:val="center"/>
          </w:tcPr>
          <w:p w14:paraId="0FCFF0B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N/A</w:t>
            </w:r>
          </w:p>
        </w:tc>
        <w:tc>
          <w:tcPr>
            <w:tcW w:w="554" w:type="pct"/>
            <w:tcBorders>
              <w:top w:val="nil"/>
              <w:left w:val="nil"/>
              <w:bottom w:val="nil"/>
              <w:right w:val="nil"/>
            </w:tcBorders>
            <w:shd w:val="clear" w:color="auto" w:fill="FFFFFF"/>
            <w:vAlign w:val="center"/>
          </w:tcPr>
          <w:p w14:paraId="7467B57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N/A</w:t>
            </w:r>
          </w:p>
        </w:tc>
        <w:tc>
          <w:tcPr>
            <w:tcW w:w="555" w:type="pct"/>
            <w:tcBorders>
              <w:top w:val="nil"/>
              <w:left w:val="nil"/>
              <w:bottom w:val="nil"/>
              <w:right w:val="nil"/>
            </w:tcBorders>
            <w:shd w:val="clear" w:color="auto" w:fill="FFFFFF"/>
            <w:vAlign w:val="center"/>
          </w:tcPr>
          <w:p w14:paraId="7CC7BEE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4.1.1</w:t>
            </w:r>
          </w:p>
        </w:tc>
        <w:tc>
          <w:tcPr>
            <w:tcW w:w="698" w:type="pct"/>
            <w:tcBorders>
              <w:top w:val="nil"/>
              <w:left w:val="nil"/>
              <w:bottom w:val="nil"/>
              <w:right w:val="nil"/>
            </w:tcBorders>
            <w:shd w:val="clear" w:color="auto" w:fill="FFFFFF"/>
            <w:vAlign w:val="center"/>
          </w:tcPr>
          <w:p w14:paraId="5D501E4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Observational support for entrance effort and experienced thermal contrast</w:t>
            </w:r>
          </w:p>
        </w:tc>
      </w:tr>
      <w:tr w14:paraId="74741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2" w:type="pct"/>
            <w:tcBorders>
              <w:top w:val="nil"/>
              <w:left w:val="nil"/>
              <w:bottom w:val="nil"/>
              <w:right w:val="single" w:color="000000" w:sz="12" w:space="0"/>
            </w:tcBorders>
            <w:shd w:val="clear" w:color="auto" w:fill="FFFFFF"/>
            <w:vAlign w:val="center"/>
          </w:tcPr>
          <w:p w14:paraId="615A21A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Q2</w:t>
            </w:r>
          </w:p>
        </w:tc>
        <w:tc>
          <w:tcPr>
            <w:tcW w:w="513" w:type="pct"/>
            <w:tcBorders>
              <w:top w:val="nil"/>
              <w:left w:val="nil"/>
              <w:bottom w:val="nil"/>
              <w:right w:val="nil"/>
            </w:tcBorders>
            <w:shd w:val="clear" w:color="auto" w:fill="FFFFFF"/>
            <w:vAlign w:val="center"/>
          </w:tcPr>
          <w:p w14:paraId="0A8B193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Interview</w:t>
            </w:r>
          </w:p>
        </w:tc>
        <w:tc>
          <w:tcPr>
            <w:tcW w:w="738" w:type="pct"/>
            <w:tcBorders>
              <w:top w:val="nil"/>
              <w:left w:val="nil"/>
              <w:bottom w:val="nil"/>
              <w:right w:val="nil"/>
            </w:tcBorders>
            <w:shd w:val="clear" w:color="auto" w:fill="FFFFFF"/>
            <w:vAlign w:val="center"/>
          </w:tcPr>
          <w:p w14:paraId="74014C5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U11, S01</w:t>
            </w:r>
          </w:p>
        </w:tc>
        <w:tc>
          <w:tcPr>
            <w:tcW w:w="939" w:type="pct"/>
            <w:tcBorders>
              <w:top w:val="nil"/>
              <w:left w:val="nil"/>
              <w:bottom w:val="nil"/>
              <w:right w:val="nil"/>
            </w:tcBorders>
            <w:shd w:val="clear" w:color="auto" w:fill="FFFFFF"/>
            <w:vAlign w:val="center"/>
          </w:tcPr>
          <w:p w14:paraId="3F15B58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Transcript U11, p. 5, lines 4–9</w:t>
            </w:r>
          </w:p>
        </w:tc>
        <w:tc>
          <w:tcPr>
            <w:tcW w:w="496" w:type="pct"/>
            <w:tcBorders>
              <w:top w:val="nil"/>
              <w:left w:val="nil"/>
              <w:bottom w:val="nil"/>
              <w:right w:val="nil"/>
            </w:tcBorders>
            <w:shd w:val="clear" w:color="auto" w:fill="FFFFFF"/>
            <w:vAlign w:val="center"/>
          </w:tcPr>
          <w:p w14:paraId="6948B9E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Yes</w:t>
            </w:r>
          </w:p>
        </w:tc>
        <w:tc>
          <w:tcPr>
            <w:tcW w:w="554" w:type="pct"/>
            <w:tcBorders>
              <w:top w:val="nil"/>
              <w:left w:val="nil"/>
              <w:bottom w:val="nil"/>
              <w:right w:val="nil"/>
            </w:tcBorders>
            <w:shd w:val="clear" w:color="auto" w:fill="FFFFFF"/>
            <w:vAlign w:val="center"/>
          </w:tcPr>
          <w:p w14:paraId="6282C8D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Yes</w:t>
            </w:r>
          </w:p>
        </w:tc>
        <w:tc>
          <w:tcPr>
            <w:tcW w:w="555" w:type="pct"/>
            <w:tcBorders>
              <w:top w:val="nil"/>
              <w:left w:val="nil"/>
              <w:bottom w:val="nil"/>
              <w:right w:val="nil"/>
            </w:tcBorders>
            <w:shd w:val="clear" w:color="auto" w:fill="FFFFFF"/>
            <w:vAlign w:val="center"/>
          </w:tcPr>
          <w:p w14:paraId="71E7E53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4.1.2</w:t>
            </w:r>
          </w:p>
        </w:tc>
        <w:tc>
          <w:tcPr>
            <w:tcW w:w="698" w:type="pct"/>
            <w:tcBorders>
              <w:top w:val="nil"/>
              <w:left w:val="nil"/>
              <w:bottom w:val="nil"/>
              <w:right w:val="nil"/>
            </w:tcBorders>
            <w:shd w:val="clear" w:color="auto" w:fill="FFFFFF"/>
            <w:vAlign w:val="center"/>
          </w:tcPr>
          <w:p w14:paraId="389E65F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Staff presence interpreted as care and public-service legitimacy</w:t>
            </w:r>
          </w:p>
        </w:tc>
      </w:tr>
      <w:tr w14:paraId="0B5A8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2" w:type="pct"/>
            <w:tcBorders>
              <w:top w:val="nil"/>
              <w:left w:val="nil"/>
              <w:bottom w:val="nil"/>
              <w:right w:val="single" w:color="000000" w:sz="12" w:space="0"/>
            </w:tcBorders>
            <w:shd w:val="clear" w:color="auto" w:fill="FFFFFF"/>
            <w:vAlign w:val="center"/>
          </w:tcPr>
          <w:p w14:paraId="7264895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Q3-NEG</w:t>
            </w:r>
          </w:p>
        </w:tc>
        <w:tc>
          <w:tcPr>
            <w:tcW w:w="513" w:type="pct"/>
            <w:tcBorders>
              <w:top w:val="nil"/>
              <w:left w:val="nil"/>
              <w:bottom w:val="nil"/>
              <w:right w:val="nil"/>
            </w:tcBorders>
            <w:shd w:val="clear" w:color="auto" w:fill="FFFFFF"/>
            <w:vAlign w:val="center"/>
          </w:tcPr>
          <w:p w14:paraId="5041389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Interview</w:t>
            </w:r>
          </w:p>
        </w:tc>
        <w:tc>
          <w:tcPr>
            <w:tcW w:w="738" w:type="pct"/>
            <w:tcBorders>
              <w:top w:val="nil"/>
              <w:left w:val="nil"/>
              <w:bottom w:val="nil"/>
              <w:right w:val="nil"/>
            </w:tcBorders>
            <w:shd w:val="clear" w:color="auto" w:fill="FFFFFF"/>
            <w:vAlign w:val="center"/>
          </w:tcPr>
          <w:p w14:paraId="694329D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U22, S07</w:t>
            </w:r>
          </w:p>
        </w:tc>
        <w:tc>
          <w:tcPr>
            <w:tcW w:w="939" w:type="pct"/>
            <w:tcBorders>
              <w:top w:val="nil"/>
              <w:left w:val="nil"/>
              <w:bottom w:val="nil"/>
              <w:right w:val="nil"/>
            </w:tcBorders>
            <w:shd w:val="clear" w:color="auto" w:fill="FFFFFF"/>
            <w:vAlign w:val="center"/>
          </w:tcPr>
          <w:p w14:paraId="17C7C31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Transcript U22, p. 2, lines 18–23</w:t>
            </w:r>
          </w:p>
        </w:tc>
        <w:tc>
          <w:tcPr>
            <w:tcW w:w="496" w:type="pct"/>
            <w:tcBorders>
              <w:top w:val="nil"/>
              <w:left w:val="nil"/>
              <w:bottom w:val="nil"/>
              <w:right w:val="nil"/>
            </w:tcBorders>
            <w:shd w:val="clear" w:color="auto" w:fill="FFFFFF"/>
            <w:vAlign w:val="center"/>
          </w:tcPr>
          <w:p w14:paraId="2840CA1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Yes</w:t>
            </w:r>
          </w:p>
        </w:tc>
        <w:tc>
          <w:tcPr>
            <w:tcW w:w="554" w:type="pct"/>
            <w:tcBorders>
              <w:top w:val="nil"/>
              <w:left w:val="nil"/>
              <w:bottom w:val="nil"/>
              <w:right w:val="nil"/>
            </w:tcBorders>
            <w:shd w:val="clear" w:color="auto" w:fill="FFFFFF"/>
            <w:vAlign w:val="center"/>
          </w:tcPr>
          <w:p w14:paraId="49CABBE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Yes</w:t>
            </w:r>
          </w:p>
        </w:tc>
        <w:tc>
          <w:tcPr>
            <w:tcW w:w="555" w:type="pct"/>
            <w:tcBorders>
              <w:top w:val="nil"/>
              <w:left w:val="nil"/>
              <w:bottom w:val="nil"/>
              <w:right w:val="nil"/>
            </w:tcBorders>
            <w:shd w:val="clear" w:color="auto" w:fill="FFFFFF"/>
            <w:vAlign w:val="center"/>
          </w:tcPr>
          <w:p w14:paraId="722AA49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4.1.2</w:t>
            </w:r>
          </w:p>
        </w:tc>
        <w:tc>
          <w:tcPr>
            <w:tcW w:w="698" w:type="pct"/>
            <w:tcBorders>
              <w:top w:val="nil"/>
              <w:left w:val="nil"/>
              <w:bottom w:val="nil"/>
              <w:right w:val="nil"/>
            </w:tcBorders>
            <w:shd w:val="clear" w:color="auto" w:fill="FFFFFF"/>
            <w:vAlign w:val="center"/>
          </w:tcPr>
          <w:p w14:paraId="5963045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Rules interpreted as restrictive; discomfort with spatial constraints</w:t>
            </w:r>
          </w:p>
        </w:tc>
      </w:tr>
      <w:tr w14:paraId="3A39E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2" w:type="pct"/>
            <w:tcBorders>
              <w:top w:val="nil"/>
              <w:left w:val="nil"/>
              <w:bottom w:val="nil"/>
              <w:right w:val="single" w:color="000000" w:sz="12" w:space="0"/>
            </w:tcBorders>
            <w:shd w:val="clear" w:color="auto" w:fill="FFFFFF"/>
            <w:vAlign w:val="center"/>
          </w:tcPr>
          <w:p w14:paraId="4A415B4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Q4</w:t>
            </w:r>
          </w:p>
        </w:tc>
        <w:tc>
          <w:tcPr>
            <w:tcW w:w="513" w:type="pct"/>
            <w:tcBorders>
              <w:top w:val="nil"/>
              <w:left w:val="nil"/>
              <w:bottom w:val="nil"/>
              <w:right w:val="nil"/>
            </w:tcBorders>
            <w:shd w:val="clear" w:color="auto" w:fill="FFFFFF"/>
            <w:vAlign w:val="center"/>
          </w:tcPr>
          <w:p w14:paraId="6E828CF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Interview</w:t>
            </w:r>
          </w:p>
        </w:tc>
        <w:tc>
          <w:tcPr>
            <w:tcW w:w="738" w:type="pct"/>
            <w:tcBorders>
              <w:top w:val="nil"/>
              <w:left w:val="nil"/>
              <w:bottom w:val="nil"/>
              <w:right w:val="nil"/>
            </w:tcBorders>
            <w:shd w:val="clear" w:color="auto" w:fill="FFFFFF"/>
            <w:vAlign w:val="center"/>
          </w:tcPr>
          <w:p w14:paraId="3054053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U06, S04</w:t>
            </w:r>
          </w:p>
        </w:tc>
        <w:tc>
          <w:tcPr>
            <w:tcW w:w="939" w:type="pct"/>
            <w:tcBorders>
              <w:top w:val="nil"/>
              <w:left w:val="nil"/>
              <w:bottom w:val="nil"/>
              <w:right w:val="nil"/>
            </w:tcBorders>
            <w:shd w:val="clear" w:color="auto" w:fill="FFFFFF"/>
            <w:vAlign w:val="center"/>
          </w:tcPr>
          <w:p w14:paraId="01F9E35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Transcript U06, p. 3, lines 8–13</w:t>
            </w:r>
          </w:p>
        </w:tc>
        <w:tc>
          <w:tcPr>
            <w:tcW w:w="496" w:type="pct"/>
            <w:tcBorders>
              <w:top w:val="nil"/>
              <w:left w:val="nil"/>
              <w:bottom w:val="nil"/>
              <w:right w:val="nil"/>
            </w:tcBorders>
            <w:shd w:val="clear" w:color="auto" w:fill="FFFFFF"/>
            <w:vAlign w:val="center"/>
          </w:tcPr>
          <w:p w14:paraId="0D6A90B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Yes</w:t>
            </w:r>
          </w:p>
        </w:tc>
        <w:tc>
          <w:tcPr>
            <w:tcW w:w="554" w:type="pct"/>
            <w:tcBorders>
              <w:top w:val="nil"/>
              <w:left w:val="nil"/>
              <w:bottom w:val="nil"/>
              <w:right w:val="nil"/>
            </w:tcBorders>
            <w:shd w:val="clear" w:color="auto" w:fill="FFFFFF"/>
            <w:vAlign w:val="center"/>
          </w:tcPr>
          <w:p w14:paraId="1155DBF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Yes</w:t>
            </w:r>
          </w:p>
        </w:tc>
        <w:tc>
          <w:tcPr>
            <w:tcW w:w="555" w:type="pct"/>
            <w:tcBorders>
              <w:top w:val="nil"/>
              <w:left w:val="nil"/>
              <w:bottom w:val="nil"/>
              <w:right w:val="nil"/>
            </w:tcBorders>
            <w:shd w:val="clear" w:color="auto" w:fill="FFFFFF"/>
            <w:vAlign w:val="center"/>
          </w:tcPr>
          <w:p w14:paraId="0980352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4.1.3</w:t>
            </w:r>
          </w:p>
        </w:tc>
        <w:tc>
          <w:tcPr>
            <w:tcW w:w="698" w:type="pct"/>
            <w:tcBorders>
              <w:top w:val="nil"/>
              <w:left w:val="nil"/>
              <w:bottom w:val="nil"/>
              <w:right w:val="nil"/>
            </w:tcBorders>
            <w:shd w:val="clear" w:color="auto" w:fill="FFFFFF"/>
            <w:vAlign w:val="center"/>
          </w:tcPr>
          <w:p w14:paraId="29B9AE8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Coolness co-existing with dampness, smell, bodily discomfort</w:t>
            </w:r>
          </w:p>
        </w:tc>
      </w:tr>
      <w:tr w14:paraId="60444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2" w:type="pct"/>
            <w:tcBorders>
              <w:top w:val="nil"/>
              <w:left w:val="nil"/>
              <w:bottom w:val="nil"/>
              <w:right w:val="single" w:color="000000" w:sz="12" w:space="0"/>
            </w:tcBorders>
            <w:shd w:val="clear" w:color="auto" w:fill="FFFFFF"/>
            <w:vAlign w:val="center"/>
          </w:tcPr>
          <w:p w14:paraId="11291B8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Q5-NEG</w:t>
            </w:r>
          </w:p>
        </w:tc>
        <w:tc>
          <w:tcPr>
            <w:tcW w:w="513" w:type="pct"/>
            <w:tcBorders>
              <w:top w:val="nil"/>
              <w:left w:val="nil"/>
              <w:bottom w:val="nil"/>
              <w:right w:val="nil"/>
            </w:tcBorders>
            <w:shd w:val="clear" w:color="auto" w:fill="FFFFFF"/>
            <w:vAlign w:val="center"/>
          </w:tcPr>
          <w:p w14:paraId="7B96B11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Interview</w:t>
            </w:r>
          </w:p>
        </w:tc>
        <w:tc>
          <w:tcPr>
            <w:tcW w:w="738" w:type="pct"/>
            <w:tcBorders>
              <w:top w:val="nil"/>
              <w:left w:val="nil"/>
              <w:bottom w:val="nil"/>
              <w:right w:val="nil"/>
            </w:tcBorders>
            <w:shd w:val="clear" w:color="auto" w:fill="FFFFFF"/>
            <w:vAlign w:val="center"/>
          </w:tcPr>
          <w:p w14:paraId="4ED3C76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U18, S03</w:t>
            </w:r>
          </w:p>
        </w:tc>
        <w:tc>
          <w:tcPr>
            <w:tcW w:w="939" w:type="pct"/>
            <w:tcBorders>
              <w:top w:val="nil"/>
              <w:left w:val="nil"/>
              <w:bottom w:val="nil"/>
              <w:right w:val="nil"/>
            </w:tcBorders>
            <w:shd w:val="clear" w:color="auto" w:fill="FFFFFF"/>
            <w:vAlign w:val="center"/>
          </w:tcPr>
          <w:p w14:paraId="6744745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Transcript U18, p. 2, lines 15–19</w:t>
            </w:r>
          </w:p>
        </w:tc>
        <w:tc>
          <w:tcPr>
            <w:tcW w:w="496" w:type="pct"/>
            <w:tcBorders>
              <w:top w:val="nil"/>
              <w:left w:val="nil"/>
              <w:bottom w:val="nil"/>
              <w:right w:val="nil"/>
            </w:tcBorders>
            <w:shd w:val="clear" w:color="auto" w:fill="FFFFFF"/>
            <w:vAlign w:val="center"/>
          </w:tcPr>
          <w:p w14:paraId="741F0CC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Yes</w:t>
            </w:r>
          </w:p>
        </w:tc>
        <w:tc>
          <w:tcPr>
            <w:tcW w:w="554" w:type="pct"/>
            <w:tcBorders>
              <w:top w:val="nil"/>
              <w:left w:val="nil"/>
              <w:bottom w:val="nil"/>
              <w:right w:val="nil"/>
            </w:tcBorders>
            <w:shd w:val="clear" w:color="auto" w:fill="FFFFFF"/>
            <w:vAlign w:val="center"/>
          </w:tcPr>
          <w:p w14:paraId="7F5B962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Yes</w:t>
            </w:r>
          </w:p>
        </w:tc>
        <w:tc>
          <w:tcPr>
            <w:tcW w:w="555" w:type="pct"/>
            <w:tcBorders>
              <w:top w:val="nil"/>
              <w:left w:val="nil"/>
              <w:bottom w:val="nil"/>
              <w:right w:val="nil"/>
            </w:tcBorders>
            <w:shd w:val="clear" w:color="auto" w:fill="FFFFFF"/>
            <w:vAlign w:val="center"/>
          </w:tcPr>
          <w:p w14:paraId="3395584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4.1.3</w:t>
            </w:r>
          </w:p>
        </w:tc>
        <w:tc>
          <w:tcPr>
            <w:tcW w:w="698" w:type="pct"/>
            <w:tcBorders>
              <w:top w:val="nil"/>
              <w:left w:val="nil"/>
              <w:bottom w:val="nil"/>
              <w:right w:val="nil"/>
            </w:tcBorders>
            <w:shd w:val="clear" w:color="auto" w:fill="FFFFFF"/>
            <w:vAlign w:val="center"/>
          </w:tcPr>
          <w:p w14:paraId="25CAF30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Thermal relief as dominant; other constraints dismissed</w:t>
            </w:r>
          </w:p>
        </w:tc>
      </w:tr>
      <w:tr w14:paraId="5E5DA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2" w:type="pct"/>
            <w:tcBorders>
              <w:top w:val="nil"/>
              <w:left w:val="nil"/>
              <w:bottom w:val="nil"/>
              <w:right w:val="single" w:color="000000" w:sz="12" w:space="0"/>
            </w:tcBorders>
            <w:shd w:val="clear" w:color="auto" w:fill="FFFFFF"/>
            <w:vAlign w:val="center"/>
          </w:tcPr>
          <w:p w14:paraId="5A6F84C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Q6</w:t>
            </w:r>
          </w:p>
        </w:tc>
        <w:tc>
          <w:tcPr>
            <w:tcW w:w="513" w:type="pct"/>
            <w:tcBorders>
              <w:top w:val="nil"/>
              <w:left w:val="nil"/>
              <w:bottom w:val="nil"/>
              <w:right w:val="nil"/>
            </w:tcBorders>
            <w:shd w:val="clear" w:color="auto" w:fill="FFFFFF"/>
            <w:vAlign w:val="center"/>
          </w:tcPr>
          <w:p w14:paraId="66BB9E5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Interview</w:t>
            </w:r>
          </w:p>
        </w:tc>
        <w:tc>
          <w:tcPr>
            <w:tcW w:w="738" w:type="pct"/>
            <w:tcBorders>
              <w:top w:val="nil"/>
              <w:left w:val="nil"/>
              <w:bottom w:val="nil"/>
              <w:right w:val="nil"/>
            </w:tcBorders>
            <w:shd w:val="clear" w:color="auto" w:fill="FFFFFF"/>
            <w:vAlign w:val="center"/>
          </w:tcPr>
          <w:p w14:paraId="7F385FF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U07, S01</w:t>
            </w:r>
          </w:p>
        </w:tc>
        <w:tc>
          <w:tcPr>
            <w:tcW w:w="939" w:type="pct"/>
            <w:tcBorders>
              <w:top w:val="nil"/>
              <w:left w:val="nil"/>
              <w:bottom w:val="nil"/>
              <w:right w:val="nil"/>
            </w:tcBorders>
            <w:shd w:val="clear" w:color="auto" w:fill="FFFFFF"/>
            <w:vAlign w:val="center"/>
          </w:tcPr>
          <w:p w14:paraId="45E18B7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Transcript U07, p. 4, lines 1–7</w:t>
            </w:r>
          </w:p>
        </w:tc>
        <w:tc>
          <w:tcPr>
            <w:tcW w:w="496" w:type="pct"/>
            <w:tcBorders>
              <w:top w:val="nil"/>
              <w:left w:val="nil"/>
              <w:bottom w:val="nil"/>
              <w:right w:val="nil"/>
            </w:tcBorders>
            <w:shd w:val="clear" w:color="auto" w:fill="FFFFFF"/>
            <w:vAlign w:val="center"/>
          </w:tcPr>
          <w:p w14:paraId="1D5D908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Yes</w:t>
            </w:r>
          </w:p>
        </w:tc>
        <w:tc>
          <w:tcPr>
            <w:tcW w:w="554" w:type="pct"/>
            <w:tcBorders>
              <w:top w:val="nil"/>
              <w:left w:val="nil"/>
              <w:bottom w:val="nil"/>
              <w:right w:val="nil"/>
            </w:tcBorders>
            <w:shd w:val="clear" w:color="auto" w:fill="FFFFFF"/>
            <w:vAlign w:val="center"/>
          </w:tcPr>
          <w:p w14:paraId="1BAF9EB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Yes</w:t>
            </w:r>
          </w:p>
        </w:tc>
        <w:tc>
          <w:tcPr>
            <w:tcW w:w="555" w:type="pct"/>
            <w:tcBorders>
              <w:top w:val="nil"/>
              <w:left w:val="nil"/>
              <w:bottom w:val="nil"/>
              <w:right w:val="nil"/>
            </w:tcBorders>
            <w:shd w:val="clear" w:color="auto" w:fill="FFFFFF"/>
            <w:vAlign w:val="center"/>
          </w:tcPr>
          <w:p w14:paraId="5A051B4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4.2.1</w:t>
            </w:r>
          </w:p>
        </w:tc>
        <w:tc>
          <w:tcPr>
            <w:tcW w:w="698" w:type="pct"/>
            <w:tcBorders>
              <w:top w:val="nil"/>
              <w:left w:val="nil"/>
              <w:bottom w:val="nil"/>
              <w:right w:val="nil"/>
            </w:tcBorders>
            <w:shd w:val="clear" w:color="auto" w:fill="FFFFFF"/>
            <w:vAlign w:val="center"/>
          </w:tcPr>
          <w:p w14:paraId="1F4A929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Regular-user familiarity and social micro-environment</w:t>
            </w:r>
          </w:p>
        </w:tc>
      </w:tr>
      <w:tr w14:paraId="50B07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2" w:type="pct"/>
            <w:tcBorders>
              <w:top w:val="nil"/>
              <w:left w:val="nil"/>
              <w:bottom w:val="nil"/>
              <w:right w:val="single" w:color="000000" w:sz="12" w:space="0"/>
            </w:tcBorders>
            <w:shd w:val="clear" w:color="auto" w:fill="FFFFFF"/>
            <w:vAlign w:val="center"/>
          </w:tcPr>
          <w:p w14:paraId="682C5A1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FN2</w:t>
            </w:r>
          </w:p>
        </w:tc>
        <w:tc>
          <w:tcPr>
            <w:tcW w:w="513" w:type="pct"/>
            <w:tcBorders>
              <w:top w:val="nil"/>
              <w:left w:val="nil"/>
              <w:bottom w:val="nil"/>
              <w:right w:val="nil"/>
            </w:tcBorders>
            <w:shd w:val="clear" w:color="auto" w:fill="FFFFFF"/>
            <w:vAlign w:val="center"/>
          </w:tcPr>
          <w:p w14:paraId="11428A0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Fieldnote</w:t>
            </w:r>
          </w:p>
        </w:tc>
        <w:tc>
          <w:tcPr>
            <w:tcW w:w="738" w:type="pct"/>
            <w:tcBorders>
              <w:top w:val="nil"/>
              <w:left w:val="nil"/>
              <w:bottom w:val="nil"/>
              <w:right w:val="nil"/>
            </w:tcBorders>
            <w:shd w:val="clear" w:color="auto" w:fill="FFFFFF"/>
            <w:vAlign w:val="center"/>
          </w:tcPr>
          <w:p w14:paraId="2F1B8C1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S06</w:t>
            </w:r>
          </w:p>
        </w:tc>
        <w:tc>
          <w:tcPr>
            <w:tcW w:w="939" w:type="pct"/>
            <w:tcBorders>
              <w:top w:val="nil"/>
              <w:left w:val="nil"/>
              <w:bottom w:val="nil"/>
              <w:right w:val="nil"/>
            </w:tcBorders>
            <w:shd w:val="clear" w:color="auto" w:fill="FFFFFF"/>
            <w:vAlign w:val="center"/>
          </w:tcPr>
          <w:p w14:paraId="7808DD3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Fieldnote 24 Jul, pp. 4–6</w:t>
            </w:r>
          </w:p>
        </w:tc>
        <w:tc>
          <w:tcPr>
            <w:tcW w:w="496" w:type="pct"/>
            <w:tcBorders>
              <w:top w:val="nil"/>
              <w:left w:val="nil"/>
              <w:bottom w:val="nil"/>
              <w:right w:val="nil"/>
            </w:tcBorders>
            <w:shd w:val="clear" w:color="auto" w:fill="FFFFFF"/>
            <w:vAlign w:val="center"/>
          </w:tcPr>
          <w:p w14:paraId="127EC8C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N/A</w:t>
            </w:r>
          </w:p>
        </w:tc>
        <w:tc>
          <w:tcPr>
            <w:tcW w:w="554" w:type="pct"/>
            <w:tcBorders>
              <w:top w:val="nil"/>
              <w:left w:val="nil"/>
              <w:bottom w:val="nil"/>
              <w:right w:val="nil"/>
            </w:tcBorders>
            <w:shd w:val="clear" w:color="auto" w:fill="FFFFFF"/>
            <w:vAlign w:val="center"/>
          </w:tcPr>
          <w:p w14:paraId="3894A39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N/A</w:t>
            </w:r>
          </w:p>
        </w:tc>
        <w:tc>
          <w:tcPr>
            <w:tcW w:w="555" w:type="pct"/>
            <w:tcBorders>
              <w:top w:val="nil"/>
              <w:left w:val="nil"/>
              <w:bottom w:val="nil"/>
              <w:right w:val="nil"/>
            </w:tcBorders>
            <w:shd w:val="clear" w:color="auto" w:fill="FFFFFF"/>
            <w:vAlign w:val="center"/>
          </w:tcPr>
          <w:p w14:paraId="490B0E6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4.2.1</w:t>
            </w:r>
          </w:p>
        </w:tc>
        <w:tc>
          <w:tcPr>
            <w:tcW w:w="698" w:type="pct"/>
            <w:tcBorders>
              <w:top w:val="nil"/>
              <w:left w:val="nil"/>
              <w:bottom w:val="nil"/>
              <w:right w:val="nil"/>
            </w:tcBorders>
            <w:shd w:val="clear" w:color="auto" w:fill="FFFFFF"/>
            <w:vAlign w:val="center"/>
          </w:tcPr>
          <w:p w14:paraId="6F2A2B9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Observational evidence of seat-claiming, greeting, food-sharing</w:t>
            </w:r>
          </w:p>
        </w:tc>
      </w:tr>
      <w:tr w14:paraId="4B7C7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2" w:type="pct"/>
            <w:tcBorders>
              <w:top w:val="nil"/>
              <w:left w:val="nil"/>
              <w:bottom w:val="nil"/>
              <w:right w:val="single" w:color="000000" w:sz="12" w:space="0"/>
            </w:tcBorders>
            <w:shd w:val="clear" w:color="auto" w:fill="FFFFFF"/>
            <w:vAlign w:val="center"/>
          </w:tcPr>
          <w:p w14:paraId="2149278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Q7-NEG</w:t>
            </w:r>
          </w:p>
        </w:tc>
        <w:tc>
          <w:tcPr>
            <w:tcW w:w="513" w:type="pct"/>
            <w:tcBorders>
              <w:top w:val="nil"/>
              <w:left w:val="nil"/>
              <w:bottom w:val="nil"/>
              <w:right w:val="nil"/>
            </w:tcBorders>
            <w:shd w:val="clear" w:color="auto" w:fill="FFFFFF"/>
            <w:vAlign w:val="center"/>
          </w:tcPr>
          <w:p w14:paraId="490A10A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Interview</w:t>
            </w:r>
          </w:p>
        </w:tc>
        <w:tc>
          <w:tcPr>
            <w:tcW w:w="738" w:type="pct"/>
            <w:tcBorders>
              <w:top w:val="nil"/>
              <w:left w:val="nil"/>
              <w:bottom w:val="nil"/>
              <w:right w:val="nil"/>
            </w:tcBorders>
            <w:shd w:val="clear" w:color="auto" w:fill="FFFFFF"/>
            <w:vAlign w:val="center"/>
          </w:tcPr>
          <w:p w14:paraId="618F5C7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U25, S06</w:t>
            </w:r>
          </w:p>
        </w:tc>
        <w:tc>
          <w:tcPr>
            <w:tcW w:w="939" w:type="pct"/>
            <w:tcBorders>
              <w:top w:val="nil"/>
              <w:left w:val="nil"/>
              <w:bottom w:val="nil"/>
              <w:right w:val="nil"/>
            </w:tcBorders>
            <w:shd w:val="clear" w:color="auto" w:fill="FFFFFF"/>
            <w:vAlign w:val="center"/>
          </w:tcPr>
          <w:p w14:paraId="2F29DD2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Transcript U25, p. 2, lines 10–15</w:t>
            </w:r>
          </w:p>
        </w:tc>
        <w:tc>
          <w:tcPr>
            <w:tcW w:w="496" w:type="pct"/>
            <w:tcBorders>
              <w:top w:val="nil"/>
              <w:left w:val="nil"/>
              <w:bottom w:val="nil"/>
              <w:right w:val="nil"/>
            </w:tcBorders>
            <w:shd w:val="clear" w:color="auto" w:fill="FFFFFF"/>
            <w:vAlign w:val="center"/>
          </w:tcPr>
          <w:p w14:paraId="105C939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Yes</w:t>
            </w:r>
          </w:p>
        </w:tc>
        <w:tc>
          <w:tcPr>
            <w:tcW w:w="554" w:type="pct"/>
            <w:tcBorders>
              <w:top w:val="nil"/>
              <w:left w:val="nil"/>
              <w:bottom w:val="nil"/>
              <w:right w:val="nil"/>
            </w:tcBorders>
            <w:shd w:val="clear" w:color="auto" w:fill="FFFFFF"/>
            <w:vAlign w:val="center"/>
          </w:tcPr>
          <w:p w14:paraId="1A94C68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Yes</w:t>
            </w:r>
          </w:p>
        </w:tc>
        <w:tc>
          <w:tcPr>
            <w:tcW w:w="555" w:type="pct"/>
            <w:tcBorders>
              <w:top w:val="nil"/>
              <w:left w:val="nil"/>
              <w:bottom w:val="nil"/>
              <w:right w:val="nil"/>
            </w:tcBorders>
            <w:shd w:val="clear" w:color="auto" w:fill="FFFFFF"/>
            <w:vAlign w:val="center"/>
          </w:tcPr>
          <w:p w14:paraId="475D6CB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4.2.1</w:t>
            </w:r>
          </w:p>
        </w:tc>
        <w:tc>
          <w:tcPr>
            <w:tcW w:w="698" w:type="pct"/>
            <w:tcBorders>
              <w:top w:val="nil"/>
              <w:left w:val="nil"/>
              <w:bottom w:val="nil"/>
              <w:right w:val="nil"/>
            </w:tcBorders>
            <w:shd w:val="clear" w:color="auto" w:fill="FFFFFF"/>
            <w:vAlign w:val="center"/>
          </w:tcPr>
          <w:p w14:paraId="61E88C5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Newcomer discomfort and exclusion from regular social arrangement</w:t>
            </w:r>
          </w:p>
        </w:tc>
      </w:tr>
      <w:tr w14:paraId="5BAC9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2" w:type="pct"/>
            <w:tcBorders>
              <w:top w:val="nil"/>
              <w:left w:val="nil"/>
              <w:bottom w:val="nil"/>
              <w:right w:val="single" w:color="000000" w:sz="12" w:space="0"/>
            </w:tcBorders>
            <w:shd w:val="clear" w:color="auto" w:fill="FFFFFF"/>
            <w:vAlign w:val="center"/>
          </w:tcPr>
          <w:p w14:paraId="6832CC8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Q8</w:t>
            </w:r>
          </w:p>
        </w:tc>
        <w:tc>
          <w:tcPr>
            <w:tcW w:w="513" w:type="pct"/>
            <w:tcBorders>
              <w:top w:val="nil"/>
              <w:left w:val="nil"/>
              <w:bottom w:val="nil"/>
              <w:right w:val="nil"/>
            </w:tcBorders>
            <w:shd w:val="clear" w:color="auto" w:fill="FFFFFF"/>
            <w:vAlign w:val="center"/>
          </w:tcPr>
          <w:p w14:paraId="72FDE25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Interview</w:t>
            </w:r>
          </w:p>
        </w:tc>
        <w:tc>
          <w:tcPr>
            <w:tcW w:w="738" w:type="pct"/>
            <w:tcBorders>
              <w:top w:val="nil"/>
              <w:left w:val="nil"/>
              <w:bottom w:val="nil"/>
              <w:right w:val="nil"/>
            </w:tcBorders>
            <w:shd w:val="clear" w:color="auto" w:fill="FFFFFF"/>
            <w:vAlign w:val="center"/>
          </w:tcPr>
          <w:p w14:paraId="620FE4E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U29, S04</w:t>
            </w:r>
          </w:p>
        </w:tc>
        <w:tc>
          <w:tcPr>
            <w:tcW w:w="939" w:type="pct"/>
            <w:tcBorders>
              <w:top w:val="nil"/>
              <w:left w:val="nil"/>
              <w:bottom w:val="nil"/>
              <w:right w:val="nil"/>
            </w:tcBorders>
            <w:shd w:val="clear" w:color="auto" w:fill="FFFFFF"/>
            <w:vAlign w:val="center"/>
          </w:tcPr>
          <w:p w14:paraId="6B6ABE0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Transcript U29, p. 3, lines 1–7</w:t>
            </w:r>
          </w:p>
        </w:tc>
        <w:tc>
          <w:tcPr>
            <w:tcW w:w="496" w:type="pct"/>
            <w:tcBorders>
              <w:top w:val="nil"/>
              <w:left w:val="nil"/>
              <w:bottom w:val="nil"/>
              <w:right w:val="nil"/>
            </w:tcBorders>
            <w:shd w:val="clear" w:color="auto" w:fill="FFFFFF"/>
            <w:vAlign w:val="center"/>
          </w:tcPr>
          <w:p w14:paraId="66AF404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Yes</w:t>
            </w:r>
          </w:p>
        </w:tc>
        <w:tc>
          <w:tcPr>
            <w:tcW w:w="554" w:type="pct"/>
            <w:tcBorders>
              <w:top w:val="nil"/>
              <w:left w:val="nil"/>
              <w:bottom w:val="nil"/>
              <w:right w:val="nil"/>
            </w:tcBorders>
            <w:shd w:val="clear" w:color="auto" w:fill="FFFFFF"/>
            <w:vAlign w:val="center"/>
          </w:tcPr>
          <w:p w14:paraId="345E5BB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Yes</w:t>
            </w:r>
          </w:p>
        </w:tc>
        <w:tc>
          <w:tcPr>
            <w:tcW w:w="555" w:type="pct"/>
            <w:tcBorders>
              <w:top w:val="nil"/>
              <w:left w:val="nil"/>
              <w:bottom w:val="nil"/>
              <w:right w:val="nil"/>
            </w:tcBorders>
            <w:shd w:val="clear" w:color="auto" w:fill="FFFFFF"/>
            <w:vAlign w:val="center"/>
          </w:tcPr>
          <w:p w14:paraId="2249BB1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4.2.2</w:t>
            </w:r>
          </w:p>
        </w:tc>
        <w:tc>
          <w:tcPr>
            <w:tcW w:w="698" w:type="pct"/>
            <w:tcBorders>
              <w:top w:val="nil"/>
              <w:left w:val="nil"/>
              <w:bottom w:val="nil"/>
              <w:right w:val="nil"/>
            </w:tcBorders>
            <w:shd w:val="clear" w:color="auto" w:fill="FFFFFF"/>
            <w:vAlign w:val="center"/>
          </w:tcPr>
          <w:p w14:paraId="18DBF44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Caregiver account of mobility constraints and inadequate seating</w:t>
            </w:r>
          </w:p>
        </w:tc>
      </w:tr>
      <w:tr w14:paraId="53C7E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2" w:type="pct"/>
            <w:tcBorders>
              <w:top w:val="nil"/>
              <w:left w:val="nil"/>
              <w:bottom w:val="nil"/>
              <w:right w:val="single" w:color="000000" w:sz="12" w:space="0"/>
            </w:tcBorders>
            <w:shd w:val="clear" w:color="auto" w:fill="FFFFFF"/>
            <w:vAlign w:val="center"/>
          </w:tcPr>
          <w:p w14:paraId="154786B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FN3</w:t>
            </w:r>
          </w:p>
        </w:tc>
        <w:tc>
          <w:tcPr>
            <w:tcW w:w="513" w:type="pct"/>
            <w:tcBorders>
              <w:top w:val="nil"/>
              <w:left w:val="nil"/>
              <w:bottom w:val="nil"/>
              <w:right w:val="nil"/>
            </w:tcBorders>
            <w:shd w:val="clear" w:color="auto" w:fill="FFFFFF"/>
            <w:vAlign w:val="center"/>
          </w:tcPr>
          <w:p w14:paraId="56B0C21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Fieldnote</w:t>
            </w:r>
          </w:p>
        </w:tc>
        <w:tc>
          <w:tcPr>
            <w:tcW w:w="738" w:type="pct"/>
            <w:tcBorders>
              <w:top w:val="nil"/>
              <w:left w:val="nil"/>
              <w:bottom w:val="nil"/>
              <w:right w:val="nil"/>
            </w:tcBorders>
            <w:shd w:val="clear" w:color="auto" w:fill="FFFFFF"/>
            <w:vAlign w:val="center"/>
          </w:tcPr>
          <w:p w14:paraId="65C9B1B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S07</w:t>
            </w:r>
          </w:p>
        </w:tc>
        <w:tc>
          <w:tcPr>
            <w:tcW w:w="939" w:type="pct"/>
            <w:tcBorders>
              <w:top w:val="nil"/>
              <w:left w:val="nil"/>
              <w:bottom w:val="nil"/>
              <w:right w:val="nil"/>
            </w:tcBorders>
            <w:shd w:val="clear" w:color="auto" w:fill="FFFFFF"/>
            <w:vAlign w:val="center"/>
          </w:tcPr>
          <w:p w14:paraId="4D682B9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Fieldnote 15 Aug, pp. 2–3</w:t>
            </w:r>
          </w:p>
        </w:tc>
        <w:tc>
          <w:tcPr>
            <w:tcW w:w="496" w:type="pct"/>
            <w:tcBorders>
              <w:top w:val="nil"/>
              <w:left w:val="nil"/>
              <w:bottom w:val="nil"/>
              <w:right w:val="nil"/>
            </w:tcBorders>
            <w:shd w:val="clear" w:color="auto" w:fill="FFFFFF"/>
            <w:vAlign w:val="center"/>
          </w:tcPr>
          <w:p w14:paraId="06FD7F1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N/A</w:t>
            </w:r>
          </w:p>
        </w:tc>
        <w:tc>
          <w:tcPr>
            <w:tcW w:w="554" w:type="pct"/>
            <w:tcBorders>
              <w:top w:val="nil"/>
              <w:left w:val="nil"/>
              <w:bottom w:val="nil"/>
              <w:right w:val="nil"/>
            </w:tcBorders>
            <w:shd w:val="clear" w:color="auto" w:fill="FFFFFF"/>
            <w:vAlign w:val="center"/>
          </w:tcPr>
          <w:p w14:paraId="00A5DD6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N/A</w:t>
            </w:r>
          </w:p>
        </w:tc>
        <w:tc>
          <w:tcPr>
            <w:tcW w:w="555" w:type="pct"/>
            <w:tcBorders>
              <w:top w:val="nil"/>
              <w:left w:val="nil"/>
              <w:bottom w:val="nil"/>
              <w:right w:val="nil"/>
            </w:tcBorders>
            <w:shd w:val="clear" w:color="auto" w:fill="FFFFFF"/>
            <w:vAlign w:val="center"/>
          </w:tcPr>
          <w:p w14:paraId="2A59813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4.2.2</w:t>
            </w:r>
          </w:p>
        </w:tc>
        <w:tc>
          <w:tcPr>
            <w:tcW w:w="698" w:type="pct"/>
            <w:tcBorders>
              <w:top w:val="nil"/>
              <w:left w:val="nil"/>
              <w:bottom w:val="nil"/>
              <w:right w:val="nil"/>
            </w:tcBorders>
            <w:shd w:val="clear" w:color="auto" w:fill="FFFFFF"/>
            <w:vAlign w:val="center"/>
          </w:tcPr>
          <w:p w14:paraId="6099DBC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Independent S07 observation of assisted descent, staff response, and improvised seating support</w:t>
            </w:r>
          </w:p>
        </w:tc>
      </w:tr>
      <w:tr w14:paraId="4C1C2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2" w:type="pct"/>
            <w:tcBorders>
              <w:top w:val="nil"/>
              <w:left w:val="nil"/>
              <w:bottom w:val="nil"/>
              <w:right w:val="single" w:color="000000" w:sz="12" w:space="0"/>
            </w:tcBorders>
            <w:shd w:val="clear" w:color="auto" w:fill="FFFFFF"/>
            <w:vAlign w:val="center"/>
          </w:tcPr>
          <w:p w14:paraId="30084B9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Q9</w:t>
            </w:r>
          </w:p>
        </w:tc>
        <w:tc>
          <w:tcPr>
            <w:tcW w:w="513" w:type="pct"/>
            <w:tcBorders>
              <w:top w:val="nil"/>
              <w:left w:val="nil"/>
              <w:bottom w:val="nil"/>
              <w:right w:val="nil"/>
            </w:tcBorders>
            <w:shd w:val="clear" w:color="auto" w:fill="FFFFFF"/>
            <w:vAlign w:val="center"/>
          </w:tcPr>
          <w:p w14:paraId="4B6A90B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Interview</w:t>
            </w:r>
          </w:p>
        </w:tc>
        <w:tc>
          <w:tcPr>
            <w:tcW w:w="738" w:type="pct"/>
            <w:tcBorders>
              <w:top w:val="nil"/>
              <w:left w:val="nil"/>
              <w:bottom w:val="nil"/>
              <w:right w:val="nil"/>
            </w:tcBorders>
            <w:shd w:val="clear" w:color="auto" w:fill="FFFFFF"/>
            <w:vAlign w:val="center"/>
          </w:tcPr>
          <w:p w14:paraId="7D78779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U15, S03</w:t>
            </w:r>
          </w:p>
        </w:tc>
        <w:tc>
          <w:tcPr>
            <w:tcW w:w="939" w:type="pct"/>
            <w:tcBorders>
              <w:top w:val="nil"/>
              <w:left w:val="nil"/>
              <w:bottom w:val="nil"/>
              <w:right w:val="nil"/>
            </w:tcBorders>
            <w:shd w:val="clear" w:color="auto" w:fill="FFFFFF"/>
            <w:vAlign w:val="center"/>
          </w:tcPr>
          <w:p w14:paraId="6A06C64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Transcript U15, p. 3, lines 10–15</w:t>
            </w:r>
          </w:p>
        </w:tc>
        <w:tc>
          <w:tcPr>
            <w:tcW w:w="496" w:type="pct"/>
            <w:tcBorders>
              <w:top w:val="nil"/>
              <w:left w:val="nil"/>
              <w:bottom w:val="nil"/>
              <w:right w:val="nil"/>
            </w:tcBorders>
            <w:shd w:val="clear" w:color="auto" w:fill="FFFFFF"/>
            <w:vAlign w:val="center"/>
          </w:tcPr>
          <w:p w14:paraId="7663ECB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Yes</w:t>
            </w:r>
          </w:p>
        </w:tc>
        <w:tc>
          <w:tcPr>
            <w:tcW w:w="554" w:type="pct"/>
            <w:tcBorders>
              <w:top w:val="nil"/>
              <w:left w:val="nil"/>
              <w:bottom w:val="nil"/>
              <w:right w:val="nil"/>
            </w:tcBorders>
            <w:shd w:val="clear" w:color="auto" w:fill="FFFFFF"/>
            <w:vAlign w:val="center"/>
          </w:tcPr>
          <w:p w14:paraId="51BED4B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Yes</w:t>
            </w:r>
          </w:p>
        </w:tc>
        <w:tc>
          <w:tcPr>
            <w:tcW w:w="555" w:type="pct"/>
            <w:tcBorders>
              <w:top w:val="nil"/>
              <w:left w:val="nil"/>
              <w:bottom w:val="nil"/>
              <w:right w:val="nil"/>
            </w:tcBorders>
            <w:shd w:val="clear" w:color="auto" w:fill="FFFFFF"/>
            <w:vAlign w:val="center"/>
          </w:tcPr>
          <w:p w14:paraId="7E0DE35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4.2.3</w:t>
            </w:r>
          </w:p>
        </w:tc>
        <w:tc>
          <w:tcPr>
            <w:tcW w:w="698" w:type="pct"/>
            <w:tcBorders>
              <w:top w:val="nil"/>
              <w:left w:val="nil"/>
              <w:bottom w:val="nil"/>
              <w:right w:val="nil"/>
            </w:tcBorders>
            <w:shd w:val="clear" w:color="auto" w:fill="FFFFFF"/>
            <w:vAlign w:val="center"/>
          </w:tcPr>
          <w:p w14:paraId="728C9FC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Emotional practice of choosing seat to regulate social exposure</w:t>
            </w:r>
          </w:p>
        </w:tc>
      </w:tr>
      <w:tr w14:paraId="7CDBD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2" w:type="pct"/>
            <w:tcBorders>
              <w:top w:val="nil"/>
              <w:left w:val="nil"/>
              <w:bottom w:val="nil"/>
              <w:right w:val="single" w:color="000000" w:sz="12" w:space="0"/>
            </w:tcBorders>
            <w:shd w:val="clear" w:color="auto" w:fill="FFFFFF"/>
            <w:vAlign w:val="center"/>
          </w:tcPr>
          <w:p w14:paraId="1B924FE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Q10</w:t>
            </w:r>
          </w:p>
        </w:tc>
        <w:tc>
          <w:tcPr>
            <w:tcW w:w="513" w:type="pct"/>
            <w:tcBorders>
              <w:top w:val="nil"/>
              <w:left w:val="nil"/>
              <w:bottom w:val="nil"/>
              <w:right w:val="nil"/>
            </w:tcBorders>
            <w:shd w:val="clear" w:color="auto" w:fill="FFFFFF"/>
            <w:vAlign w:val="center"/>
          </w:tcPr>
          <w:p w14:paraId="0B8F549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Interview</w:t>
            </w:r>
          </w:p>
        </w:tc>
        <w:tc>
          <w:tcPr>
            <w:tcW w:w="738" w:type="pct"/>
            <w:tcBorders>
              <w:top w:val="nil"/>
              <w:left w:val="nil"/>
              <w:bottom w:val="nil"/>
              <w:right w:val="nil"/>
            </w:tcBorders>
            <w:shd w:val="clear" w:color="auto" w:fill="FFFFFF"/>
            <w:vAlign w:val="center"/>
          </w:tcPr>
          <w:p w14:paraId="32613AB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U02, S01</w:t>
            </w:r>
          </w:p>
        </w:tc>
        <w:tc>
          <w:tcPr>
            <w:tcW w:w="939" w:type="pct"/>
            <w:tcBorders>
              <w:top w:val="nil"/>
              <w:left w:val="nil"/>
              <w:bottom w:val="nil"/>
              <w:right w:val="nil"/>
            </w:tcBorders>
            <w:shd w:val="clear" w:color="auto" w:fill="FFFFFF"/>
            <w:vAlign w:val="center"/>
          </w:tcPr>
          <w:p w14:paraId="3B0C6CD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Transcript U02, p. 5, lines 1–6</w:t>
            </w:r>
          </w:p>
        </w:tc>
        <w:tc>
          <w:tcPr>
            <w:tcW w:w="496" w:type="pct"/>
            <w:tcBorders>
              <w:top w:val="nil"/>
              <w:left w:val="nil"/>
              <w:bottom w:val="nil"/>
              <w:right w:val="nil"/>
            </w:tcBorders>
            <w:shd w:val="clear" w:color="auto" w:fill="FFFFFF"/>
            <w:vAlign w:val="center"/>
          </w:tcPr>
          <w:p w14:paraId="197A7A7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Yes</w:t>
            </w:r>
          </w:p>
        </w:tc>
        <w:tc>
          <w:tcPr>
            <w:tcW w:w="554" w:type="pct"/>
            <w:tcBorders>
              <w:top w:val="nil"/>
              <w:left w:val="nil"/>
              <w:bottom w:val="nil"/>
              <w:right w:val="nil"/>
            </w:tcBorders>
            <w:shd w:val="clear" w:color="auto" w:fill="FFFFFF"/>
            <w:vAlign w:val="center"/>
          </w:tcPr>
          <w:p w14:paraId="24453CA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Yes</w:t>
            </w:r>
          </w:p>
        </w:tc>
        <w:tc>
          <w:tcPr>
            <w:tcW w:w="555" w:type="pct"/>
            <w:tcBorders>
              <w:top w:val="nil"/>
              <w:left w:val="nil"/>
              <w:bottom w:val="nil"/>
              <w:right w:val="nil"/>
            </w:tcBorders>
            <w:shd w:val="clear" w:color="auto" w:fill="FFFFFF"/>
            <w:vAlign w:val="center"/>
          </w:tcPr>
          <w:p w14:paraId="47973B7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4.3.1</w:t>
            </w:r>
          </w:p>
        </w:tc>
        <w:tc>
          <w:tcPr>
            <w:tcW w:w="698" w:type="pct"/>
            <w:tcBorders>
              <w:top w:val="nil"/>
              <w:left w:val="nil"/>
              <w:bottom w:val="nil"/>
              <w:right w:val="nil"/>
            </w:tcBorders>
            <w:shd w:val="clear" w:color="auto" w:fill="FFFFFF"/>
            <w:vAlign w:val="center"/>
          </w:tcPr>
          <w:p w14:paraId="0AFD2CC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Historical memory and the meaning of shelter as continuity of protection</w:t>
            </w:r>
          </w:p>
        </w:tc>
      </w:tr>
      <w:tr w14:paraId="1FAD0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2" w:type="pct"/>
            <w:tcBorders>
              <w:top w:val="nil"/>
              <w:left w:val="nil"/>
              <w:bottom w:val="nil"/>
              <w:right w:val="single" w:color="000000" w:sz="12" w:space="0"/>
            </w:tcBorders>
            <w:shd w:val="clear" w:color="auto" w:fill="FFFFFF"/>
            <w:vAlign w:val="center"/>
          </w:tcPr>
          <w:p w14:paraId="746F7DB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FN4</w:t>
            </w:r>
          </w:p>
        </w:tc>
        <w:tc>
          <w:tcPr>
            <w:tcW w:w="513" w:type="pct"/>
            <w:tcBorders>
              <w:top w:val="nil"/>
              <w:left w:val="nil"/>
              <w:bottom w:val="nil"/>
              <w:right w:val="nil"/>
            </w:tcBorders>
            <w:shd w:val="clear" w:color="auto" w:fill="FFFFFF"/>
            <w:vAlign w:val="center"/>
          </w:tcPr>
          <w:p w14:paraId="4A9552A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Fieldnote</w:t>
            </w:r>
          </w:p>
        </w:tc>
        <w:tc>
          <w:tcPr>
            <w:tcW w:w="738" w:type="pct"/>
            <w:tcBorders>
              <w:top w:val="nil"/>
              <w:left w:val="nil"/>
              <w:bottom w:val="nil"/>
              <w:right w:val="nil"/>
            </w:tcBorders>
            <w:shd w:val="clear" w:color="auto" w:fill="FFFFFF"/>
            <w:vAlign w:val="center"/>
          </w:tcPr>
          <w:p w14:paraId="76EFC0A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S01</w:t>
            </w:r>
          </w:p>
        </w:tc>
        <w:tc>
          <w:tcPr>
            <w:tcW w:w="939" w:type="pct"/>
            <w:tcBorders>
              <w:top w:val="nil"/>
              <w:left w:val="nil"/>
              <w:bottom w:val="nil"/>
              <w:right w:val="nil"/>
            </w:tcBorders>
            <w:shd w:val="clear" w:color="auto" w:fill="FFFFFF"/>
            <w:vAlign w:val="center"/>
          </w:tcPr>
          <w:p w14:paraId="0C468AB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Fieldnote 31 Jul, pp. 3–5</w:t>
            </w:r>
          </w:p>
        </w:tc>
        <w:tc>
          <w:tcPr>
            <w:tcW w:w="496" w:type="pct"/>
            <w:tcBorders>
              <w:top w:val="nil"/>
              <w:left w:val="nil"/>
              <w:bottom w:val="nil"/>
              <w:right w:val="nil"/>
            </w:tcBorders>
            <w:shd w:val="clear" w:color="auto" w:fill="FFFFFF"/>
            <w:vAlign w:val="center"/>
          </w:tcPr>
          <w:p w14:paraId="359826F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N/A</w:t>
            </w:r>
          </w:p>
        </w:tc>
        <w:tc>
          <w:tcPr>
            <w:tcW w:w="554" w:type="pct"/>
            <w:tcBorders>
              <w:top w:val="nil"/>
              <w:left w:val="nil"/>
              <w:bottom w:val="nil"/>
              <w:right w:val="nil"/>
            </w:tcBorders>
            <w:shd w:val="clear" w:color="auto" w:fill="FFFFFF"/>
            <w:vAlign w:val="center"/>
          </w:tcPr>
          <w:p w14:paraId="07E0D8E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N/A</w:t>
            </w:r>
          </w:p>
        </w:tc>
        <w:tc>
          <w:tcPr>
            <w:tcW w:w="555" w:type="pct"/>
            <w:tcBorders>
              <w:top w:val="nil"/>
              <w:left w:val="nil"/>
              <w:bottom w:val="nil"/>
              <w:right w:val="nil"/>
            </w:tcBorders>
            <w:shd w:val="clear" w:color="auto" w:fill="FFFFFF"/>
            <w:vAlign w:val="center"/>
          </w:tcPr>
          <w:p w14:paraId="621D8B9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4.3.1</w:t>
            </w:r>
          </w:p>
        </w:tc>
        <w:tc>
          <w:tcPr>
            <w:tcW w:w="698" w:type="pct"/>
            <w:tcBorders>
              <w:top w:val="nil"/>
              <w:left w:val="nil"/>
              <w:bottom w:val="nil"/>
              <w:right w:val="nil"/>
            </w:tcBorders>
            <w:shd w:val="clear" w:color="auto" w:fill="FFFFFF"/>
            <w:vAlign w:val="center"/>
          </w:tcPr>
          <w:p w14:paraId="6F73072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Observation of heritage display, limited engagement, contrast with bare concrete</w:t>
            </w:r>
          </w:p>
        </w:tc>
      </w:tr>
      <w:tr w14:paraId="7A2B0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2" w:type="pct"/>
            <w:tcBorders>
              <w:top w:val="nil"/>
              <w:left w:val="nil"/>
              <w:bottom w:val="nil"/>
              <w:right w:val="single" w:color="000000" w:sz="12" w:space="0"/>
            </w:tcBorders>
            <w:shd w:val="clear" w:color="auto" w:fill="FFFFFF"/>
            <w:vAlign w:val="center"/>
          </w:tcPr>
          <w:p w14:paraId="131A729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Q11</w:t>
            </w:r>
          </w:p>
        </w:tc>
        <w:tc>
          <w:tcPr>
            <w:tcW w:w="513" w:type="pct"/>
            <w:tcBorders>
              <w:top w:val="nil"/>
              <w:left w:val="nil"/>
              <w:bottom w:val="nil"/>
              <w:right w:val="nil"/>
            </w:tcBorders>
            <w:shd w:val="clear" w:color="auto" w:fill="FFFFFF"/>
            <w:vAlign w:val="center"/>
          </w:tcPr>
          <w:p w14:paraId="278541E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Interview</w:t>
            </w:r>
          </w:p>
        </w:tc>
        <w:tc>
          <w:tcPr>
            <w:tcW w:w="738" w:type="pct"/>
            <w:tcBorders>
              <w:top w:val="nil"/>
              <w:left w:val="nil"/>
              <w:bottom w:val="nil"/>
              <w:right w:val="nil"/>
            </w:tcBorders>
            <w:shd w:val="clear" w:color="auto" w:fill="FFFFFF"/>
            <w:vAlign w:val="center"/>
          </w:tcPr>
          <w:p w14:paraId="05CBA5B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D04, R03</w:t>
            </w:r>
          </w:p>
        </w:tc>
        <w:tc>
          <w:tcPr>
            <w:tcW w:w="939" w:type="pct"/>
            <w:tcBorders>
              <w:top w:val="nil"/>
              <w:left w:val="nil"/>
              <w:bottom w:val="nil"/>
              <w:right w:val="nil"/>
            </w:tcBorders>
            <w:shd w:val="clear" w:color="auto" w:fill="FFFFFF"/>
            <w:vAlign w:val="center"/>
          </w:tcPr>
          <w:p w14:paraId="531266A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Transcript D04, p. 4, lines 2–8</w:t>
            </w:r>
          </w:p>
        </w:tc>
        <w:tc>
          <w:tcPr>
            <w:tcW w:w="496" w:type="pct"/>
            <w:tcBorders>
              <w:top w:val="nil"/>
              <w:left w:val="nil"/>
              <w:bottom w:val="nil"/>
              <w:right w:val="nil"/>
            </w:tcBorders>
            <w:shd w:val="clear" w:color="auto" w:fill="FFFFFF"/>
            <w:vAlign w:val="center"/>
          </w:tcPr>
          <w:p w14:paraId="034F94A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Yes</w:t>
            </w:r>
          </w:p>
        </w:tc>
        <w:tc>
          <w:tcPr>
            <w:tcW w:w="554" w:type="pct"/>
            <w:tcBorders>
              <w:top w:val="nil"/>
              <w:left w:val="nil"/>
              <w:bottom w:val="nil"/>
              <w:right w:val="nil"/>
            </w:tcBorders>
            <w:shd w:val="clear" w:color="auto" w:fill="FFFFFF"/>
            <w:vAlign w:val="center"/>
          </w:tcPr>
          <w:p w14:paraId="10545D5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Yes</w:t>
            </w:r>
          </w:p>
        </w:tc>
        <w:tc>
          <w:tcPr>
            <w:tcW w:w="555" w:type="pct"/>
            <w:tcBorders>
              <w:top w:val="nil"/>
              <w:left w:val="nil"/>
              <w:bottom w:val="nil"/>
              <w:right w:val="nil"/>
            </w:tcBorders>
            <w:shd w:val="clear" w:color="auto" w:fill="FFFFFF"/>
            <w:vAlign w:val="center"/>
          </w:tcPr>
          <w:p w14:paraId="5834081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4.3.2</w:t>
            </w:r>
          </w:p>
        </w:tc>
        <w:tc>
          <w:tcPr>
            <w:tcW w:w="698" w:type="pct"/>
            <w:tcBorders>
              <w:top w:val="nil"/>
              <w:left w:val="nil"/>
              <w:bottom w:val="nil"/>
              <w:right w:val="nil"/>
            </w:tcBorders>
            <w:shd w:val="clear" w:color="auto" w:fill="FFFFFF"/>
            <w:vAlign w:val="center"/>
          </w:tcPr>
          <w:p w14:paraId="434722A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Operator perspective: coolness as operational advantage, heritage as value</w:t>
            </w:r>
          </w:p>
        </w:tc>
      </w:tr>
      <w:tr w14:paraId="132C7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2" w:type="pct"/>
            <w:tcBorders>
              <w:top w:val="nil"/>
              <w:left w:val="nil"/>
              <w:bottom w:val="single" w:color="000000" w:sz="12" w:space="0"/>
              <w:right w:val="single" w:color="000000" w:sz="12" w:space="0"/>
            </w:tcBorders>
            <w:shd w:val="clear" w:color="auto" w:fill="FFFFFF"/>
            <w:vAlign w:val="center"/>
          </w:tcPr>
          <w:p w14:paraId="7AFE9F1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Q12</w:t>
            </w:r>
          </w:p>
        </w:tc>
        <w:tc>
          <w:tcPr>
            <w:tcW w:w="513" w:type="pct"/>
            <w:tcBorders>
              <w:top w:val="nil"/>
              <w:left w:val="nil"/>
              <w:bottom w:val="single" w:color="000000" w:sz="12" w:space="0"/>
              <w:right w:val="nil"/>
            </w:tcBorders>
            <w:shd w:val="clear" w:color="auto" w:fill="FFFFFF"/>
            <w:vAlign w:val="center"/>
          </w:tcPr>
          <w:p w14:paraId="5864431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Interview</w:t>
            </w:r>
          </w:p>
        </w:tc>
        <w:tc>
          <w:tcPr>
            <w:tcW w:w="738" w:type="pct"/>
            <w:tcBorders>
              <w:top w:val="nil"/>
              <w:left w:val="nil"/>
              <w:bottom w:val="single" w:color="000000" w:sz="12" w:space="0"/>
              <w:right w:val="nil"/>
            </w:tcBorders>
            <w:shd w:val="clear" w:color="auto" w:fill="FFFFFF"/>
            <w:vAlign w:val="center"/>
          </w:tcPr>
          <w:p w14:paraId="4E63FD0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U08, S03</w:t>
            </w:r>
          </w:p>
        </w:tc>
        <w:tc>
          <w:tcPr>
            <w:tcW w:w="939" w:type="pct"/>
            <w:tcBorders>
              <w:top w:val="nil"/>
              <w:left w:val="nil"/>
              <w:bottom w:val="single" w:color="000000" w:sz="12" w:space="0"/>
              <w:right w:val="nil"/>
            </w:tcBorders>
            <w:shd w:val="clear" w:color="auto" w:fill="FFFFFF"/>
            <w:vAlign w:val="center"/>
          </w:tcPr>
          <w:p w14:paraId="1478AD5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Transcript U08, p. 4, lines 10–15</w:t>
            </w:r>
          </w:p>
        </w:tc>
        <w:tc>
          <w:tcPr>
            <w:tcW w:w="496" w:type="pct"/>
            <w:tcBorders>
              <w:top w:val="nil"/>
              <w:left w:val="nil"/>
              <w:bottom w:val="single" w:color="000000" w:sz="12" w:space="0"/>
              <w:right w:val="nil"/>
            </w:tcBorders>
            <w:shd w:val="clear" w:color="auto" w:fill="FFFFFF"/>
            <w:vAlign w:val="center"/>
          </w:tcPr>
          <w:p w14:paraId="17B467A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Yes</w:t>
            </w:r>
          </w:p>
        </w:tc>
        <w:tc>
          <w:tcPr>
            <w:tcW w:w="554" w:type="pct"/>
            <w:tcBorders>
              <w:top w:val="nil"/>
              <w:left w:val="nil"/>
              <w:bottom w:val="single" w:color="000000" w:sz="12" w:space="0"/>
              <w:right w:val="nil"/>
            </w:tcBorders>
            <w:shd w:val="clear" w:color="auto" w:fill="FFFFFF"/>
            <w:vAlign w:val="center"/>
          </w:tcPr>
          <w:p w14:paraId="0D122B6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Yes</w:t>
            </w:r>
          </w:p>
        </w:tc>
        <w:tc>
          <w:tcPr>
            <w:tcW w:w="555" w:type="pct"/>
            <w:tcBorders>
              <w:top w:val="nil"/>
              <w:left w:val="nil"/>
              <w:bottom w:val="single" w:color="000000" w:sz="12" w:space="0"/>
              <w:right w:val="nil"/>
            </w:tcBorders>
            <w:shd w:val="clear" w:color="auto" w:fill="FFFFFF"/>
            <w:vAlign w:val="center"/>
          </w:tcPr>
          <w:p w14:paraId="4ED4DA6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4.3.2</w:t>
            </w:r>
          </w:p>
        </w:tc>
        <w:tc>
          <w:tcPr>
            <w:tcW w:w="698" w:type="pct"/>
            <w:tcBorders>
              <w:top w:val="nil"/>
              <w:left w:val="nil"/>
              <w:bottom w:val="single" w:color="000000" w:sz="12" w:space="0"/>
              <w:right w:val="nil"/>
            </w:tcBorders>
            <w:shd w:val="clear" w:color="auto" w:fill="FFFFFF"/>
            <w:vAlign w:val="center"/>
          </w:tcPr>
          <w:p w14:paraId="3040520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User comparison: public shelter as real refuge, commercial access as consumption-conditioned</w:t>
            </w:r>
          </w:p>
        </w:tc>
      </w:tr>
    </w:tbl>
    <w:p w14:paraId="5130C1FF">
      <w:pPr>
        <w:pStyle w:val="164"/>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b w:val="0"/>
          <w:i/>
          <w:iCs w:val="0"/>
          <w:color w:val="000000"/>
          <w:sz w:val="24"/>
          <w:szCs w:val="24"/>
        </w:rPr>
      </w:pPr>
      <w:r>
        <w:rPr>
          <w:rFonts w:hint="default" w:ascii="Times New Roman" w:hAnsi="Times New Roman" w:eastAsia="Times New Roman" w:cs="Times New Roman"/>
          <w:b w:val="0"/>
          <w:i/>
          <w:iCs w:val="0"/>
          <w:color w:val="000000"/>
          <w:sz w:val="24"/>
          <w:szCs w:val="24"/>
        </w:rPr>
        <w:t>Note. For interview quotations, 'Original-language checked' and 'English translation checked' indicate that every published excerpt was verified against its Chinese-language source for substantive fidelity. This source-to-translation check is distinct from the additional independent back-translation procedure: a bilingual social-science research assistant back-translated a randomly selected subset of quotation material (approximately 30%), with discrepancies resolved by discussion. Fieldnotes are exempt from translation checking where no participant quotation is reproduced.</w:t>
      </w:r>
    </w:p>
    <w:p w14:paraId="702F8E70">
      <w:pPr>
        <w:pStyle w:val="164"/>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b w:val="0"/>
          <w:i/>
          <w:iCs w:val="0"/>
          <w:color w:val="000000"/>
          <w:sz w:val="24"/>
          <w:szCs w:val="24"/>
        </w:rPr>
      </w:pPr>
    </w:p>
    <w:p w14:paraId="65B90B84">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color w:val="000000"/>
          <w:sz w:val="24"/>
          <w:szCs w:val="24"/>
        </w:rPr>
      </w:pPr>
      <w:r>
        <w:rPr>
          <w:rFonts w:hint="default" w:ascii="Times New Roman" w:hAnsi="Times New Roman" w:eastAsia="Times New Roman" w:cs="Times New Roman"/>
          <w:color w:val="000000"/>
          <w:sz w:val="24"/>
          <w:szCs w:val="24"/>
        </w:rPr>
        <w:t>This audit trail strengthens evidentiary transparency by allowing the analytic use of each excerpt to be traced without releasing identifiable raw data.</w:t>
      </w:r>
    </w:p>
    <w:p w14:paraId="269A1755">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color w:val="000000"/>
          <w:sz w:val="24"/>
          <w:szCs w:val="24"/>
        </w:rPr>
      </w:pPr>
    </w:p>
    <w:p w14:paraId="0514E6AF">
      <w:pPr>
        <w:pStyle w:val="4"/>
        <w:keepNext/>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8"/>
          <w:szCs w:val="28"/>
        </w:rPr>
      </w:pPr>
      <w:r>
        <w:rPr>
          <w:rFonts w:hint="default" w:ascii="Times New Roman" w:hAnsi="Times New Roman" w:eastAsia="Times New Roman" w:cs="Times New Roman"/>
          <w:b/>
          <w:i w:val="0"/>
          <w:color w:val="000000"/>
          <w:sz w:val="28"/>
          <w:szCs w:val="28"/>
        </w:rPr>
        <w:t>Appendix H. Qualitative reporting transparency summary</w:t>
      </w:r>
    </w:p>
    <w:p w14:paraId="374D07D9">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color w:val="000000"/>
          <w:sz w:val="24"/>
          <w:szCs w:val="24"/>
        </w:rPr>
        <w:t>• Study design: qualitative, multi-sited ethnography across eight public cooling sites and four adaptive-reuse comparison sites in five central Chongqing districts. The adaptive-reuse sites function as contrastive boundary cases rather than an equivalent sector-wide evaluation sample.</w:t>
      </w:r>
    </w:p>
    <w:p w14:paraId="56FCF2A6">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color w:val="000000"/>
          <w:sz w:val="24"/>
          <w:szCs w:val="24"/>
        </w:rPr>
        <w:t>• Primary corpus: 46 semi-structured interviews conducted (43 fully transcribed and coded), four group discussions comprising 17 participant attendances, 43 observation sessions totalling 142 hours, 312 field photographs, and 47 documentary items.</w:t>
      </w:r>
    </w:p>
    <w:p w14:paraId="1FA2E20D">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color w:val="000000"/>
          <w:sz w:val="24"/>
          <w:szCs w:val="24"/>
        </w:rPr>
        <w:t>• Sampling: purposive, guided by information power and analytical contrast rather than statistical representativeness or retrospective saturation claims. Public-shelter users were recruited primarily on site, so non-users and former users are not represented as a separate comparison group; this boundary is acknowledged in the main-text limitations.</w:t>
      </w:r>
    </w:p>
    <w:p w14:paraId="66F0BAC4">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color w:val="000000"/>
          <w:sz w:val="24"/>
          <w:szCs w:val="24"/>
        </w:rPr>
        <w:t>• Analysis: two-pass deductive-inductive coding in NVivo 14, 87 analytic memos, deliberate negative-case analysis, cross-case evidence matrices, and interpretive review of approximately 20% of combined transcript and fieldnote material by a second researcher. The second review challenged code definitions and emergent interpretations rather than estimating coder agreement; disagreements prompted code-definition refinement and additional memoing. Supplementary Table S2 documents the units and rules for descriptive counts used in the main text; these counts are not treated as prevalence estimates or inferential statistics.</w:t>
      </w:r>
    </w:p>
    <w:p w14:paraId="6FDA611D">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Evidentiary transparency: published quotations and fieldnotes are linked to de-identified transcript or fieldnote locations in Appendix G; contextual documents are indexed in Appendix E; Supplementary Table S4 records city-level meteorological forecast context while explicitly separating it from unmeasured site-level thermal conditions.</w:t>
      </w:r>
    </w:p>
    <w:p w14:paraId="56EC5762">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color w:val="000000"/>
          <w:sz w:val="24"/>
          <w:szCs w:val="24"/>
        </w:rPr>
        <w:t>• Reflexivity and translation: researcher positionality, access conditions, and potential field effects are reported in Section 3.6. Analysis was conducted in Chinese before English rendering. Every published quotation was checked against its Chinese-language source, and a randomly selected subset (approximately 30%) underwent additional independent back-translation by a bilingual social-science research assistant; Appendix G records the source-to-translation audit trail.</w:t>
      </w:r>
    </w:p>
    <w:p w14:paraId="37D1EB9A">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color w:val="000000"/>
          <w:sz w:val="24"/>
          <w:szCs w:val="24"/>
        </w:rPr>
        <w:t>• Claim boundary: findings are analytical and situated; no citywide prevalence, causal design effect, population-level equity estimate, or sector-wide evaluation of adaptive reuse is inferred from the purposive qualitative sample. Because users were recruited primarily on site, claims about barriers or exclusion are limited to experiences reported or observed within the realized sample rather than treated as evidence about non-users as a separate population.</w:t>
      </w:r>
    </w:p>
    <w:p w14:paraId="0402F7C2">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eastAsia="Times New Roman" w:cs="Times New Roman"/>
          <w:i w:val="0"/>
          <w:color w:val="000000"/>
          <w:sz w:val="24"/>
          <w:szCs w:val="24"/>
        </w:rPr>
        <w:t>• Data governance: raw audio, full transcripts, identifiable fieldnotes/images, and operationally sensitive site records are not publicly released because of consent, privacy, ethics, and access restrictions. The supplementary file therefore emphasizes non-identifying methodological and evidentiary audit materials rather than raw-data deposition.</w:t>
      </w:r>
    </w:p>
    <w:p w14:paraId="45401808">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color w:val="000000"/>
          <w:sz w:val="24"/>
          <w:szCs w:val="24"/>
        </w:rPr>
      </w:pPr>
      <w:r>
        <w:rPr>
          <w:rFonts w:hint="default" w:ascii="Times New Roman" w:hAnsi="Times New Roman" w:eastAsia="Times New Roman" w:cs="Times New Roman"/>
          <w:color w:val="000000"/>
          <w:sz w:val="24"/>
          <w:szCs w:val="24"/>
        </w:rPr>
        <w:t>• Methodological scope: the study employed qualitative analysis of semi-structured interviews, group discussions, participant observation, fieldnotes, photographs, and documentary materials. NVivo 14 was used to organize coding, memoing, and the evidentiary audit trail; psychometric reliability and construct-validity procedures were not part of this qualitative design.</w:t>
      </w:r>
    </w:p>
    <w:p w14:paraId="7BD94B49">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eastAsia="Times New Roman" w:cs="Times New Roman"/>
          <w:color w:val="000000"/>
          <w:sz w:val="24"/>
          <w:szCs w:val="24"/>
        </w:rPr>
      </w:pPr>
    </w:p>
    <w:p w14:paraId="2096147C">
      <w:pPr>
        <w:pStyle w:val="4"/>
        <w:keepNext/>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8"/>
          <w:szCs w:val="28"/>
        </w:rPr>
      </w:pPr>
      <w:r>
        <w:rPr>
          <w:rFonts w:hint="default" w:ascii="Times New Roman" w:hAnsi="Times New Roman" w:eastAsia="Times New Roman" w:cs="Times New Roman"/>
          <w:b/>
          <w:i w:val="0"/>
          <w:color w:val="000000"/>
          <w:sz w:val="28"/>
          <w:szCs w:val="28"/>
        </w:rPr>
        <w:t>Appendix I. Ethics, data access and declarations</w:t>
      </w:r>
    </w:p>
    <w:p w14:paraId="403440DD">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Ethics statement: Institutional ethics approval was granted under Protocol 2025-HEAT-042 on 5 June 2025 through expedited minimal-risk social-behavioural review; the approving institution is withheld for anonymous peer review. Written consent covered interviews and group discussions; separate image consent covered identifiable photographs. Non-interactive public-space observation followed the ethics determination.</w:t>
      </w:r>
    </w:p>
    <w:p w14:paraId="216064AC">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Data availability: Raw audio, full transcripts, identifiable fieldnotes and photographs, and operationally sensitive site records are not publicly archived because of consent, ethics, privacy, and access restrictions. This supplement provides non-identifying materials sufficient to assess procedures, coding, and claim traceability; any further disclosure remains subject to the original restrictions.</w:t>
      </w:r>
    </w:p>
    <w:p w14:paraId="35D47715">
      <w:pPr>
        <w:pageBreakBefore w:val="0"/>
        <w:widowControl/>
        <w:kinsoku/>
        <w:wordWrap/>
        <w:overflowPunct/>
        <w:topLinePunct w:val="0"/>
        <w:autoSpaceDE/>
        <w:autoSpaceDN/>
        <w:bidi w:val="0"/>
        <w:adjustRightInd/>
        <w:snapToGrid/>
        <w:spacing w:before="0" w:after="160" w:line="240" w:lineRule="auto"/>
        <w:ind w:left="0" w:firstLine="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Declarations: Funding—none. Competing interests—none. Author contributions (CRediT)—Conceptualization; methodology; investigation; formal analysis; data curation; visualization; writing—original draft; writing—review &amp; editing: the author.</w:t>
      </w:r>
    </w:p>
    <w:sectPr>
      <w:footerReference r:id="rId5" w:type="default"/>
      <w:pgSz w:w="11906" w:h="16838"/>
      <w:pgMar w:top="1440" w:right="1440" w:bottom="1440" w:left="1440" w:header="708" w:footer="708" w:gutter="0"/>
      <w:lnNumType w:countBy="1" w:restart="continuous"/>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Cambria">
    <w:panose1 w:val="02040503050406030204"/>
    <w:charset w:val="00"/>
    <w:family w:val="auto"/>
    <w:pitch w:val="default"/>
    <w:sig w:usb0="E00006FF" w:usb1="420024FF" w:usb2="02000000" w:usb3="00000000" w:csb0="2000019F"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05094">
    <w:pPr>
      <w:jc w:val="center"/>
    </w:pPr>
    <w:r>
      <w:rPr>
        <w:rFonts w:ascii="Times New Roman" w:hAnsi="Times New Roman" w:eastAsia="Times New Roman" w:cs="Times New Roman"/>
        <w:sz w:val="20"/>
      </w:rPr>
      <w:fldChar w:fldCharType="begin"/>
    </w:r>
    <w:r>
      <w:rPr>
        <w:rFonts w:ascii="Times New Roman" w:hAnsi="Times New Roman" w:eastAsia="Times New Roman" w:cs="Times New Roman"/>
        <w:sz w:val="20"/>
      </w:rPr>
      <w:instrText xml:space="preserve"> PAGE   \* MERGEFORMAT </w:instrText>
    </w:r>
    <w:r>
      <w:rPr>
        <w:rFonts w:ascii="Times New Roman" w:hAnsi="Times New Roman" w:eastAsia="Times New Roman" w:cs="Times New Roman"/>
        <w:sz w:val="20"/>
      </w:rPr>
      <w:fldChar w:fldCharType="separate"/>
    </w:r>
    <w:r>
      <w:rPr>
        <w:rFonts w:ascii="Times New Roman" w:hAnsi="Times New Roman" w:eastAsia="Times New Roman" w:cs="Times New Roman"/>
        <w:sz w:val="20"/>
      </w:rPr>
      <w:t>1</w:t>
    </w:r>
    <w:r>
      <w:rPr>
        <w:rFonts w:ascii="Times New Roman" w:hAnsi="Times New Roman" w:eastAsia="Times New Roman" w:cs="Times New Roman"/>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2535CBD"/>
    <w:rsid w:val="06DF2215"/>
    <w:rsid w:val="082A74C0"/>
    <w:rsid w:val="0BE75801"/>
    <w:rsid w:val="0CEE5B7F"/>
    <w:rsid w:val="0F1E7653"/>
    <w:rsid w:val="0F1F7BDB"/>
    <w:rsid w:val="15CC7E09"/>
    <w:rsid w:val="171952CF"/>
    <w:rsid w:val="1F617814"/>
    <w:rsid w:val="23731683"/>
    <w:rsid w:val="23A457AD"/>
    <w:rsid w:val="25ED0053"/>
    <w:rsid w:val="27850F0A"/>
    <w:rsid w:val="294141E1"/>
    <w:rsid w:val="2A1831C5"/>
    <w:rsid w:val="2B230073"/>
    <w:rsid w:val="2C3D01A4"/>
    <w:rsid w:val="35274545"/>
    <w:rsid w:val="35867B7C"/>
    <w:rsid w:val="35D94150"/>
    <w:rsid w:val="36501EC6"/>
    <w:rsid w:val="3C300842"/>
    <w:rsid w:val="3E1C45D3"/>
    <w:rsid w:val="3FAD2204"/>
    <w:rsid w:val="43F263DD"/>
    <w:rsid w:val="446E1D47"/>
    <w:rsid w:val="494616A5"/>
    <w:rsid w:val="4D5352AA"/>
    <w:rsid w:val="4E506598"/>
    <w:rsid w:val="50681F00"/>
    <w:rsid w:val="51F021AD"/>
    <w:rsid w:val="531D3476"/>
    <w:rsid w:val="53312A7E"/>
    <w:rsid w:val="538928BA"/>
    <w:rsid w:val="5BBB1A7E"/>
    <w:rsid w:val="5DA570D8"/>
    <w:rsid w:val="60487659"/>
    <w:rsid w:val="643C5726"/>
    <w:rsid w:val="6B4E646B"/>
    <w:rsid w:val="6C601D68"/>
    <w:rsid w:val="6F327B0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before="0" w:after="0" w:line="360" w:lineRule="auto"/>
    </w:pPr>
    <w:rPr>
      <w:rFonts w:ascii="Times New Roman" w:hAnsi="Times New Roman" w:eastAsia="Times New Roman" w:cstheme="minorBidi"/>
      <w:sz w:val="24"/>
      <w:szCs w:val="22"/>
      <w:lang w:val="en-US" w:eastAsia="en-US" w:bidi="ar-SA"/>
    </w:rPr>
  </w:style>
  <w:style w:type="paragraph" w:styleId="3">
    <w:name w:val="heading 1"/>
    <w:basedOn w:val="1"/>
    <w:next w:val="1"/>
    <w:link w:val="138"/>
    <w:qFormat/>
    <w:uiPriority w:val="9"/>
    <w:pPr>
      <w:keepNext/>
      <w:keepLines/>
      <w:spacing w:before="160" w:after="80"/>
      <w:outlineLvl w:val="0"/>
    </w:pPr>
    <w:rPr>
      <w:rFonts w:asciiTheme="majorHAnsi" w:hAnsiTheme="majorHAnsi" w:eastAsiaTheme="majorEastAsia" w:cstheme="majorBidi"/>
      <w:b/>
      <w:bCs/>
      <w:color w:val="376092" w:themeColor="accent1" w:themeShade="BF"/>
      <w:sz w:val="26"/>
      <w:szCs w:val="28"/>
    </w:rPr>
  </w:style>
  <w:style w:type="paragraph" w:styleId="4">
    <w:name w:val="heading 2"/>
    <w:basedOn w:val="1"/>
    <w:next w:val="1"/>
    <w:link w:val="139"/>
    <w:unhideWhenUsed/>
    <w:qFormat/>
    <w:uiPriority w:val="9"/>
    <w:pPr>
      <w:keepNext/>
      <w:keepLines/>
      <w:spacing w:before="160" w:after="80"/>
      <w:outlineLvl w:val="1"/>
    </w:pPr>
    <w:rPr>
      <w:rFonts w:asciiTheme="majorHAnsi" w:hAnsiTheme="majorHAnsi" w:eastAsiaTheme="majorEastAsia" w:cstheme="majorBidi"/>
      <w:b/>
      <w:bCs/>
      <w:color w:val="4F81BD" w:themeColor="accent1"/>
      <w:sz w:val="23"/>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160" w:after="80"/>
      <w:outlineLvl w:val="2"/>
    </w:pPr>
    <w:rPr>
      <w:rFonts w:asciiTheme="majorHAnsi" w:hAnsiTheme="majorHAnsi" w:eastAsiaTheme="majorEastAsia" w:cstheme="majorBidi"/>
      <w:b/>
      <w:bCs/>
      <w:color w:val="4F81BD" w:themeColor="accent1"/>
      <w:sz w:val="22"/>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b/>
      <w:color w:val="17375E" w:themeColor="text2" w:themeShade="BF"/>
      <w:spacing w:val="5"/>
      <w:kern w:val="28"/>
      <w:sz w:val="3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 w:type="paragraph" w:customStyle="1" w:styleId="164">
    <w:name w:val="Figure Caption"/>
    <w:qFormat/>
    <w:uiPriority w:val="0"/>
    <w:pPr>
      <w:spacing w:after="200" w:line="276" w:lineRule="auto"/>
    </w:pPr>
    <w:rPr>
      <w:rFonts w:ascii="Times New Roman" w:hAnsi="Times New Roman" w:eastAsiaTheme="minorEastAsia" w:cstheme="minorBidi"/>
      <w:i/>
      <w:sz w:val="17"/>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615</Words>
  <Characters>4140</Characters>
  <Lines>0</Lines>
  <Paragraphs>0</Paragraphs>
  <TotalTime>1</TotalTime>
  <ScaleCrop>false</ScaleCrop>
  <LinksUpToDate>false</LinksUpToDate>
  <CharactersWithSpaces>4675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喵喵</dc:creator>
  <cp:lastModifiedBy>咔咔.</cp:lastModifiedBy>
  <dcterms:modified xsi:type="dcterms:W3CDTF">2026-08-17T10:47:41Z</dcterms:modified>
  <dc:subject>Supplementary methodological and evidentiary materials for completed empirical study</dc:subject>
  <dc:title>Supplementary Material — When Cooling Becomes Refuge</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78C2468B66224D5EBB6A9DEFB52246C0_13</vt:lpwstr>
  </property>
  <property fmtid="{D5CDD505-2E9C-101B-9397-08002B2CF9AE}" pid="4" name="KSOTemplateDocerSaveRecord">
    <vt:lpwstr>eyJoZGlkIjoiYWU3NDRlMzg3ODFiYWFkYjEyN2EyNzdlNWE0ZTFlNjkiLCJ1c2VySWQiOiI1NzQyNjUwMzAifQ==</vt:lpwstr>
  </property>
</Properties>
</file>