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CB9CD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0" w:line="480" w:lineRule="auto"/>
        <w:ind w:left="0" w:firstLine="0"/>
        <w:jc w:val="center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Supplementary </w:t>
      </w:r>
      <w:r>
        <w:rPr>
          <w:rFonts w:hint="eastAsia" w:ascii="Times New Roman" w:hAnsi="Times New Roman" w:eastAsia="Times New Roman" w:cs="Times New Roman"/>
          <w:b/>
          <w:i w:val="0"/>
          <w:sz w:val="24"/>
        </w:rPr>
        <w:t>Material S2</w:t>
      </w:r>
      <w:r>
        <w:rPr>
          <w:rFonts w:ascii="Times New Roman" w:hAnsi="Times New Roman" w:eastAsia="Times New Roman" w:cs="Times New Roman"/>
          <w:b/>
          <w:i w:val="0"/>
          <w:sz w:val="24"/>
        </w:rPr>
        <w:t>. Prompt templates, output schemas, and field definitions</w:t>
      </w:r>
    </w:p>
    <w:p w14:paraId="562178FE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Workflow and evidence policy</w:t>
      </w:r>
    </w:p>
    <w:p w14:paraId="091C7B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The semantic assessment comprised two model calls. Prompt 1 extracted evidence for the red-box target in each biomedical figure independently. Prompt 2 compared the two structured extractions and assigned a semantic-risk level. Both prompts required source-grounded statements, treated unreported information as unknown rather than negative, and prohibited completion of unsupported fields. The optional repair call was used only when rule-based checks identified an internally inconsistent risk output. The templates and schemas below were frozen before validation-dataset evaluation.</w:t>
      </w:r>
    </w:p>
    <w:p w14:paraId="0B144B14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Prompt 1: single-image semantic extraction</w:t>
      </w:r>
      <w:bookmarkStart w:id="0" w:name="_GoBack"/>
      <w:bookmarkEnd w:id="0"/>
    </w:p>
    <w:p w14:paraId="13C9B7B1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System prompt</w:t>
      </w:r>
    </w:p>
    <w:p w14:paraId="50E68F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Extract semantics only for the red-box target in one biomedical figure. Do not compare images or assess risk.</w:t>
      </w:r>
    </w:p>
    <w:p w14:paraId="7471FF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1. Localize before interpreting labels. For grids, combine the major group, target row, and target column; never borrow adjacent labels.</w:t>
      </w:r>
    </w:p>
    <w:p w14:paraId="79A27B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2. Treat high- or medium-confidence OCR roles as anchors. Visually verify low/unknown roles or report uncertainty.</w:t>
      </w:r>
    </w:p>
    <w:p w14:paraId="59EB3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3. Use condition_matrix only for a visible named +/− matrix. Preserve explicit signs; do not infer missing signs from prose.</w:t>
      </w:r>
    </w:p>
    <w:p w14:paraId="0D66E1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4. Keep biological conditions, panel role, marker, method, readout/metric, and scale fields distinct. A biomarker is a molecule, stain, or channel marker.</w:t>
      </w:r>
    </w:p>
    <w:p w14:paraId="4ABA2C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5. experimental_group is the complete displayed condition. Display parameters are not interventions.</w:t>
      </w:r>
    </w:p>
    <w:p w14:paraId="6D335A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6. relation_hint requires source support for shared control, channel/Merge, enlargement, magnification, or annotation relations.</w:t>
      </w:r>
    </w:p>
    <w:p w14:paraId="712E61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7. Unreported or unknown is not negative. Do not guess or mention similarity metrics.</w:t>
      </w:r>
    </w:p>
    <w:p w14:paraId="6DA00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8. Semantic fields use {value, source, evidence, confidence}; confidence is high, medium, low, or insufficient. Unsupported values are “Unable to determine.”</w:t>
      </w:r>
    </w:p>
    <w:p w14:paraId="7693B5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9. Return exactly one valid JSON object matching the supplied schema.</w:t>
      </w:r>
    </w:p>
    <w:p w14:paraId="0AE336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68FC1018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User prompt template</w:t>
      </w:r>
    </w:p>
    <w:p w14:paraId="20813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Image side: {image_side}; assess this image only. The other candidate is excluded.</w:t>
      </w:r>
    </w:p>
    <w:p w14:paraId="4CCB34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Candidate: label={candidate_label}; red-box bbox={bbox}.</w:t>
      </w:r>
    </w:p>
    <w:p w14:paraId="67782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Layout candidates: {layout_choices}.</w:t>
      </w:r>
    </w:p>
    <w:p w14:paraId="35E9C3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OCR anchors: {ocr_roles}.</w:t>
      </w:r>
    </w:p>
    <w:p w14:paraId="4F3AA4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Source context: file/page/figure={source_trace}; captions={captions}; nearby citations={citations}; page excerpt={page_excerpt}.</w:t>
      </w:r>
    </w:p>
    <w:p w14:paraId="73D30E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Return the Prompt 1 JSON schema. Every supported value must cite visible or supplied source evidence.</w:t>
      </w:r>
    </w:p>
    <w:p w14:paraId="1241F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5C70CCC4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Prompt 1 output schema</w:t>
      </w:r>
    </w:p>
    <w:p w14:paraId="7951AAF6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Compact JSON schema</w:t>
      </w:r>
    </w:p>
    <w:p w14:paraId="38B949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{</w:t>
      </w:r>
    </w:p>
    <w:p w14:paraId="7719B4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"image_label": "string",</w:t>
      </w:r>
    </w:p>
    <w:p w14:paraId="380A7E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"layout_analysis": {"layout_type":"string", "layout_evidence":"string", "confidence":"enum"},</w:t>
      </w:r>
    </w:p>
    <w:p w14:paraId="7D055F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"target_localization": {"major_group":"string", "row":"string", "column":"string", "localization_summary":"string", "confidence":"enum"},</w:t>
      </w:r>
    </w:p>
    <w:p w14:paraId="52C082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"column_condition_matrix": {"column_index":"string", "conditions":[{"name":"string", "status":"+|-|Unable to determine", "evidence":"string", "confidence":"enum"}], "matrix_summary":"string", "confidence":"enum"},</w:t>
      </w:r>
    </w:p>
    <w:p w14:paraId="57BDC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"layout_specific": {"plain_column_label":"string", "timepoint_or_sequence":"string", "channel_type":"string", "displayed_channels":"string", "lane_label":"string", "axis_or_cell_position":"string", "notes":"string"},</w:t>
      </w:r>
    </w:p>
    <w:p w14:paraId="1BDE24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"figure": FIELD, "sample_or_subject": FIELD, "experimental_group": FIELD,</w:t>
      </w:r>
    </w:p>
    <w:p w14:paraId="260FAF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"disease_or_state": FIELD, "intervention": FIELD, "timepoint": FIELD,</w:t>
      </w:r>
    </w:p>
    <w:p w14:paraId="67DE78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"biomarker": FIELD, "method": FIELD, "assay_readout": FIELD,</w:t>
      </w:r>
    </w:p>
    <w:p w14:paraId="2D80CB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"quantification_metric": FIELD, "magnification": FIELD, "scale_bar": FIELD,</w:t>
      </w:r>
    </w:p>
    <w:p w14:paraId="698D2D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"image_purpose": FIELD, "relation_hint": FIELD,</w:t>
      </w:r>
    </w:p>
    <w:p w14:paraId="2BE10F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"semantic_summary":"string", "evidence_quotes":["string"],</w:t>
      </w:r>
    </w:p>
    <w:p w14:paraId="326B7D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"missing_fields":["string"], "evidence_quality":"high|medium|low|insufficient"</w:t>
      </w:r>
    </w:p>
    <w:p w14:paraId="4A8020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}</w:t>
      </w:r>
    </w:p>
    <w:p w14:paraId="3483B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FIELD = {"value":"string", "source":"string", "evidence":"string", "confidence":"high|medium|low|insufficient"}</w:t>
      </w:r>
    </w:p>
    <w:p w14:paraId="594E04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1F10DE98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Prompt 1 field definitions</w:t>
      </w:r>
    </w:p>
    <w:tbl>
      <w:tblPr>
        <w:tblStyle w:val="3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1"/>
        <w:gridCol w:w="6205"/>
      </w:tblGrid>
      <w:tr w14:paraId="24BF6D7A">
        <w:trPr>
          <w:tblHeader/>
        </w:trPr>
        <w:tc>
          <w:tcPr>
            <w:tcW w:w="161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B0EFC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</w:rPr>
              <w:t>Field</w:t>
            </w:r>
          </w:p>
        </w:tc>
        <w:tc>
          <w:tcPr>
            <w:tcW w:w="33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7BA2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</w:rPr>
              <w:t>Definition</w:t>
            </w:r>
          </w:p>
        </w:tc>
      </w:tr>
      <w:tr w14:paraId="5F4DBBAA">
        <w:tc>
          <w:tcPr>
            <w:tcW w:w="1615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E117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layout_analysis</w:t>
            </w:r>
          </w:p>
        </w:tc>
        <w:tc>
          <w:tcPr>
            <w:tcW w:w="3384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6C93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Observed panel organization and the evidence supporting that classification.</w:t>
            </w:r>
          </w:p>
        </w:tc>
      </w:tr>
      <w:tr w14:paraId="6E8E24F7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555DD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target_localization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0507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Red-box position expressed as major group, row, column, and a short localization summary.</w:t>
            </w:r>
          </w:p>
        </w:tc>
      </w:tr>
      <w:tr w14:paraId="650C5D56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197D8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column_condition_matrix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5C822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Visible named +/− conditions for the target column only; absent signs remain undetermined.</w:t>
            </w:r>
          </w:p>
        </w:tc>
      </w:tr>
      <w:tr w14:paraId="6B6FD3DD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207A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layout_specific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5EBF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Layout-dependent labels such as sequence, channel, lane, axis position, or display notes.</w:t>
            </w:r>
          </w:p>
        </w:tc>
      </w:tr>
      <w:tr w14:paraId="6FB5ACC2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2A54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sample_or_subject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6089A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Organism, specimen, tissue, cell type, or experimental subject represented.</w:t>
            </w:r>
          </w:p>
        </w:tc>
      </w:tr>
      <w:tr w14:paraId="07A60D56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64A8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experimental_group / disease_or_state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4A33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Complete displayed condition and supported biological or clinical state.</w:t>
            </w:r>
          </w:p>
        </w:tc>
      </w:tr>
      <w:tr w14:paraId="2078E5FF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5AB40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intervention / timepoint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05F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Experimental manipulation and explicit sampling or imaging time; display settings are excluded.</w:t>
            </w:r>
          </w:p>
        </w:tc>
      </w:tr>
      <w:tr w14:paraId="245F6A52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506AA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biomarker / method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6EFEB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Molecule, stain, reporter, or channel marker, and the method used to generate the panel.</w:t>
            </w:r>
          </w:p>
        </w:tc>
      </w:tr>
      <w:tr w14:paraId="7BD56D60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F4B0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assay_readout / quantification_metric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0CC3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Observed signal and any named numerical endpoint, normalization, or summary measure.</w:t>
            </w:r>
          </w:p>
        </w:tc>
      </w:tr>
      <w:tr w14:paraId="2DC5E74E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DA20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magnification / scale_bar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C8E1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Explicit display scale; retained separately from biological conditions.</w:t>
            </w:r>
          </w:p>
        </w:tc>
      </w:tr>
      <w:tr w14:paraId="624418EA"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8062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image_purpose / relation_hint</w:t>
            </w:r>
          </w:p>
        </w:tc>
        <w:tc>
          <w:tcPr>
            <w:tcW w:w="3384" w:type="pct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0C30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Scientific role of the panel and any evidence-supported reuse relationship.</w:t>
            </w:r>
          </w:p>
        </w:tc>
      </w:tr>
      <w:tr w14:paraId="084BA041">
        <w:tc>
          <w:tcPr>
            <w:tcW w:w="1615" w:type="pct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3FE4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semantic_summary</w:t>
            </w:r>
          </w:p>
        </w:tc>
        <w:tc>
          <w:tcPr>
            <w:tcW w:w="3384" w:type="pct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67B21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Concise evidence-grounded description of the target panel.</w:t>
            </w:r>
          </w:p>
        </w:tc>
      </w:tr>
    </w:tbl>
    <w:p w14:paraId="687D9D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64C963C8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Prompt 2: pairwise semantic-risk synthesis</w:t>
      </w:r>
    </w:p>
    <w:p w14:paraId="5E526F7C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System prompt</w:t>
      </w:r>
    </w:p>
    <w:p w14:paraId="2FB63C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Compare the scientific meaning of the two structured extractions, not string similarity. Identify only substantive, evidence-supported conflicts in subject/sample, disease/state, intervention or complete condition, time point, marker/channel, lane/region, or image purpose.</w:t>
      </w:r>
    </w:p>
    <w:p w14:paraId="0D52C5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Require evidence from both sides for a conflict. “Not reported” is not a negative finding, and figure numbers alone do not establish a conflict. Do not infer misconduct.</w:t>
      </w:r>
    </w:p>
    <w:p w14:paraId="3815F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Assign high when the same visual region is used for incompatible scientific meanings; all cross-article pairs are high. Assign low when semantics are compatible or an evidenced legitimate relationship explains reuse (shared control, original/enlarged view, magnification change, channel/Merge pair, or annotated/unannotated version). Assign insufficient when the available evidence cannot support either conclusion.</w:t>
      </w:r>
    </w:p>
    <w:p w14:paraId="1606B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analysis_focus must be 1–3 evidence-specific sentences and must not mention process, prompts, OCR confidence, similarity metrics, or backend operations. Preserve explicit symbols such as +/−. If there is only one conflict, key_conflicts must be empty. review_suggestion must be an empty string. Return exactly one valid JSON object.</w:t>
      </w:r>
    </w:p>
    <w:p w14:paraId="720F9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20324E53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User prompt template</w:t>
      </w:r>
    </w:p>
    <w:p w14:paraId="6C094735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Source relationship: {same_article_or_cross_article}.</w:t>
      </w:r>
    </w:p>
    <w:p w14:paraId="141E9EF0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Visual fact: the candidate regions correspond visually; numerical similarity values are unavailable and must not be discussed.</w:t>
      </w:r>
    </w:p>
    <w:p w14:paraId="38314AC3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Image 1 extraction: {compact_extraction_1}.</w:t>
      </w:r>
    </w:p>
    <w:p w14:paraId="55B2F77A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Image 2 extraction: {compact_extraction_2}.</w:t>
      </w:r>
    </w:p>
    <w:p w14:paraId="7D256BFB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Programmatic semantic validation: usability={evidence_usability}; supported conflicts={conflicts}; reuse relationship={reuse_hint}; suggested level={suggested_level}.</w:t>
      </w:r>
    </w:p>
    <w:p w14:paraId="4F32C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Return the Prompt 2 JSON schema using only supplied evidence.</w:t>
      </w:r>
    </w:p>
    <w:p w14:paraId="38A2F9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1E98174C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Prompt 2 output schema and level definitions</w:t>
      </w:r>
    </w:p>
    <w:p w14:paraId="058ACE59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2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Compact JSON schema</w:t>
      </w:r>
    </w:p>
    <w:p w14:paraId="51C032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{</w:t>
      </w:r>
    </w:p>
    <w:p w14:paraId="1510AB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"level":"low|insufficient|high", "conclusion":"string",</w:t>
      </w:r>
    </w:p>
    <w:p w14:paraId="4F4620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"image1_semantics":"string", "image2_semantics":"string",</w:t>
      </w:r>
    </w:p>
    <w:p w14:paraId="32AB38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"analysis_focus":"string", "consistency_analysis":"string",</w:t>
      </w:r>
    </w:p>
    <w:p w14:paraId="06D11E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"key_conflicts":["string"], "reasonable_explanations":["string"],</w:t>
      </w:r>
    </w:p>
    <w:p w14:paraId="6881F6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"evidence_quotes":["string"], "missing_information":["string"],</w:t>
      </w:r>
    </w:p>
    <w:p w14:paraId="7DE9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 xml:space="preserve">  "review_suggestion":""</w:t>
      </w:r>
    </w:p>
    <w:p w14:paraId="273E3B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}</w:t>
      </w:r>
    </w:p>
    <w:p w14:paraId="0DD0E2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tbl>
      <w:tblPr>
        <w:tblStyle w:val="3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3"/>
        <w:gridCol w:w="4513"/>
      </w:tblGrid>
      <w:tr w14:paraId="1696351C">
        <w:trPr>
          <w:tblHeader/>
        </w:trPr>
        <w:tc>
          <w:tcPr>
            <w:tcW w:w="4513" w:type="dxa"/>
            <w:tcBorders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DB4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</w:rPr>
              <w:t>Level</w:t>
            </w:r>
          </w:p>
        </w:tc>
        <w:tc>
          <w:tcPr>
            <w:tcW w:w="4513" w:type="dxa"/>
            <w:tcBorders>
              <w:bottom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03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</w:rPr>
              <w:t>Operational definition</w:t>
            </w:r>
          </w:p>
        </w:tc>
      </w:tr>
      <w:tr w14:paraId="7FF147A9">
        <w:tc>
          <w:tcPr>
            <w:tcW w:w="4513" w:type="dxa"/>
            <w:tcBorders>
              <w:top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C2EF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High</w:t>
            </w:r>
          </w:p>
        </w:tc>
        <w:tc>
          <w:tcPr>
            <w:tcW w:w="4513" w:type="dxa"/>
            <w:tcBorders>
              <w:top w:val="single" w:color="auto" w:sz="4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B6BC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Evidence supports incompatible scientific meanings for the corresponding visual region, or the pair is cross-article.</w:t>
            </w:r>
          </w:p>
        </w:tc>
      </w:tr>
      <w:tr w14:paraId="43B328F8">
        <w:tc>
          <w:tcPr>
            <w:tcW w:w="4513" w:type="dxa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5D4D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Low</w:t>
            </w:r>
          </w:p>
        </w:tc>
        <w:tc>
          <w:tcPr>
            <w:tcW w:w="4513" w:type="dxa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6D3C4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0"/>
              </w:rPr>
              <w:t>Meanings are compatible, or an evidenced legitimate reuse relationship accounts for the correspondence.</w:t>
            </w:r>
          </w:p>
        </w:tc>
      </w:tr>
    </w:tbl>
    <w:p w14:paraId="1BE1EC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7D1FFB1C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Programmatic consistency checks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3"/>
        <w:gridCol w:w="4513"/>
      </w:tblGrid>
      <w:tr w14:paraId="1003B78E">
        <w:trPr>
          <w:tblHeader/>
        </w:trPr>
        <w:tc>
          <w:tcPr>
            <w:tcW w:w="22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CA76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Check</w:t>
            </w:r>
          </w:p>
        </w:tc>
        <w:tc>
          <w:tcPr>
            <w:tcW w:w="674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3648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Standardization or decision rule</w:t>
            </w:r>
          </w:p>
        </w:tc>
      </w:tr>
      <w:tr w14:paraId="15363EC2">
        <w:tc>
          <w:tcPr>
            <w:tcW w:w="22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1FAE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Missing values</w:t>
            </w:r>
          </w:p>
        </w:tc>
        <w:tc>
          <w:tcPr>
            <w:tcW w:w="67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FEB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Invalid, blank, or unknown entries were standardized to “Unable to determine” with insufficient confidence.</w:t>
            </w:r>
          </w:p>
        </w:tc>
      </w:tr>
      <w:tr w14:paraId="2A80853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53369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Evidence threshold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1CC95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A field entered comparison only when confidence was high/medium and the evidence string was non-empty.</w:t>
            </w:r>
          </w:p>
        </w:tc>
      </w:tr>
      <w:tr w14:paraId="27B8AD9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A36E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Localization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66DE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High/medium OCR anchors were retained; uncertain labels were not promoted to facts.</w:t>
            </w:r>
          </w:p>
        </w:tc>
      </w:tr>
      <w:tr w14:paraId="23369E1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02DE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Condition signs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1B295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Only explicit +/− signs were accepted. Missing signs were never inferred.</w:t>
            </w:r>
          </w:p>
        </w:tc>
      </w:tr>
      <w:tr w14:paraId="3EDD605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409A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Field typing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13D45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Non-molecular ‘biomarkers’ were reassigned to readout/metric where applicable; display parameters were excluded from interventions.</w:t>
            </w:r>
          </w:p>
        </w:tc>
      </w:tr>
      <w:tr w14:paraId="5CC608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367B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Normalization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64D7B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Sample modifiers, readout expressions, marker modifiers, and display parameters were normalized before comparison.</w:t>
            </w:r>
          </w:p>
        </w:tc>
      </w:tr>
      <w:tr w14:paraId="7EDEA1E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9B0A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Conflict detection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7730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Supported differences were tested across subject, state, time, marker, condition, context, panel role, and lane/region.</w:t>
            </w:r>
          </w:p>
        </w:tc>
      </w:tr>
      <w:tr w14:paraId="2572E77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828D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Legitimate reuse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2251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Shared control, original/enlarged, magnification, channel/Merge, and annotated/unannotated relations could explain correspondence.</w:t>
            </w:r>
          </w:p>
        </w:tc>
      </w:tr>
      <w:tr w14:paraId="1C80A28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5FEC0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Initial level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6ECAE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Conflict without legitimate reuse → high; legitimate reuse without conflict → low; otherwise model adjudication.</w:t>
            </w:r>
          </w:p>
        </w:tc>
      </w:tr>
      <w:tr w14:paraId="08B7143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BF10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Hard constraints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69B06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Cross-article pairs were forced to high. Supported enlargement without conflict was forced to low.</w:t>
            </w:r>
          </w:p>
        </w:tc>
      </w:tr>
      <w:tr w14:paraId="0DCC7808">
        <w:tc>
          <w:tcPr>
            <w:tcW w:w="22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9D52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Output guard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1D11C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Schema, level, evidence, and prohibited similarity-language checks were applied. Persistent disagreement was set to insufficient.</w:t>
            </w:r>
          </w:p>
        </w:tc>
      </w:tr>
    </w:tbl>
    <w:p w14:paraId="38E73D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p w14:paraId="3C65C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 w:val="0"/>
          <w:i w:val="0"/>
          <w:sz w:val="20"/>
        </w:rPr>
        <w:t>If an output failed these checks, a conditional repair prompt supplied the original JSON and the detected rule violations, instructed the model to change only unsupported or inconsistent content, and required the same Prompt 2 schema. A second rule check followed repair; unresolved inconsistency defaulted to insufficient.</w:t>
      </w:r>
    </w:p>
    <w:p w14:paraId="1CF8B3D2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60" w:line="480" w:lineRule="auto"/>
        <w:ind w:left="0" w:firstLine="0"/>
        <w:textAlignment w:val="auto"/>
      </w:pPr>
      <w:r>
        <w:rPr>
          <w:rFonts w:ascii="Times New Roman" w:hAnsi="Times New Roman" w:eastAsia="Times New Roman" w:cs="Times New Roman"/>
          <w:b/>
          <w:i w:val="0"/>
          <w:sz w:val="20"/>
        </w:rPr>
        <w:t>Fixed inference settings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3"/>
        <w:gridCol w:w="4513"/>
      </w:tblGrid>
      <w:tr w14:paraId="5B8BBB4A">
        <w:trPr>
          <w:tblHeader/>
        </w:trPr>
        <w:tc>
          <w:tcPr>
            <w:tcW w:w="28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A3C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Setting</w:t>
            </w:r>
          </w:p>
        </w:tc>
        <w:tc>
          <w:tcPr>
            <w:tcW w:w="61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03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Value</w:t>
            </w:r>
          </w:p>
        </w:tc>
      </w:tr>
      <w:tr w14:paraId="71EABDBC">
        <w:tc>
          <w:tcPr>
            <w:tcW w:w="28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A02B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Pipeline version</w:t>
            </w:r>
          </w:p>
        </w:tc>
        <w:tc>
          <w:tcPr>
            <w:tcW w:w="61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4ECC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adaptive-layout-editorial-v23-compact-prompts</w:t>
            </w:r>
          </w:p>
        </w:tc>
      </w:tr>
      <w:tr w14:paraId="51631F3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C1BF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Sampling temperature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1BFEE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0.1</w:t>
            </w:r>
          </w:p>
        </w:tc>
      </w:tr>
      <w:tr w14:paraId="1176D14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DB22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Top-p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3A45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0.85</w:t>
            </w:r>
          </w:p>
        </w:tc>
      </w:tr>
      <w:tr w14:paraId="0FA7AD0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4E7CC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Streaming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1BCD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Disabled</w:t>
            </w:r>
          </w:p>
        </w:tc>
      </w:tr>
      <w:tr w14:paraId="3E43102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3BE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Maximum output tokens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27AE2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Prompt 1: 2,200 per image; Prompt 2: 1,700; conditional repair: 1,300</w:t>
            </w:r>
          </w:p>
        </w:tc>
      </w:tr>
      <w:tr w14:paraId="6B61E8E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3A90D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Model selection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15969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Endpoint and model identifier were runtime-configured; no model identifier was hard-coded in the evaluation script.</w:t>
            </w:r>
          </w:p>
        </w:tc>
      </w:tr>
      <w:tr w14:paraId="735CF5D4">
        <w:tc>
          <w:tcPr>
            <w:tcW w:w="28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7759F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Output format</w:t>
            </w:r>
          </w:p>
        </w:tc>
        <w:tc>
          <w:tcPr>
            <w:tcW w:w="61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top"/>
          </w:tcPr>
          <w:p w14:paraId="06261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firstLine="0"/>
              <w:textAlignment w:val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0"/>
              </w:rPr>
              <w:t>One valid JSON object per call, followed by programmatic field and consistency validation.</w:t>
            </w:r>
          </w:p>
        </w:tc>
      </w:tr>
    </w:tbl>
    <w:p w14:paraId="4A4A99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480" w:lineRule="auto"/>
        <w:ind w:left="0" w:firstLine="0"/>
        <w:textAlignment w:val="auto"/>
      </w:pPr>
    </w:p>
    <w:sectPr>
      <w:footerReference r:id="rId5" w:type="default"/>
      <w:pgSz w:w="11906" w:h="16838"/>
      <w:pgMar w:top="1440" w:right="1440" w:bottom="1440" w:left="1440" w:header="709" w:footer="70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78E09">
    <w:pPr>
      <w:pStyle w:val="24"/>
      <w:keepNext w:val="0"/>
      <w:spacing w:before="0" w:after="0" w:line="240" w:lineRule="auto"/>
      <w:ind w:left="0" w:firstLine="0"/>
      <w:jc w:val="center"/>
    </w:pPr>
    <w:r>
      <w:rPr>
        <w:rFonts w:ascii="Times New Roman" w:hAnsi="Times New Roman" w:eastAsia="Times New Roman" w:cs="Times New Roman"/>
        <w:b w:val="0"/>
        <w:i w:val="0"/>
        <w:sz w:val="20"/>
      </w:rPr>
      <w:fldChar w:fldCharType="begin"/>
    </w:r>
    <w:r>
      <w:rPr>
        <w:rFonts w:ascii="Times New Roman" w:hAnsi="Times New Roman" w:eastAsia="Times New Roman" w:cs="Times New Roman"/>
        <w:b w:val="0"/>
        <w:i w:val="0"/>
        <w:sz w:val="20"/>
      </w:rPr>
      <w:instrText xml:space="preserve"> PAGE </w:instrText>
    </w:r>
    <w:r>
      <w:rPr>
        <w:rFonts w:ascii="Times New Roman" w:hAnsi="Times New Roman" w:eastAsia="Times New Roman" w:cs="Times New Roman"/>
        <w:b w:val="0"/>
        <w:i w:val="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5FCE15F"/>
    <w:rsid w:val="773F3283"/>
    <w:rsid w:val="7EFFB3D5"/>
    <w:rsid w:val="E7EB9029"/>
    <w:rsid w:val="FDDFF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40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关昌昊</dc:creator>
  <dc:description>generated by python-docx</dc:description>
  <cp:lastModifiedBy>关昌昊</cp:lastModifiedBy>
  <dcterms:modified xsi:type="dcterms:W3CDTF">2026-08-17T15:42:57Z</dcterms:modified>
  <dc:subject>Prompt templates, output schemas, and field definitions</dc:subject>
  <dc:title>Supplementary Methods S1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1CDD35853850A066A2B9826A1CE9C023_43</vt:lpwstr>
  </property>
</Properties>
</file>