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78EBC3">
      <w:pPr>
        <w:spacing w:line="240" w:lineRule="auto"/>
        <w:ind w:firstLine="0"/>
        <w:rPr>
          <w:rFonts w:hint="eastAsia"/>
          <w:b w:val="0"/>
          <w:bCs w:val="0"/>
          <w:highlight w:val="none"/>
        </w:rPr>
      </w:pPr>
    </w:p>
    <w:p w14:paraId="6ACA62C4">
      <w:pPr>
        <w:spacing w:line="480" w:lineRule="auto"/>
        <w:jc w:val="center"/>
        <w:rPr>
          <w:rFonts w:hint="default" w:ascii="Times New Roman Regular" w:hAnsi="Times New Roman Regular" w:cs="Times New Roman Regular"/>
          <w:b w:val="0"/>
          <w:bCs w:val="0"/>
          <w:sz w:val="28"/>
          <w:szCs w:val="28"/>
          <w:highlight w:val="none"/>
        </w:rPr>
      </w:pPr>
      <w:r>
        <w:rPr>
          <w:rFonts w:hint="default" w:ascii="Times New Roman Regular" w:hAnsi="Times New Roman Regular" w:cs="Times New Roman Regular"/>
          <w:b w:val="0"/>
          <w:bCs w:val="0"/>
          <w:sz w:val="30"/>
          <w:highlight w:val="none"/>
        </w:rPr>
        <w:t>Supplementary Materials</w:t>
      </w:r>
    </w:p>
    <w:p w14:paraId="272B8E1E">
      <w:pPr>
        <w:spacing w:before="280" w:after="180" w:line="480" w:lineRule="auto"/>
        <w:jc w:val="left"/>
        <w:rPr>
          <w:rFonts w:hint="default" w:ascii="Times New Roman Bold" w:hAnsi="Times New Roman Bold" w:cs="Times New Roman Bold"/>
          <w:b/>
          <w:bCs/>
          <w:highlight w:val="none"/>
        </w:rPr>
      </w:pPr>
      <w:r>
        <w:rPr>
          <w:rFonts w:hint="default" w:ascii="Times New Roman Bold" w:hAnsi="Times New Roman Bold" w:cs="Times New Roman Bold"/>
          <w:b/>
          <w:bCs/>
          <w:highlight w:val="none"/>
        </w:rPr>
        <w:t>S1. Sensitivity Analysis Excluding PHQ-9 Item 3</w:t>
      </w:r>
    </w:p>
    <w:p w14:paraId="333BCF64">
      <w:pPr>
        <w:spacing w:line="480" w:lineRule="auto"/>
        <w:jc w:val="center"/>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drawing>
          <wp:inline distT="0" distB="0" distL="114300" distR="114300">
            <wp:extent cx="5715000" cy="3175000"/>
            <wp:effectExtent l="0" t="0" r="0" b="0"/>
            <wp:docPr id="22" name="Picture 22" descr="Overall health-indicator network after excluding PHQ-9 Item 3." title="Overall health-indicator network after excluding PHQ-9 It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Overall health-indicator network after excluding PHQ-9 Item 3." title="Overall health-indicator network after excluding PHQ-9 Item 3."/>
                    <pic:cNvPicPr>
                      <a:picLocks noChangeAspect="1"/>
                    </pic:cNvPicPr>
                  </pic:nvPicPr>
                  <pic:blipFill>
                    <a:blip r:embed="rId7"/>
                    <a:stretch>
                      <a:fillRect/>
                    </a:stretch>
                  </pic:blipFill>
                  <pic:spPr>
                    <a:xfrm>
                      <a:off x="0" y="0"/>
                      <a:ext cx="5715000" cy="3175000"/>
                    </a:xfrm>
                    <a:prstGeom prst="rect">
                      <a:avLst/>
                    </a:prstGeom>
                  </pic:spPr>
                </pic:pic>
              </a:graphicData>
            </a:graphic>
          </wp:inline>
        </w:drawing>
      </w:r>
    </w:p>
    <w:p w14:paraId="2AB98890">
      <w:pPr>
        <w:spacing w:before="60" w:after="240" w:line="480" w:lineRule="auto"/>
        <w:jc w:val="left"/>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t>Figure S1. Overall health-indicator network after excluding PHQ-9 Item 3 from the depression score.</w:t>
      </w:r>
    </w:p>
    <w:p w14:paraId="66E0AC30">
      <w:pPr>
        <w:spacing w:before="60" w:after="240" w:line="480" w:lineRule="auto"/>
        <w:jc w:val="left"/>
        <w:rPr>
          <w:rFonts w:hint="default" w:ascii="Times New Roman Italic" w:hAnsi="Times New Roman Italic" w:cs="Times New Roman Italic"/>
          <w:b w:val="0"/>
          <w:bCs w:val="0"/>
          <w:i/>
          <w:iCs/>
          <w:sz w:val="18"/>
          <w:szCs w:val="18"/>
          <w:highlight w:val="none"/>
        </w:rPr>
      </w:pPr>
      <w:r>
        <w:rPr>
          <w:rFonts w:hint="default" w:ascii="Times New Roman Bold Italic" w:hAnsi="Times New Roman Bold Italic" w:cs="Times New Roman Bold Italic"/>
          <w:b/>
          <w:bCs/>
          <w:i/>
          <w:iCs/>
          <w:sz w:val="18"/>
          <w:szCs w:val="18"/>
          <w:highlight w:val="none"/>
        </w:rPr>
        <w:t xml:space="preserve">Note. </w:t>
      </w:r>
      <w:r>
        <w:rPr>
          <w:rFonts w:hint="default" w:ascii="Times New Roman Italic" w:hAnsi="Times New Roman Italic" w:cs="Times New Roman Italic"/>
          <w:b w:val="0"/>
          <w:bCs w:val="0"/>
          <w:i/>
          <w:iCs/>
          <w:sz w:val="18"/>
          <w:szCs w:val="18"/>
          <w:highlight w:val="none"/>
        </w:rPr>
        <w:t>Nodes represent health indicators; edges are EBICglasso regularised partial correlations after covariate residualisation. Blue and red edges indicate positive and negative associations, respectively. Node colours and abbreviations are defined in the legend within each network figure.</w:t>
      </w:r>
    </w:p>
    <w:p w14:paraId="41AF86B2">
      <w:pPr>
        <w:spacing w:before="60" w:after="240" w:line="480" w:lineRule="auto"/>
        <w:jc w:val="center"/>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drawing>
          <wp:inline distT="0" distB="0" distL="114300" distR="114300">
            <wp:extent cx="5715000" cy="3175000"/>
            <wp:effectExtent l="0" t="0" r="0" b="0"/>
            <wp:docPr id="23" name="Picture 23" descr="Urban health-indicator network after excluding PHQ-9 Item 3." title="Urban health-indicator network after excluding PHQ-9 It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Urban health-indicator network after excluding PHQ-9 Item 3." title="Urban health-indicator network after excluding PHQ-9 Item 3."/>
                    <pic:cNvPicPr>
                      <a:picLocks noChangeAspect="1"/>
                    </pic:cNvPicPr>
                  </pic:nvPicPr>
                  <pic:blipFill>
                    <a:blip r:embed="rId8"/>
                    <a:stretch>
                      <a:fillRect/>
                    </a:stretch>
                  </pic:blipFill>
                  <pic:spPr>
                    <a:xfrm>
                      <a:off x="0" y="0"/>
                      <a:ext cx="5715000" cy="3175000"/>
                    </a:xfrm>
                    <a:prstGeom prst="rect">
                      <a:avLst/>
                    </a:prstGeom>
                  </pic:spPr>
                </pic:pic>
              </a:graphicData>
            </a:graphic>
          </wp:inline>
        </w:drawing>
      </w:r>
    </w:p>
    <w:p w14:paraId="515AB11C">
      <w:pPr>
        <w:spacing w:before="60" w:after="240" w:line="480" w:lineRule="auto"/>
        <w:jc w:val="left"/>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t>Figure S2. Urban health-indicator network after excluding PHQ-9 Item 3. The layout matches Figures S1 and S3.</w:t>
      </w:r>
    </w:p>
    <w:p w14:paraId="3C8DA59C">
      <w:pPr>
        <w:spacing w:line="480" w:lineRule="auto"/>
        <w:jc w:val="center"/>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drawing>
          <wp:inline distT="0" distB="0" distL="114300" distR="114300">
            <wp:extent cx="5715000" cy="3175000"/>
            <wp:effectExtent l="0" t="0" r="0" b="0"/>
            <wp:docPr id="24" name="Picture 24" descr="Rural health-indicator network after excluding PHQ-9 Item 3." title="Rural health-indicator network after excluding PHQ-9 It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Rural health-indicator network after excluding PHQ-9 Item 3." title="Rural health-indicator network after excluding PHQ-9 Item 3."/>
                    <pic:cNvPicPr>
                      <a:picLocks noChangeAspect="1"/>
                    </pic:cNvPicPr>
                  </pic:nvPicPr>
                  <pic:blipFill>
                    <a:blip r:embed="rId9"/>
                    <a:stretch>
                      <a:fillRect/>
                    </a:stretch>
                  </pic:blipFill>
                  <pic:spPr>
                    <a:xfrm>
                      <a:off x="0" y="0"/>
                      <a:ext cx="5715000" cy="3175000"/>
                    </a:xfrm>
                    <a:prstGeom prst="rect">
                      <a:avLst/>
                    </a:prstGeom>
                  </pic:spPr>
                </pic:pic>
              </a:graphicData>
            </a:graphic>
          </wp:inline>
        </w:drawing>
      </w:r>
    </w:p>
    <w:p w14:paraId="4B07E1C6">
      <w:pPr>
        <w:spacing w:line="480" w:lineRule="auto"/>
        <w:jc w:val="left"/>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t>Figure S3. Rural health-indicator network after excluding PHQ-9 Item 3. The layout matches Figures S1 and S2.</w:t>
      </w:r>
    </w:p>
    <w:p w14:paraId="357C094A">
      <w:pPr>
        <w:spacing w:line="480" w:lineRule="auto"/>
        <w:rPr>
          <w:rFonts w:hint="default" w:ascii="Times New Roman Regular" w:hAnsi="Times New Roman Regular" w:cs="Times New Roman Regular"/>
          <w:b w:val="0"/>
          <w:bCs w:val="0"/>
          <w:highlight w:val="none"/>
        </w:rPr>
      </w:pPr>
    </w:p>
    <w:p w14:paraId="27EFBAF9">
      <w:pPr>
        <w:spacing w:line="480" w:lineRule="auto"/>
        <w:jc w:val="center"/>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drawing>
          <wp:inline distT="0" distB="0" distL="114300" distR="114300">
            <wp:extent cx="3834765" cy="2740025"/>
            <wp:effectExtent l="0" t="0" r="635" b="3175"/>
            <wp:docPr id="11" name="图片 5" descr="Bar chart of overall node strength after excluding PHQ-9 Item 3." title="Bar chart of overall node strength after excluding PHQ-9 It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descr="Bar chart of overall node strength after excluding PHQ-9 Item 3." title="Bar chart of overall node strength after excluding PHQ-9 Item 3."/>
                    <pic:cNvPicPr>
                      <a:picLocks noChangeAspect="1"/>
                    </pic:cNvPicPr>
                  </pic:nvPicPr>
                  <pic:blipFill>
                    <a:blip r:embed="rId10"/>
                    <a:stretch>
                      <a:fillRect/>
                    </a:stretch>
                  </pic:blipFill>
                  <pic:spPr>
                    <a:xfrm>
                      <a:off x="0" y="0"/>
                      <a:ext cx="3834765" cy="2740025"/>
                    </a:xfrm>
                    <a:prstGeom prst="rect">
                      <a:avLst/>
                    </a:prstGeom>
                    <a:noFill/>
                    <a:ln>
                      <a:noFill/>
                    </a:ln>
                  </pic:spPr>
                </pic:pic>
              </a:graphicData>
            </a:graphic>
          </wp:inline>
        </w:drawing>
      </w:r>
    </w:p>
    <w:p w14:paraId="75845390">
      <w:pPr>
        <w:spacing w:line="480" w:lineRule="auto"/>
        <w:jc w:val="left"/>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sz w:val="22"/>
          <w:szCs w:val="22"/>
          <w:highlight w:val="none"/>
        </w:rPr>
        <w:t xml:space="preserve">Figure </w:t>
      </w:r>
      <w:r>
        <w:rPr>
          <w:rFonts w:hint="default" w:ascii="Times New Roman Regular" w:hAnsi="Times New Roman Regular" w:eastAsia="宋体" w:cs="Times New Roman Regular"/>
          <w:b w:val="0"/>
          <w:bCs w:val="0"/>
          <w:sz w:val="22"/>
          <w:szCs w:val="22"/>
          <w:highlight w:val="none"/>
        </w:rPr>
        <w:t>S4</w:t>
      </w:r>
      <w:r>
        <w:rPr>
          <w:rFonts w:hint="default" w:ascii="Times New Roman Regular" w:hAnsi="Times New Roman Regular" w:cs="Times New Roman Regular"/>
          <w:b w:val="0"/>
          <w:bCs w:val="0"/>
          <w:sz w:val="22"/>
          <w:szCs w:val="22"/>
          <w:highlight w:val="none"/>
        </w:rPr>
        <w:t>.</w:t>
      </w:r>
      <w:r>
        <w:rPr>
          <w:rFonts w:hint="default" w:ascii="Times New Roman Regular" w:hAnsi="Times New Roman Regular" w:cs="Times New Roman Regular"/>
          <w:b w:val="0"/>
          <w:bCs w:val="0"/>
          <w:i/>
          <w:iCs/>
          <w:sz w:val="22"/>
          <w:szCs w:val="22"/>
          <w:highlight w:val="none"/>
        </w:rPr>
        <w:t xml:space="preserve"> Node strength centrality for the sensitivity network (overall sample). Strength represents the sum of absolute edge weights connected to each node.</w:t>
      </w:r>
    </w:p>
    <w:p w14:paraId="260B32F8">
      <w:pPr>
        <w:spacing w:line="480" w:lineRule="auto"/>
        <w:jc w:val="both"/>
        <w:rPr>
          <w:rFonts w:hint="default" w:ascii="Times New Roman Regular" w:hAnsi="Times New Roman Regular" w:cs="Times New Roman Regular"/>
          <w:b w:val="0"/>
          <w:bCs w:val="0"/>
          <w:highlight w:val="none"/>
        </w:rPr>
      </w:pPr>
    </w:p>
    <w:p w14:paraId="0D56C33B">
      <w:pPr>
        <w:spacing w:line="480" w:lineRule="auto"/>
        <w:jc w:val="center"/>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drawing>
          <wp:inline distT="0" distB="0" distL="114300" distR="114300">
            <wp:extent cx="5262245" cy="2192655"/>
            <wp:effectExtent l="0" t="0" r="20955" b="17145"/>
            <wp:docPr id="12" name="图片 6" descr="Side-by-side bar charts of urban and rural node strength after excluding PHQ-9 Item 3." title="Side-by-side bar charts of urban and rural node strength after excluding PHQ-9 It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descr="Side-by-side bar charts of urban and rural node strength after excluding PHQ-9 Item 3." title="Side-by-side bar charts of urban and rural node strength after excluding PHQ-9 Item 3."/>
                    <pic:cNvPicPr>
                      <a:picLocks noChangeAspect="1"/>
                    </pic:cNvPicPr>
                  </pic:nvPicPr>
                  <pic:blipFill>
                    <a:blip r:embed="rId11"/>
                    <a:stretch>
                      <a:fillRect/>
                    </a:stretch>
                  </pic:blipFill>
                  <pic:spPr>
                    <a:xfrm>
                      <a:off x="0" y="0"/>
                      <a:ext cx="5262245" cy="2192655"/>
                    </a:xfrm>
                    <a:prstGeom prst="rect">
                      <a:avLst/>
                    </a:prstGeom>
                    <a:noFill/>
                    <a:ln>
                      <a:noFill/>
                    </a:ln>
                  </pic:spPr>
                </pic:pic>
              </a:graphicData>
            </a:graphic>
          </wp:inline>
        </w:drawing>
      </w:r>
    </w:p>
    <w:p w14:paraId="2B324BD8">
      <w:pPr>
        <w:spacing w:line="480" w:lineRule="auto"/>
        <w:jc w:val="left"/>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sz w:val="22"/>
          <w:szCs w:val="22"/>
          <w:highlight w:val="none"/>
        </w:rPr>
        <w:t xml:space="preserve">Figure </w:t>
      </w:r>
      <w:r>
        <w:rPr>
          <w:rFonts w:hint="default" w:ascii="Times New Roman Regular" w:hAnsi="Times New Roman Regular" w:eastAsia="宋体" w:cs="Times New Roman Regular"/>
          <w:b w:val="0"/>
          <w:bCs w:val="0"/>
          <w:sz w:val="22"/>
          <w:szCs w:val="22"/>
          <w:highlight w:val="none"/>
        </w:rPr>
        <w:t>S5</w:t>
      </w:r>
      <w:r>
        <w:rPr>
          <w:rFonts w:hint="default" w:ascii="Times New Roman Regular" w:hAnsi="Times New Roman Regular" w:cs="Times New Roman Regular"/>
          <w:b w:val="0"/>
          <w:bCs w:val="0"/>
          <w:sz w:val="22"/>
          <w:szCs w:val="22"/>
          <w:highlight w:val="none"/>
        </w:rPr>
        <w:t>.</w:t>
      </w:r>
      <w:r>
        <w:rPr>
          <w:rFonts w:hint="default" w:ascii="Times New Roman Regular" w:hAnsi="Times New Roman Regular" w:cs="Times New Roman Regular"/>
          <w:b w:val="0"/>
          <w:bCs w:val="0"/>
          <w:i/>
          <w:iCs/>
          <w:sz w:val="22"/>
          <w:szCs w:val="22"/>
          <w:highlight w:val="none"/>
        </w:rPr>
        <w:t xml:space="preserve"> Node strength centrality for sensitivity networks in urban and rural subgroups. </w:t>
      </w:r>
    </w:p>
    <w:p w14:paraId="2D238055">
      <w:pPr>
        <w:spacing w:line="480" w:lineRule="auto"/>
        <w:jc w:val="left"/>
        <w:rPr>
          <w:rFonts w:hint="default" w:ascii="Times New Roman Regular" w:hAnsi="Times New Roman Regular" w:cs="Times New Roman Regular"/>
          <w:b w:val="0"/>
          <w:bCs w:val="0"/>
          <w:i/>
          <w:iCs/>
          <w:sz w:val="18"/>
          <w:szCs w:val="18"/>
          <w:highlight w:val="none"/>
        </w:rPr>
      </w:pPr>
      <w:r>
        <w:rPr>
          <w:rFonts w:hint="default" w:ascii="Times New Roman Regular" w:hAnsi="Times New Roman Regular" w:eastAsia="宋体" w:cs="Times New Roman Regular"/>
          <w:b w:val="0"/>
          <w:bCs w:val="0"/>
          <w:i/>
          <w:iCs/>
          <w:sz w:val="18"/>
          <w:szCs w:val="18"/>
          <w:highlight w:val="none"/>
        </w:rPr>
        <w:t>Note</w:t>
      </w:r>
      <w:r>
        <w:rPr>
          <w:rFonts w:hint="eastAsia" w:ascii="Times New Roman Regular" w:hAnsi="Times New Roman Regular" w:eastAsia="宋体" w:cs="Times New Roman Regular"/>
          <w:b w:val="0"/>
          <w:bCs w:val="0"/>
          <w:i/>
          <w:iCs/>
          <w:sz w:val="18"/>
          <w:szCs w:val="18"/>
          <w:highlight w:val="none"/>
          <w:lang w:val="en-US" w:eastAsia="zh-CN"/>
        </w:rPr>
        <w:t>.</w:t>
      </w:r>
      <w:r>
        <w:rPr>
          <w:rFonts w:hint="default" w:ascii="Times New Roman Regular" w:hAnsi="Times New Roman Regular" w:eastAsia="宋体" w:cs="Times New Roman Regular"/>
          <w:b w:val="0"/>
          <w:bCs w:val="0"/>
          <w:i/>
          <w:iCs/>
          <w:sz w:val="18"/>
          <w:szCs w:val="18"/>
          <w:highlight w:val="none"/>
          <w:lang w:val="en-US" w:eastAsia="zh-CN"/>
        </w:rPr>
        <w:t xml:space="preserve"> </w:t>
      </w:r>
      <w:r>
        <w:rPr>
          <w:rFonts w:hint="default" w:ascii="Times New Roman Regular" w:hAnsi="Times New Roman Regular" w:cs="Times New Roman Regular"/>
          <w:b w:val="0"/>
          <w:bCs w:val="0"/>
          <w:i/>
          <w:iCs/>
          <w:sz w:val="18"/>
          <w:szCs w:val="18"/>
          <w:highlight w:val="none"/>
        </w:rPr>
        <w:t>Values represent strength centrality based on networks estimated after excluding PHQ-9 Item 3.</w:t>
      </w:r>
    </w:p>
    <w:p w14:paraId="77C2ADB1">
      <w:pPr>
        <w:spacing w:line="480" w:lineRule="auto"/>
        <w:jc w:val="center"/>
        <w:rPr>
          <w:rFonts w:hint="default" w:ascii="Times New Roman Regular" w:hAnsi="Times New Roman Regular" w:cs="Times New Roman Regular"/>
          <w:b w:val="0"/>
          <w:bCs w:val="0"/>
          <w:highlight w:val="none"/>
        </w:rPr>
      </w:pPr>
    </w:p>
    <w:p w14:paraId="55280C20">
      <w:pPr>
        <w:spacing w:before="280" w:after="180" w:line="480" w:lineRule="auto"/>
        <w:jc w:val="left"/>
        <w:rPr>
          <w:rFonts w:hint="default" w:ascii="Times New Roman Bold" w:hAnsi="Times New Roman Bold" w:cs="Times New Roman Bold"/>
          <w:b/>
          <w:bCs/>
          <w:highlight w:val="none"/>
        </w:rPr>
      </w:pPr>
      <w:r>
        <w:rPr>
          <w:rFonts w:hint="default" w:ascii="Times New Roman Bold" w:hAnsi="Times New Roman Bold" w:cs="Times New Roman Bold"/>
          <w:b/>
          <w:bCs/>
          <w:highlight w:val="none"/>
        </w:rPr>
        <w:t>S2. Robustness Check Using ggmModSelect</w:t>
      </w:r>
    </w:p>
    <w:p w14:paraId="182A8488">
      <w:pPr>
        <w:spacing w:after="120" w:line="480" w:lineRule="auto"/>
        <w:ind w:firstLine="480"/>
        <w:rPr>
          <w:rFonts w:hint="default" w:ascii="Times New Roman Regular" w:hAnsi="Times New Roman Regular" w:cs="Times New Roman Regular"/>
          <w:b w:val="0"/>
          <w:bCs w:val="0"/>
          <w:sz w:val="22"/>
          <w:szCs w:val="22"/>
          <w:highlight w:val="none"/>
        </w:rPr>
      </w:pPr>
      <w:r>
        <w:rPr>
          <w:rFonts w:hint="default" w:ascii="Times New Roman Regular" w:hAnsi="Times New Roman Regular" w:cs="Times New Roman Regular"/>
          <w:b w:val="0"/>
          <w:bCs w:val="0"/>
          <w:sz w:val="22"/>
          <w:szCs w:val="22"/>
          <w:highlight w:val="none"/>
        </w:rPr>
        <w:t>To evaluate whether the substantive findings reported in the main analysis are sensitive to the choice of EBICglasso as the network estimation procedure, the overall network was re-estimated using the ggmModSelect procedure (Isvoranu &amp; Epskamp, 2023). ggmModSelect performs stepwise model search over candidate network structures and does not depend on a single regularisation tuning parameter, making it a valuable robustness comparator when the EBICglasso procedure issues a sparsity warning.</w:t>
      </w:r>
    </w:p>
    <w:p w14:paraId="2A6AEFF6">
      <w:pPr>
        <w:spacing w:after="120" w:line="480" w:lineRule="auto"/>
        <w:ind w:firstLine="480"/>
        <w:rPr>
          <w:rFonts w:hint="default" w:ascii="Times New Roman Regular" w:hAnsi="Times New Roman Regular" w:cs="Times New Roman Regular"/>
          <w:b w:val="0"/>
          <w:bCs w:val="0"/>
          <w:sz w:val="22"/>
          <w:szCs w:val="22"/>
          <w:highlight w:val="none"/>
        </w:rPr>
      </w:pPr>
      <w:r>
        <w:rPr>
          <w:rFonts w:hint="default" w:ascii="Times New Roman Regular" w:hAnsi="Times New Roman Regular" w:cs="Times New Roman Regular"/>
          <w:b w:val="0"/>
          <w:bCs w:val="0"/>
          <w:highlight w:val="none"/>
        </w:rPr>
        <w:t>The two estimators produced highly convergent strength values (Pearson r=.986; Spearman ρ=.967). The leading nodes and strongest edges were preserved (Table S1 and Figure S6), supporting the descriptive robustness of the primary network while not eliminating uncertainty in its smallest edges.</w:t>
      </w:r>
    </w:p>
    <w:p w14:paraId="029D01CB">
      <w:pPr>
        <w:spacing w:after="120" w:line="480" w:lineRule="auto"/>
        <w:rPr>
          <w:rFonts w:hint="default" w:ascii="Times New Roman Regular" w:hAnsi="Times New Roman Regular" w:cs="Times New Roman Regular"/>
          <w:b w:val="0"/>
          <w:bCs w:val="0"/>
          <w:sz w:val="22"/>
          <w:szCs w:val="22"/>
          <w:highlight w:val="none"/>
        </w:rPr>
      </w:pPr>
      <w:r>
        <w:rPr>
          <w:rFonts w:hint="default" w:ascii="Times New Roman Regular" w:hAnsi="Times New Roman Regular" w:cs="Times New Roman Regular"/>
          <w:b w:val="0"/>
          <w:bCs w:val="0"/>
          <w:sz w:val="22"/>
          <w:szCs w:val="22"/>
          <w:highlight w:val="none"/>
        </w:rPr>
        <w:t xml:space="preserve">Table S1. </w:t>
      </w:r>
      <w:r>
        <w:rPr>
          <w:rFonts w:hint="default" w:ascii="Times New Roman Regular" w:hAnsi="Times New Roman Regular" w:cs="Times New Roman Regular"/>
          <w:b w:val="0"/>
          <w:bCs w:val="0"/>
          <w:i/>
          <w:iCs/>
          <w:sz w:val="22"/>
          <w:szCs w:val="22"/>
          <w:highlight w:val="none"/>
        </w:rPr>
        <w:t>Strength centrality comparison between EBICglasso and ggmModSelect estimation methods.</w:t>
      </w:r>
    </w:p>
    <w:tbl>
      <w:tblPr>
        <w:tblStyle w:val="16"/>
        <w:tblW w:w="72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1800"/>
        <w:gridCol w:w="1800"/>
        <w:gridCol w:w="1800"/>
      </w:tblGrid>
      <w:tr w14:paraId="6F2F27BF">
        <w:trPr>
          <w:tblHeader/>
          <w:jc w:val="center"/>
        </w:trPr>
        <w:tc>
          <w:tcPr>
            <w:tcW w:w="1800" w:type="dxa"/>
            <w:tcBorders>
              <w:top w:val="single" w:color="000000" w:sz="12" w:space="0"/>
              <w:left w:val="nil"/>
              <w:bottom w:val="single" w:color="000000" w:sz="4" w:space="0"/>
              <w:right w:val="nil"/>
              <w:tl2br w:val="nil"/>
            </w:tcBorders>
            <w:shd w:val="clear" w:color="auto" w:fill="FFFFFF"/>
            <w:tcMar>
              <w:top w:w="80" w:type="dxa"/>
              <w:left w:w="120" w:type="dxa"/>
              <w:bottom w:w="80" w:type="dxa"/>
              <w:right w:w="120" w:type="dxa"/>
            </w:tcMar>
            <w:vAlign w:val="center"/>
          </w:tcPr>
          <w:p w14:paraId="1F13091E">
            <w:pPr>
              <w:spacing w:after="0" w:line="480" w:lineRule="auto"/>
              <w:jc w:val="center"/>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szCs w:val="20"/>
                <w:highlight w:val="none"/>
              </w:rPr>
              <w:t>Node</w:t>
            </w:r>
          </w:p>
        </w:tc>
        <w:tc>
          <w:tcPr>
            <w:tcW w:w="1800"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1CD8F4AE">
            <w:pPr>
              <w:spacing w:after="0" w:line="480" w:lineRule="auto"/>
              <w:jc w:val="center"/>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szCs w:val="20"/>
                <w:highlight w:val="none"/>
              </w:rPr>
              <w:t>EBICglasso</w:t>
            </w:r>
          </w:p>
        </w:tc>
        <w:tc>
          <w:tcPr>
            <w:tcW w:w="1800"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4208F156">
            <w:pPr>
              <w:spacing w:after="0" w:line="480" w:lineRule="auto"/>
              <w:jc w:val="center"/>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szCs w:val="20"/>
                <w:highlight w:val="none"/>
              </w:rPr>
              <w:t>ggmModSelect</w:t>
            </w:r>
          </w:p>
        </w:tc>
        <w:tc>
          <w:tcPr>
            <w:tcW w:w="1800"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2DEB9309">
            <w:pPr>
              <w:spacing w:after="0" w:line="480" w:lineRule="auto"/>
              <w:jc w:val="center"/>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szCs w:val="20"/>
                <w:highlight w:val="none"/>
              </w:rPr>
              <w:t>Rank Difference</w:t>
            </w:r>
          </w:p>
        </w:tc>
      </w:tr>
      <w:tr w14:paraId="4EDDF1AD">
        <w:trPr>
          <w:jc w:val="center"/>
        </w:trPr>
        <w:tc>
          <w:tcPr>
            <w:tcW w:w="1800" w:type="dxa"/>
            <w:tcBorders>
              <w:top w:val="single" w:color="000000" w:sz="4" w:space="0"/>
              <w:left w:val="nil"/>
              <w:bottom w:val="nil"/>
              <w:right w:val="nil"/>
            </w:tcBorders>
            <w:shd w:val="clear" w:color="auto" w:fill="FFFFFF"/>
            <w:tcMar>
              <w:top w:w="80" w:type="dxa"/>
              <w:left w:w="120" w:type="dxa"/>
              <w:bottom w:w="80" w:type="dxa"/>
              <w:right w:w="120" w:type="dxa"/>
            </w:tcMar>
            <w:vAlign w:val="center"/>
          </w:tcPr>
          <w:p w14:paraId="1F42C0A2">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PHQ-9</w:t>
            </w:r>
          </w:p>
        </w:tc>
        <w:tc>
          <w:tcPr>
            <w:tcW w:w="1800" w:type="dxa"/>
            <w:tcBorders>
              <w:top w:val="single" w:color="000000" w:sz="4" w:space="0"/>
              <w:left w:val="nil"/>
              <w:bottom w:val="nil"/>
              <w:right w:val="nil"/>
            </w:tcBorders>
            <w:shd w:val="clear" w:color="auto" w:fill="FFFFFF"/>
            <w:tcMar>
              <w:top w:w="80" w:type="dxa"/>
              <w:left w:w="120" w:type="dxa"/>
              <w:bottom w:w="80" w:type="dxa"/>
              <w:right w:w="120" w:type="dxa"/>
            </w:tcMar>
            <w:vAlign w:val="center"/>
          </w:tcPr>
          <w:p w14:paraId="3F60FC70">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1.401</w:t>
            </w:r>
          </w:p>
        </w:tc>
        <w:tc>
          <w:tcPr>
            <w:tcW w:w="1800" w:type="dxa"/>
            <w:tcBorders>
              <w:top w:val="single" w:color="000000" w:sz="4" w:space="0"/>
              <w:left w:val="nil"/>
              <w:bottom w:val="nil"/>
              <w:right w:val="nil"/>
            </w:tcBorders>
            <w:shd w:val="clear" w:color="auto" w:fill="FFFFFF"/>
            <w:tcMar>
              <w:top w:w="80" w:type="dxa"/>
              <w:left w:w="120" w:type="dxa"/>
              <w:bottom w:w="80" w:type="dxa"/>
              <w:right w:w="120" w:type="dxa"/>
            </w:tcMar>
            <w:vAlign w:val="center"/>
          </w:tcPr>
          <w:p w14:paraId="2431D5A7">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1.398</w:t>
            </w:r>
          </w:p>
        </w:tc>
        <w:tc>
          <w:tcPr>
            <w:tcW w:w="1800" w:type="dxa"/>
            <w:tcBorders>
              <w:top w:val="single" w:color="000000" w:sz="4" w:space="0"/>
              <w:left w:val="nil"/>
              <w:bottom w:val="nil"/>
              <w:right w:val="nil"/>
            </w:tcBorders>
            <w:shd w:val="clear" w:color="auto" w:fill="FFFFFF"/>
            <w:tcMar>
              <w:top w:w="80" w:type="dxa"/>
              <w:left w:w="120" w:type="dxa"/>
              <w:bottom w:w="80" w:type="dxa"/>
              <w:right w:w="120" w:type="dxa"/>
            </w:tcMar>
            <w:vAlign w:val="center"/>
          </w:tcPr>
          <w:p w14:paraId="14052F8E">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0</w:t>
            </w:r>
          </w:p>
        </w:tc>
      </w:tr>
      <w:tr w14:paraId="75EE2E34">
        <w:trPr>
          <w:jc w:val="center"/>
        </w:trPr>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56F42005">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SF</w:t>
            </w:r>
          </w:p>
        </w:tc>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238E11DD">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0.946</w:t>
            </w:r>
          </w:p>
        </w:tc>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13239201">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0.926</w:t>
            </w:r>
          </w:p>
        </w:tc>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532E4A15">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0</w:t>
            </w:r>
          </w:p>
        </w:tc>
      </w:tr>
      <w:tr w14:paraId="1341BD36">
        <w:trPr>
          <w:jc w:val="center"/>
        </w:trPr>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6D9297DE">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GAD-7</w:t>
            </w:r>
          </w:p>
        </w:tc>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3D1637C2">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0.845</w:t>
            </w:r>
          </w:p>
        </w:tc>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0B61F373">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0.845</w:t>
            </w:r>
          </w:p>
        </w:tc>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54531DC4">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0</w:t>
            </w:r>
          </w:p>
        </w:tc>
      </w:tr>
      <w:tr w14:paraId="509C5457">
        <w:trPr>
          <w:jc w:val="center"/>
        </w:trPr>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53368187">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SCD</w:t>
            </w:r>
          </w:p>
        </w:tc>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0ABAE199">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0.839</w:t>
            </w:r>
          </w:p>
        </w:tc>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384AF956">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0.823</w:t>
            </w:r>
          </w:p>
        </w:tc>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6B33FDAE">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0</w:t>
            </w:r>
          </w:p>
        </w:tc>
      </w:tr>
      <w:tr w14:paraId="306EACBA">
        <w:trPr>
          <w:jc w:val="center"/>
        </w:trPr>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3C00EC0E">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GH</w:t>
            </w:r>
          </w:p>
        </w:tc>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03DAAADF">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0.822</w:t>
            </w:r>
          </w:p>
        </w:tc>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3C491101">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0.804</w:t>
            </w:r>
          </w:p>
        </w:tc>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4E1EE8A5">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0</w:t>
            </w:r>
          </w:p>
        </w:tc>
      </w:tr>
      <w:tr w14:paraId="2F045D80">
        <w:trPr>
          <w:jc w:val="center"/>
        </w:trPr>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14ED7F10">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PF</w:t>
            </w:r>
          </w:p>
        </w:tc>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53B578F5">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0.778</w:t>
            </w:r>
          </w:p>
        </w:tc>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03ADD644">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0.766</w:t>
            </w:r>
          </w:p>
        </w:tc>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02B6D8B9">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0</w:t>
            </w:r>
          </w:p>
        </w:tc>
      </w:tr>
      <w:tr w14:paraId="3B9269E2">
        <w:trPr>
          <w:jc w:val="center"/>
        </w:trPr>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46065C89">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AD8</w:t>
            </w:r>
          </w:p>
        </w:tc>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231BB384">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0.636</w:t>
            </w:r>
          </w:p>
        </w:tc>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1A033940">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0.612</w:t>
            </w:r>
          </w:p>
        </w:tc>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6DDE6981">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0</w:t>
            </w:r>
          </w:p>
        </w:tc>
      </w:tr>
      <w:tr w14:paraId="746F6F9E">
        <w:trPr>
          <w:jc w:val="center"/>
        </w:trPr>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531A424D">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ESS</w:t>
            </w:r>
          </w:p>
        </w:tc>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20EE8F5F">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0.583</w:t>
            </w:r>
          </w:p>
        </w:tc>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108CCACB">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0.567</w:t>
            </w:r>
          </w:p>
        </w:tc>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284E4489">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0</w:t>
            </w:r>
          </w:p>
        </w:tc>
      </w:tr>
      <w:tr w14:paraId="3325A58B">
        <w:trPr>
          <w:jc w:val="center"/>
        </w:trPr>
        <w:tc>
          <w:tcPr>
            <w:tcW w:w="1800" w:type="dxa"/>
            <w:tcBorders>
              <w:top w:val="nil"/>
              <w:left w:val="nil"/>
              <w:bottom w:val="single" w:color="000000" w:sz="12" w:space="0"/>
              <w:right w:val="nil"/>
            </w:tcBorders>
            <w:shd w:val="clear" w:color="auto" w:fill="FFFFFF"/>
            <w:tcMar>
              <w:top w:w="80" w:type="dxa"/>
              <w:left w:w="120" w:type="dxa"/>
              <w:bottom w:w="80" w:type="dxa"/>
              <w:right w:w="120" w:type="dxa"/>
            </w:tcMar>
            <w:vAlign w:val="center"/>
          </w:tcPr>
          <w:p w14:paraId="3AB569A1">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ISI</w:t>
            </w:r>
          </w:p>
        </w:tc>
        <w:tc>
          <w:tcPr>
            <w:tcW w:w="1800" w:type="dxa"/>
            <w:tcBorders>
              <w:top w:val="nil"/>
              <w:left w:val="nil"/>
              <w:bottom w:val="single" w:color="000000" w:sz="12" w:space="0"/>
              <w:right w:val="nil"/>
            </w:tcBorders>
            <w:shd w:val="clear" w:color="auto" w:fill="FFFFFF"/>
            <w:tcMar>
              <w:top w:w="80" w:type="dxa"/>
              <w:left w:w="120" w:type="dxa"/>
              <w:bottom w:w="80" w:type="dxa"/>
              <w:right w:w="120" w:type="dxa"/>
            </w:tcMar>
            <w:vAlign w:val="center"/>
          </w:tcPr>
          <w:p w14:paraId="6F51E196">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0.553</w:t>
            </w:r>
          </w:p>
        </w:tc>
        <w:tc>
          <w:tcPr>
            <w:tcW w:w="1800" w:type="dxa"/>
            <w:tcBorders>
              <w:top w:val="nil"/>
              <w:left w:val="nil"/>
              <w:bottom w:val="single" w:color="000000" w:sz="12" w:space="0"/>
              <w:right w:val="nil"/>
            </w:tcBorders>
            <w:shd w:val="clear" w:color="auto" w:fill="FFFFFF"/>
            <w:tcMar>
              <w:top w:w="80" w:type="dxa"/>
              <w:left w:w="120" w:type="dxa"/>
              <w:bottom w:w="80" w:type="dxa"/>
              <w:right w:w="120" w:type="dxa"/>
            </w:tcMar>
            <w:vAlign w:val="center"/>
          </w:tcPr>
          <w:p w14:paraId="7F9AED46">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0.535</w:t>
            </w:r>
          </w:p>
        </w:tc>
        <w:tc>
          <w:tcPr>
            <w:tcW w:w="1800" w:type="dxa"/>
            <w:tcBorders>
              <w:top w:val="nil"/>
              <w:left w:val="nil"/>
              <w:bottom w:val="single" w:color="000000" w:sz="12" w:space="0"/>
              <w:right w:val="nil"/>
            </w:tcBorders>
            <w:shd w:val="clear" w:color="auto" w:fill="FFFFFF"/>
            <w:tcMar>
              <w:top w:w="80" w:type="dxa"/>
              <w:left w:w="120" w:type="dxa"/>
              <w:bottom w:w="80" w:type="dxa"/>
              <w:right w:w="120" w:type="dxa"/>
            </w:tcMar>
            <w:vAlign w:val="center"/>
          </w:tcPr>
          <w:p w14:paraId="0DE2D9B6">
            <w:pPr>
              <w:spacing w:after="0" w:line="480" w:lineRule="auto"/>
              <w:jc w:val="center"/>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szCs w:val="20"/>
                <w:highlight w:val="none"/>
              </w:rPr>
              <w:t>0</w:t>
            </w:r>
          </w:p>
        </w:tc>
      </w:tr>
    </w:tbl>
    <w:p w14:paraId="4B160FC8">
      <w:pPr>
        <w:spacing w:after="120" w:line="480" w:lineRule="auto"/>
        <w:rPr>
          <w:rFonts w:hint="default" w:ascii="Times New Roman Regular" w:hAnsi="Times New Roman Regular" w:cs="Times New Roman Regular"/>
          <w:b w:val="0"/>
          <w:bCs w:val="0"/>
          <w:i/>
          <w:iCs/>
          <w:highlight w:val="none"/>
        </w:rPr>
      </w:pPr>
      <w:r>
        <w:rPr>
          <w:rFonts w:hint="default" w:ascii="Times New Roman Bold Italic" w:hAnsi="Times New Roman Bold Italic" w:cs="Times New Roman Bold Italic"/>
          <w:b/>
          <w:bCs/>
          <w:i/>
          <w:iCs/>
          <w:sz w:val="18"/>
          <w:szCs w:val="18"/>
          <w:highlight w:val="none"/>
        </w:rPr>
        <w:t xml:space="preserve">Note. </w:t>
      </w:r>
      <w:r>
        <w:rPr>
          <w:rFonts w:hint="default" w:ascii="Times New Roman Regular" w:hAnsi="Times New Roman Regular" w:cs="Times New Roman Regular"/>
          <w:b w:val="0"/>
          <w:bCs w:val="0"/>
          <w:i/>
          <w:iCs/>
          <w:sz w:val="18"/>
          <w:szCs w:val="18"/>
          <w:highlight w:val="none"/>
        </w:rPr>
        <w:t>Pearson r between EBICglasso and ggmModSelect strength values = .986; Spearman ρ between rank orderings = .967. Rank ordering was identical across the two methods, with all nine nodes occupying the same position. Values are rounded to three decimal places.</w:t>
      </w:r>
    </w:p>
    <w:p w14:paraId="6EE10EB7">
      <w:pPr>
        <w:spacing w:before="280" w:after="120" w:line="480" w:lineRule="auto"/>
        <w:jc w:val="center"/>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drawing>
          <wp:inline distT="0" distB="0" distL="114300" distR="114300">
            <wp:extent cx="5715000" cy="3175000"/>
            <wp:effectExtent l="0" t="0" r="0" b="0"/>
            <wp:docPr id="25" name="Picture 25" descr="Overall health-indicator network estimated using ggmModSelect." title="Overall health-indicator network estimated using ggmModSel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Overall health-indicator network estimated using ggmModSelect." title="Overall health-indicator network estimated using ggmModSelect."/>
                    <pic:cNvPicPr>
                      <a:picLocks noChangeAspect="1"/>
                    </pic:cNvPicPr>
                  </pic:nvPicPr>
                  <pic:blipFill>
                    <a:blip r:embed="rId12"/>
                    <a:stretch>
                      <a:fillRect/>
                    </a:stretch>
                  </pic:blipFill>
                  <pic:spPr>
                    <a:xfrm>
                      <a:off x="0" y="0"/>
                      <a:ext cx="5715000" cy="3175000"/>
                    </a:xfrm>
                    <a:prstGeom prst="rect">
                      <a:avLst/>
                    </a:prstGeom>
                  </pic:spPr>
                </pic:pic>
              </a:graphicData>
            </a:graphic>
          </wp:inline>
        </w:drawing>
      </w:r>
    </w:p>
    <w:p w14:paraId="27FE64DA">
      <w:pPr>
        <w:spacing w:after="120" w:line="480" w:lineRule="auto"/>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t>Figure S6. Overall health-indicator network estimated using ggmModSelect (alternative to EBICglasso).</w:t>
      </w:r>
    </w:p>
    <w:p w14:paraId="035D43CE">
      <w:pPr>
        <w:spacing w:after="120" w:line="480" w:lineRule="auto"/>
        <w:rPr>
          <w:rFonts w:hint="default" w:ascii="Times New Roman Italic" w:hAnsi="Times New Roman Italic" w:cs="Times New Roman Italic"/>
          <w:b w:val="0"/>
          <w:bCs w:val="0"/>
          <w:i/>
          <w:iCs/>
          <w:sz w:val="18"/>
          <w:szCs w:val="18"/>
          <w:highlight w:val="none"/>
        </w:rPr>
      </w:pPr>
      <w:r>
        <w:rPr>
          <w:rFonts w:hint="default" w:ascii="Times New Roman Bold Italic" w:hAnsi="Times New Roman Bold Italic" w:cs="Times New Roman Bold Italic"/>
          <w:b/>
          <w:bCs/>
          <w:i/>
          <w:iCs/>
          <w:sz w:val="18"/>
          <w:szCs w:val="18"/>
          <w:highlight w:val="none"/>
        </w:rPr>
        <w:t xml:space="preserve">Note. </w:t>
      </w:r>
      <w:r>
        <w:rPr>
          <w:rFonts w:hint="default" w:ascii="Times New Roman Italic" w:hAnsi="Times New Roman Italic" w:cs="Times New Roman Italic"/>
          <w:b w:val="0"/>
          <w:bCs w:val="0"/>
          <w:i/>
          <w:iCs/>
          <w:sz w:val="18"/>
          <w:szCs w:val="18"/>
          <w:highlight w:val="none"/>
        </w:rPr>
        <w:t>Cognitive-change screening (AD8) is a change-based screening measure rather than an objective performance test. Other node and edge conventions match the main manuscript.</w:t>
      </w:r>
    </w:p>
    <w:p w14:paraId="6D71A8AD">
      <w:pPr>
        <w:pStyle w:val="2"/>
        <w:spacing w:line="480" w:lineRule="auto"/>
        <w:rPr>
          <w:rFonts w:hint="default" w:ascii="Times New Roman Bold" w:hAnsi="Times New Roman Bold" w:cs="Times New Roman Bold"/>
          <w:b/>
          <w:bCs/>
          <w:highlight w:val="none"/>
        </w:rPr>
      </w:pPr>
      <w:r>
        <w:rPr>
          <w:rFonts w:hint="default" w:ascii="Times New Roman Regular" w:hAnsi="Times New Roman Regular" w:cs="Times New Roman Regular"/>
          <w:b w:val="0"/>
          <w:bCs w:val="0"/>
          <w:highlight w:val="none"/>
        </w:rPr>
        <w:br w:type="page"/>
      </w:r>
      <w:r>
        <w:rPr>
          <w:rFonts w:hint="default" w:ascii="Times New Roman Bold" w:hAnsi="Times New Roman Bold" w:cs="Times New Roman Bold"/>
          <w:b/>
          <w:bCs/>
          <w:highlight w:val="none"/>
        </w:rPr>
        <w:t>S3. Sensitivity Analysis Excluding Social Functioning (SF)</w:t>
      </w:r>
    </w:p>
    <w:p w14:paraId="3C938A15">
      <w:pPr>
        <w:spacing w:line="480" w:lineRule="auto"/>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t>Rationale and methods. The two-item SF subscale had low internal consistency (Cronbach's α=.38). We therefore removed SF and re-estimated the overall, urban, and rural eight-node networks. The analytic sample was held constant at N=32,523 (urban n=20,331; rural n=12,192). Each remaining node was residualised on sex, age, education, personal-income category, and pre-retirement occupational-rank category. EBICglasso (γ=.50), NCT (1,000 permutations), BH and Bonferroni correction, and 1,000-sample bootstrap analyses matched the primary analysis. Edge-weight concordance quantified agreement with the corresponding eight-node submatrices of the primary networks.</w:t>
      </w:r>
    </w:p>
    <w:p w14:paraId="6631DA62">
      <w:pPr>
        <w:spacing w:line="480" w:lineRule="auto"/>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t>Summary. PHQ-9 remained the highest-strength node overall and in both residence groups. The urban–rural network-structure difference persisted (p=.001), but the global-strength difference was not significant (p=.232). Five edge differences survived BH correction. AD8 and ESS retained BH-significant strength differences; the GAD-7 difference did not (pBH=.101). Edge-weight concordance with the primary networks was high (Pearson r=.992–.995), and the strength CS coefficient was .75.</w:t>
      </w:r>
    </w:p>
    <w:p w14:paraId="05E9AFF6">
      <w:pPr>
        <w:keepNext/>
        <w:spacing w:line="480" w:lineRule="auto"/>
        <w:jc w:val="center"/>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drawing>
          <wp:inline distT="0" distB="0" distL="114300" distR="114300">
            <wp:extent cx="5943600" cy="3302000"/>
            <wp:effectExtent l="0" t="0" r="0" b="0"/>
            <wp:docPr id="26" name="Picture 26" descr="Overall eight-node health-indicator network after excluding social functioning, with a colour-coded node legend." title="Overall eight-node health-indicator network after excluding social functioning, with a colour-coded node le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Overall eight-node health-indicator network after excluding social functioning, with a colour-coded node legend." title="Overall eight-node health-indicator network after excluding social functioning, with a colour-coded node legend."/>
                    <pic:cNvPicPr>
                      <a:picLocks noChangeAspect="1"/>
                    </pic:cNvPicPr>
                  </pic:nvPicPr>
                  <pic:blipFill>
                    <a:blip r:embed="rId13"/>
                    <a:stretch>
                      <a:fillRect/>
                    </a:stretch>
                  </pic:blipFill>
                  <pic:spPr>
                    <a:xfrm>
                      <a:off x="0" y="0"/>
                      <a:ext cx="5943600" cy="3302000"/>
                    </a:xfrm>
                    <a:prstGeom prst="rect">
                      <a:avLst/>
                    </a:prstGeom>
                  </pic:spPr>
                </pic:pic>
              </a:graphicData>
            </a:graphic>
          </wp:inline>
        </w:drawing>
      </w:r>
    </w:p>
    <w:p w14:paraId="5A5530C3">
      <w:pPr>
        <w:keepNext/>
        <w:spacing w:line="480" w:lineRule="auto"/>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t>Figure S7A. Covariate-adjusted overall network after exclusion of SF.</w:t>
      </w:r>
    </w:p>
    <w:p w14:paraId="7DFF70D5">
      <w:pPr>
        <w:spacing w:line="480" w:lineRule="auto"/>
        <w:rPr>
          <w:rFonts w:hint="default" w:ascii="Times New Roman Italic" w:hAnsi="Times New Roman Italic" w:cs="Times New Roman Italic"/>
          <w:b w:val="0"/>
          <w:bCs w:val="0"/>
          <w:i/>
          <w:iCs/>
          <w:sz w:val="18"/>
          <w:szCs w:val="18"/>
          <w:highlight w:val="none"/>
        </w:rPr>
      </w:pPr>
      <w:r>
        <w:rPr>
          <w:rFonts w:hint="default" w:ascii="Times New Roman Bold Italic" w:hAnsi="Times New Roman Bold Italic" w:cs="Times New Roman Bold Italic"/>
          <w:b/>
          <w:bCs/>
          <w:i/>
          <w:iCs/>
          <w:sz w:val="18"/>
          <w:szCs w:val="18"/>
          <w:highlight w:val="none"/>
        </w:rPr>
        <w:t xml:space="preserve">Note. </w:t>
      </w:r>
      <w:r>
        <w:rPr>
          <w:rFonts w:hint="default" w:ascii="Times New Roman Italic" w:hAnsi="Times New Roman Italic" w:cs="Times New Roman Italic"/>
          <w:b w:val="0"/>
          <w:bCs w:val="0"/>
          <w:i/>
          <w:iCs/>
          <w:sz w:val="18"/>
          <w:szCs w:val="18"/>
          <w:highlight w:val="none"/>
        </w:rPr>
        <w:t>The analytic sample was unchanged. Blue and red edges indicate positive and negative regularised partial correlations, respectively. Node colours and abbreviations are defined in the figure legend.</w:t>
      </w:r>
    </w:p>
    <w:p w14:paraId="1771B4C0">
      <w:pPr>
        <w:keepNext/>
        <w:spacing w:line="480" w:lineRule="auto"/>
        <w:jc w:val="center"/>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drawing>
          <wp:inline distT="0" distB="0" distL="114300" distR="114300">
            <wp:extent cx="5943600" cy="3302000"/>
            <wp:effectExtent l="0" t="0" r="0" b="0"/>
            <wp:docPr id="27" name="Picture 27" descr="Urban eight-node health-indicator network after excluding social functioning, with a colour-coded node legend." title="Urban eight-node health-indicator network after excluding social functioning, with a colour-coded node le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Urban eight-node health-indicator network after excluding social functioning, with a colour-coded node legend." title="Urban eight-node health-indicator network after excluding social functioning, with a colour-coded node legend."/>
                    <pic:cNvPicPr>
                      <a:picLocks noChangeAspect="1"/>
                    </pic:cNvPicPr>
                  </pic:nvPicPr>
                  <pic:blipFill>
                    <a:blip r:embed="rId14"/>
                    <a:stretch>
                      <a:fillRect/>
                    </a:stretch>
                  </pic:blipFill>
                  <pic:spPr>
                    <a:xfrm>
                      <a:off x="0" y="0"/>
                      <a:ext cx="5943600" cy="3302000"/>
                    </a:xfrm>
                    <a:prstGeom prst="rect">
                      <a:avLst/>
                    </a:prstGeom>
                  </pic:spPr>
                </pic:pic>
              </a:graphicData>
            </a:graphic>
          </wp:inline>
        </w:drawing>
      </w:r>
    </w:p>
    <w:p w14:paraId="2A7054D3">
      <w:pPr>
        <w:keepNext/>
        <w:spacing w:line="480" w:lineRule="auto"/>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t>Figure S7B. Covariate-adjusted urban network after exclusion of SF.</w:t>
      </w:r>
    </w:p>
    <w:p w14:paraId="2091C3D5">
      <w:pPr>
        <w:spacing w:line="480" w:lineRule="auto"/>
        <w:rPr>
          <w:rFonts w:hint="default" w:ascii="Times New Roman Italic" w:hAnsi="Times New Roman Italic" w:cs="Times New Roman Italic"/>
          <w:b w:val="0"/>
          <w:bCs w:val="0"/>
          <w:i/>
          <w:iCs/>
          <w:sz w:val="18"/>
          <w:szCs w:val="18"/>
          <w:highlight w:val="none"/>
        </w:rPr>
      </w:pPr>
      <w:r>
        <w:rPr>
          <w:rFonts w:hint="default" w:ascii="Times New Roman Bold Italic" w:hAnsi="Times New Roman Bold Italic" w:cs="Times New Roman Bold Italic"/>
          <w:b/>
          <w:bCs/>
          <w:i/>
          <w:iCs/>
          <w:sz w:val="18"/>
          <w:szCs w:val="18"/>
          <w:highlight w:val="none"/>
        </w:rPr>
        <w:t xml:space="preserve">Note. </w:t>
      </w:r>
      <w:r>
        <w:rPr>
          <w:rFonts w:hint="default" w:ascii="Times New Roman Italic" w:hAnsi="Times New Roman Italic" w:cs="Times New Roman Italic"/>
          <w:b w:val="0"/>
          <w:bCs w:val="0"/>
          <w:i/>
          <w:iCs/>
          <w:sz w:val="18"/>
          <w:szCs w:val="18"/>
          <w:highlight w:val="none"/>
        </w:rPr>
        <w:t>The layout and edge scaling match Figures S7A and S7C. Node colours and abbreviations are defined in the figure legend.</w:t>
      </w:r>
    </w:p>
    <w:p w14:paraId="33977AC4">
      <w:pPr>
        <w:keepNext/>
        <w:spacing w:line="480" w:lineRule="auto"/>
        <w:jc w:val="center"/>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drawing>
          <wp:inline distT="0" distB="0" distL="114300" distR="114300">
            <wp:extent cx="5943600" cy="3302000"/>
            <wp:effectExtent l="0" t="0" r="0" b="0"/>
            <wp:docPr id="28" name="Picture 28" descr="Rural eight-node health-indicator network after excluding social functioning, with a colour-coded node legend." title="Rural eight-node health-indicator network after excluding social functioning, with a colour-coded node le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Rural eight-node health-indicator network after excluding social functioning, with a colour-coded node legend." title="Rural eight-node health-indicator network after excluding social functioning, with a colour-coded node legend."/>
                    <pic:cNvPicPr>
                      <a:picLocks noChangeAspect="1"/>
                    </pic:cNvPicPr>
                  </pic:nvPicPr>
                  <pic:blipFill>
                    <a:blip r:embed="rId15"/>
                    <a:stretch>
                      <a:fillRect/>
                    </a:stretch>
                  </pic:blipFill>
                  <pic:spPr>
                    <a:xfrm>
                      <a:off x="0" y="0"/>
                      <a:ext cx="5943600" cy="3302000"/>
                    </a:xfrm>
                    <a:prstGeom prst="rect">
                      <a:avLst/>
                    </a:prstGeom>
                  </pic:spPr>
                </pic:pic>
              </a:graphicData>
            </a:graphic>
          </wp:inline>
        </w:drawing>
      </w:r>
    </w:p>
    <w:p w14:paraId="1A3DE3E3">
      <w:pPr>
        <w:keepNext/>
        <w:spacing w:line="480" w:lineRule="auto"/>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t>Figure S7C. Covariate-adjusted rural network after exclusion of SF.</w:t>
      </w:r>
    </w:p>
    <w:p w14:paraId="0CB16E83">
      <w:pPr>
        <w:spacing w:line="480" w:lineRule="auto"/>
        <w:rPr>
          <w:rFonts w:hint="default" w:ascii="Times New Roman Italic" w:hAnsi="Times New Roman Italic" w:cs="Times New Roman Italic"/>
          <w:b w:val="0"/>
          <w:bCs w:val="0"/>
          <w:i/>
          <w:iCs/>
          <w:sz w:val="18"/>
          <w:szCs w:val="18"/>
          <w:highlight w:val="none"/>
        </w:rPr>
      </w:pPr>
      <w:r>
        <w:rPr>
          <w:rFonts w:hint="default" w:ascii="Times New Roman Bold Italic" w:hAnsi="Times New Roman Bold Italic" w:cs="Times New Roman Bold Italic"/>
          <w:b/>
          <w:bCs/>
          <w:i/>
          <w:iCs/>
          <w:sz w:val="18"/>
          <w:szCs w:val="18"/>
          <w:highlight w:val="none"/>
        </w:rPr>
        <w:t>Note.</w:t>
      </w:r>
      <w:r>
        <w:rPr>
          <w:rFonts w:hint="default" w:ascii="Times New Roman Italic" w:hAnsi="Times New Roman Italic" w:cs="Times New Roman Italic"/>
          <w:b w:val="0"/>
          <w:bCs w:val="0"/>
          <w:i/>
          <w:iCs/>
          <w:sz w:val="18"/>
          <w:szCs w:val="18"/>
          <w:highlight w:val="none"/>
        </w:rPr>
        <w:t xml:space="preserve"> The layout and edge scaling match Figures S7A and S7B. Node colours and abbreviations are defined in the figure legend.</w:t>
      </w:r>
    </w:p>
    <w:p w14:paraId="0C7B8A50">
      <w:pPr>
        <w:keepNext/>
        <w:spacing w:line="480" w:lineRule="auto"/>
        <w:jc w:val="center"/>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drawing>
          <wp:inline distT="0" distB="0" distL="114300" distR="114300">
            <wp:extent cx="5760720" cy="4160520"/>
            <wp:effectExtent l="0" t="0" r="5080" b="5080"/>
            <wp:docPr id="29" name="Picture 29" descr="Dot plot comparing urban and rural node strength after excluding social functioning." title="Dot plot comparing urban and rural node strength after excluding social functio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Dot plot comparing urban and rural node strength after excluding social functioning." title="Dot plot comparing urban and rural node strength after excluding social functioning."/>
                    <pic:cNvPicPr>
                      <a:picLocks noChangeAspect="1"/>
                    </pic:cNvPicPr>
                  </pic:nvPicPr>
                  <pic:blipFill>
                    <a:blip r:embed="rId16"/>
                    <a:stretch>
                      <a:fillRect/>
                    </a:stretch>
                  </pic:blipFill>
                  <pic:spPr>
                    <a:xfrm>
                      <a:off x="0" y="0"/>
                      <a:ext cx="5760720" cy="4160520"/>
                    </a:xfrm>
                    <a:prstGeom prst="rect">
                      <a:avLst/>
                    </a:prstGeom>
                  </pic:spPr>
                </pic:pic>
              </a:graphicData>
            </a:graphic>
          </wp:inline>
        </w:drawing>
      </w:r>
    </w:p>
    <w:p w14:paraId="25F24CB5">
      <w:pPr>
        <w:keepNext/>
        <w:spacing w:line="480" w:lineRule="auto"/>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t>Figure S8. Urban and rural node strength after exclusion of SF.</w:t>
      </w:r>
    </w:p>
    <w:p w14:paraId="5884D4C1">
      <w:pPr>
        <w:spacing w:line="480" w:lineRule="auto"/>
        <w:rPr>
          <w:rFonts w:hint="default" w:ascii="Times New Roman Italic" w:hAnsi="Times New Roman Italic" w:cs="Times New Roman Italic"/>
          <w:b w:val="0"/>
          <w:bCs w:val="0"/>
          <w:i/>
          <w:iCs/>
          <w:sz w:val="18"/>
          <w:szCs w:val="18"/>
          <w:highlight w:val="none"/>
        </w:rPr>
      </w:pPr>
      <w:r>
        <w:rPr>
          <w:rFonts w:hint="default" w:ascii="Times New Roman Bold Italic" w:hAnsi="Times New Roman Bold Italic" w:cs="Times New Roman Bold Italic"/>
          <w:b/>
          <w:bCs/>
          <w:i/>
          <w:iCs/>
          <w:sz w:val="18"/>
          <w:szCs w:val="18"/>
          <w:highlight w:val="none"/>
        </w:rPr>
        <w:t>Note.</w:t>
      </w:r>
      <w:r>
        <w:rPr>
          <w:rFonts w:hint="default" w:ascii="Times New Roman Italic" w:hAnsi="Times New Roman Italic" w:cs="Times New Roman Italic"/>
          <w:b w:val="0"/>
          <w:bCs w:val="0"/>
          <w:i/>
          <w:iCs/>
          <w:sz w:val="18"/>
          <w:szCs w:val="18"/>
          <w:highlight w:val="none"/>
        </w:rPr>
        <w:t xml:space="preserve"> Strength is the sum of absolute incident edge weights.</w:t>
      </w:r>
    </w:p>
    <w:p w14:paraId="52B77360">
      <w:pPr>
        <w:keepNext/>
        <w:spacing w:line="480" w:lineRule="auto"/>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t>Table S2. Global NCT results after exclusion of SF</w:t>
      </w:r>
    </w:p>
    <w:tbl>
      <w:tblPr>
        <w:tblStyle w:val="16"/>
        <w:tblW w:w="0" w:type="auto"/>
        <w:jc w:val="center"/>
        <w:tblLayout w:type="autofit"/>
        <w:tblCellMar>
          <w:top w:w="0" w:type="dxa"/>
          <w:left w:w="108" w:type="dxa"/>
          <w:bottom w:w="0" w:type="dxa"/>
          <w:right w:w="108" w:type="dxa"/>
        </w:tblCellMar>
      </w:tblPr>
      <w:tblGrid>
        <w:gridCol w:w="1872"/>
        <w:gridCol w:w="1872"/>
        <w:gridCol w:w="1872"/>
        <w:gridCol w:w="1872"/>
        <w:gridCol w:w="1872"/>
      </w:tblGrid>
      <w:tr w14:paraId="1B3845E1">
        <w:trPr>
          <w:tblHeader/>
          <w:jc w:val="center"/>
        </w:trPr>
        <w:tc>
          <w:tcPr>
            <w:tcW w:w="1872" w:type="dxa"/>
            <w:tcBorders>
              <w:top w:val="single" w:color="000000" w:sz="12" w:space="0"/>
              <w:left w:val="nil"/>
              <w:bottom w:val="single" w:color="000000" w:sz="4" w:space="0"/>
              <w:right w:val="nil"/>
              <w:tl2br w:val="nil"/>
            </w:tcBorders>
            <w:shd w:val="clear" w:color="auto" w:fill="FFFFFF"/>
            <w:vAlign w:val="center"/>
          </w:tcPr>
          <w:p w14:paraId="26424720">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Test</w:t>
            </w:r>
          </w:p>
        </w:tc>
        <w:tc>
          <w:tcPr>
            <w:tcW w:w="1872" w:type="dxa"/>
            <w:tcBorders>
              <w:top w:val="single" w:color="000000" w:sz="12" w:space="0"/>
              <w:left w:val="nil"/>
              <w:bottom w:val="single" w:color="000000" w:sz="4" w:space="0"/>
              <w:right w:val="nil"/>
            </w:tcBorders>
            <w:shd w:val="clear" w:color="auto" w:fill="FFFFFF"/>
            <w:vAlign w:val="center"/>
          </w:tcPr>
          <w:p w14:paraId="324B2B32">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Statistic</w:t>
            </w:r>
          </w:p>
        </w:tc>
        <w:tc>
          <w:tcPr>
            <w:tcW w:w="1872" w:type="dxa"/>
            <w:tcBorders>
              <w:top w:val="single" w:color="000000" w:sz="12" w:space="0"/>
              <w:left w:val="nil"/>
              <w:bottom w:val="single" w:color="000000" w:sz="4" w:space="0"/>
              <w:right w:val="nil"/>
            </w:tcBorders>
            <w:shd w:val="clear" w:color="auto" w:fill="FFFFFF"/>
            <w:vAlign w:val="center"/>
          </w:tcPr>
          <w:p w14:paraId="148B7BB0">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p</w:t>
            </w:r>
          </w:p>
        </w:tc>
        <w:tc>
          <w:tcPr>
            <w:tcW w:w="1872" w:type="dxa"/>
            <w:tcBorders>
              <w:top w:val="single" w:color="000000" w:sz="12" w:space="0"/>
              <w:left w:val="nil"/>
              <w:bottom w:val="single" w:color="000000" w:sz="4" w:space="0"/>
              <w:right w:val="nil"/>
            </w:tcBorders>
            <w:shd w:val="clear" w:color="auto" w:fill="FFFFFF"/>
            <w:vAlign w:val="center"/>
          </w:tcPr>
          <w:p w14:paraId="5041AFF5">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Urban strength</w:t>
            </w:r>
          </w:p>
        </w:tc>
        <w:tc>
          <w:tcPr>
            <w:tcW w:w="1872" w:type="dxa"/>
            <w:tcBorders>
              <w:top w:val="single" w:color="000000" w:sz="12" w:space="0"/>
              <w:left w:val="nil"/>
              <w:bottom w:val="single" w:color="000000" w:sz="4" w:space="0"/>
              <w:right w:val="nil"/>
            </w:tcBorders>
            <w:shd w:val="clear" w:color="auto" w:fill="FFFFFF"/>
            <w:vAlign w:val="center"/>
          </w:tcPr>
          <w:p w14:paraId="659BFE4C">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Rural strength</w:t>
            </w:r>
          </w:p>
        </w:tc>
      </w:tr>
      <w:tr w14:paraId="69EBD4B2">
        <w:trPr>
          <w:jc w:val="center"/>
        </w:trPr>
        <w:tc>
          <w:tcPr>
            <w:tcW w:w="1872" w:type="dxa"/>
            <w:tcBorders>
              <w:top w:val="single" w:color="000000" w:sz="4" w:space="0"/>
              <w:left w:val="nil"/>
              <w:bottom w:val="nil"/>
              <w:right w:val="nil"/>
            </w:tcBorders>
            <w:shd w:val="clear" w:color="auto" w:fill="FFFFFF"/>
            <w:vAlign w:val="center"/>
          </w:tcPr>
          <w:p w14:paraId="59B7C99E">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Network structure invariance</w:t>
            </w:r>
          </w:p>
        </w:tc>
        <w:tc>
          <w:tcPr>
            <w:tcW w:w="1872" w:type="dxa"/>
            <w:tcBorders>
              <w:top w:val="single" w:color="000000" w:sz="4" w:space="0"/>
              <w:left w:val="nil"/>
              <w:bottom w:val="nil"/>
              <w:right w:val="nil"/>
            </w:tcBorders>
            <w:shd w:val="clear" w:color="auto" w:fill="FFFFFF"/>
            <w:vAlign w:val="center"/>
          </w:tcPr>
          <w:p w14:paraId="628457B0">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0.069</w:t>
            </w:r>
          </w:p>
        </w:tc>
        <w:tc>
          <w:tcPr>
            <w:tcW w:w="1872" w:type="dxa"/>
            <w:tcBorders>
              <w:top w:val="single" w:color="000000" w:sz="4" w:space="0"/>
              <w:left w:val="nil"/>
              <w:bottom w:val="nil"/>
              <w:right w:val="nil"/>
            </w:tcBorders>
            <w:shd w:val="clear" w:color="auto" w:fill="FFFFFF"/>
            <w:vAlign w:val="center"/>
          </w:tcPr>
          <w:p w14:paraId="552510B8">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0.001</w:t>
            </w:r>
          </w:p>
        </w:tc>
        <w:tc>
          <w:tcPr>
            <w:tcW w:w="1872" w:type="dxa"/>
            <w:tcBorders>
              <w:top w:val="single" w:color="000000" w:sz="4" w:space="0"/>
              <w:left w:val="nil"/>
              <w:bottom w:val="nil"/>
              <w:right w:val="nil"/>
            </w:tcBorders>
            <w:shd w:val="clear" w:color="auto" w:fill="FFFFFF"/>
            <w:vAlign w:val="center"/>
          </w:tcPr>
          <w:p w14:paraId="0A2EE5AC">
            <w:pPr>
              <w:spacing w:after="0" w:line="480" w:lineRule="auto"/>
              <w:jc w:val="left"/>
              <w:rPr>
                <w:rFonts w:hint="default" w:ascii="Times New Roman Regular" w:hAnsi="Times New Roman Regular" w:cs="Times New Roman Regular"/>
                <w:b w:val="0"/>
                <w:bCs w:val="0"/>
                <w:color w:val="000000"/>
                <w:highlight w:val="none"/>
              </w:rPr>
            </w:pPr>
          </w:p>
        </w:tc>
        <w:tc>
          <w:tcPr>
            <w:tcW w:w="1872" w:type="dxa"/>
            <w:tcBorders>
              <w:top w:val="single" w:color="000000" w:sz="4" w:space="0"/>
              <w:left w:val="nil"/>
              <w:bottom w:val="nil"/>
              <w:right w:val="nil"/>
            </w:tcBorders>
            <w:shd w:val="clear" w:color="auto" w:fill="FFFFFF"/>
            <w:vAlign w:val="center"/>
          </w:tcPr>
          <w:p w14:paraId="7B82F1B7">
            <w:pPr>
              <w:spacing w:after="0" w:line="480" w:lineRule="auto"/>
              <w:jc w:val="left"/>
              <w:rPr>
                <w:rFonts w:hint="default" w:ascii="Times New Roman Regular" w:hAnsi="Times New Roman Regular" w:cs="Times New Roman Regular"/>
                <w:b w:val="0"/>
                <w:bCs w:val="0"/>
                <w:color w:val="000000"/>
                <w:highlight w:val="none"/>
              </w:rPr>
            </w:pPr>
          </w:p>
        </w:tc>
      </w:tr>
      <w:tr w14:paraId="6DEEB9D7">
        <w:trPr>
          <w:jc w:val="center"/>
        </w:trPr>
        <w:tc>
          <w:tcPr>
            <w:tcW w:w="1872" w:type="dxa"/>
            <w:tcBorders>
              <w:top w:val="nil"/>
              <w:left w:val="nil"/>
              <w:bottom w:val="single" w:color="000000" w:sz="12" w:space="0"/>
              <w:right w:val="nil"/>
            </w:tcBorders>
            <w:shd w:val="clear" w:color="auto" w:fill="FFFFFF"/>
            <w:vAlign w:val="center"/>
          </w:tcPr>
          <w:p w14:paraId="0DC24E22">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Global strength invariance</w:t>
            </w:r>
          </w:p>
        </w:tc>
        <w:tc>
          <w:tcPr>
            <w:tcW w:w="1872" w:type="dxa"/>
            <w:tcBorders>
              <w:top w:val="nil"/>
              <w:left w:val="nil"/>
              <w:bottom w:val="single" w:color="000000" w:sz="12" w:space="0"/>
              <w:right w:val="nil"/>
            </w:tcBorders>
            <w:shd w:val="clear" w:color="auto" w:fill="FFFFFF"/>
            <w:vAlign w:val="center"/>
          </w:tcPr>
          <w:p w14:paraId="6FA178D7">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0.052</w:t>
            </w:r>
          </w:p>
        </w:tc>
        <w:tc>
          <w:tcPr>
            <w:tcW w:w="1872" w:type="dxa"/>
            <w:tcBorders>
              <w:top w:val="nil"/>
              <w:left w:val="nil"/>
              <w:bottom w:val="single" w:color="000000" w:sz="12" w:space="0"/>
              <w:right w:val="nil"/>
            </w:tcBorders>
            <w:shd w:val="clear" w:color="auto" w:fill="FFFFFF"/>
            <w:vAlign w:val="center"/>
          </w:tcPr>
          <w:p w14:paraId="28B7ACAE">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0.232</w:t>
            </w:r>
          </w:p>
        </w:tc>
        <w:tc>
          <w:tcPr>
            <w:tcW w:w="1872" w:type="dxa"/>
            <w:tcBorders>
              <w:top w:val="nil"/>
              <w:left w:val="nil"/>
              <w:bottom w:val="single" w:color="000000" w:sz="12" w:space="0"/>
              <w:right w:val="nil"/>
            </w:tcBorders>
            <w:shd w:val="clear" w:color="auto" w:fill="FFFFFF"/>
            <w:vAlign w:val="center"/>
          </w:tcPr>
          <w:p w14:paraId="6E2FEFE9">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3.081</w:t>
            </w:r>
          </w:p>
        </w:tc>
        <w:tc>
          <w:tcPr>
            <w:tcW w:w="1872" w:type="dxa"/>
            <w:tcBorders>
              <w:top w:val="nil"/>
              <w:left w:val="nil"/>
              <w:bottom w:val="single" w:color="000000" w:sz="12" w:space="0"/>
              <w:right w:val="nil"/>
            </w:tcBorders>
            <w:shd w:val="clear" w:color="auto" w:fill="FFFFFF"/>
            <w:vAlign w:val="center"/>
          </w:tcPr>
          <w:p w14:paraId="420A6677">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3.029</w:t>
            </w:r>
          </w:p>
        </w:tc>
      </w:tr>
    </w:tbl>
    <w:p w14:paraId="7E02C79D">
      <w:pPr>
        <w:keepNext/>
        <w:spacing w:line="480" w:lineRule="auto"/>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t>Table S3. Node strength in urban and rural no-SF networks</w:t>
      </w:r>
    </w:p>
    <w:tbl>
      <w:tblPr>
        <w:tblStyle w:val="16"/>
        <w:tblW w:w="0" w:type="auto"/>
        <w:jc w:val="center"/>
        <w:tblLayout w:type="autofit"/>
        <w:tblCellMar>
          <w:top w:w="0" w:type="dxa"/>
          <w:left w:w="108" w:type="dxa"/>
          <w:bottom w:w="0" w:type="dxa"/>
          <w:right w:w="108" w:type="dxa"/>
        </w:tblCellMar>
      </w:tblPr>
      <w:tblGrid>
        <w:gridCol w:w="1560"/>
        <w:gridCol w:w="1560"/>
        <w:gridCol w:w="1560"/>
        <w:gridCol w:w="1560"/>
        <w:gridCol w:w="1560"/>
        <w:gridCol w:w="1560"/>
      </w:tblGrid>
      <w:tr w14:paraId="232610B4">
        <w:trPr>
          <w:tblHeader/>
          <w:jc w:val="center"/>
        </w:trPr>
        <w:tc>
          <w:tcPr>
            <w:tcW w:w="1560" w:type="dxa"/>
            <w:tcBorders>
              <w:top w:val="single" w:color="000000" w:sz="12" w:space="0"/>
              <w:left w:val="nil"/>
              <w:bottom w:val="single" w:color="000000" w:sz="4" w:space="0"/>
              <w:right w:val="nil"/>
              <w:tl2br w:val="nil"/>
            </w:tcBorders>
            <w:shd w:val="clear" w:color="auto" w:fill="FFFFFF"/>
            <w:vAlign w:val="center"/>
          </w:tcPr>
          <w:p w14:paraId="7C7945C5">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Node</w:t>
            </w:r>
          </w:p>
        </w:tc>
        <w:tc>
          <w:tcPr>
            <w:tcW w:w="1560" w:type="dxa"/>
            <w:tcBorders>
              <w:top w:val="single" w:color="000000" w:sz="12" w:space="0"/>
              <w:left w:val="nil"/>
              <w:bottom w:val="single" w:color="000000" w:sz="4" w:space="0"/>
              <w:right w:val="nil"/>
            </w:tcBorders>
            <w:shd w:val="clear" w:color="auto" w:fill="FFFFFF"/>
            <w:vAlign w:val="center"/>
          </w:tcPr>
          <w:p w14:paraId="39808EE6">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Urban</w:t>
            </w:r>
          </w:p>
        </w:tc>
        <w:tc>
          <w:tcPr>
            <w:tcW w:w="1560" w:type="dxa"/>
            <w:tcBorders>
              <w:top w:val="single" w:color="000000" w:sz="12" w:space="0"/>
              <w:left w:val="nil"/>
              <w:bottom w:val="single" w:color="000000" w:sz="4" w:space="0"/>
              <w:right w:val="nil"/>
            </w:tcBorders>
            <w:shd w:val="clear" w:color="auto" w:fill="FFFFFF"/>
            <w:vAlign w:val="center"/>
          </w:tcPr>
          <w:p w14:paraId="1F3AD71B">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Rural</w:t>
            </w:r>
          </w:p>
        </w:tc>
        <w:tc>
          <w:tcPr>
            <w:tcW w:w="1560" w:type="dxa"/>
            <w:tcBorders>
              <w:top w:val="single" w:color="000000" w:sz="12" w:space="0"/>
              <w:left w:val="nil"/>
              <w:bottom w:val="single" w:color="000000" w:sz="4" w:space="0"/>
              <w:right w:val="nil"/>
            </w:tcBorders>
            <w:shd w:val="clear" w:color="auto" w:fill="FFFFFF"/>
            <w:vAlign w:val="center"/>
          </w:tcPr>
          <w:p w14:paraId="79815F9D">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Δ U−R</w:t>
            </w:r>
          </w:p>
        </w:tc>
        <w:tc>
          <w:tcPr>
            <w:tcW w:w="1560" w:type="dxa"/>
            <w:tcBorders>
              <w:top w:val="single" w:color="000000" w:sz="12" w:space="0"/>
              <w:left w:val="nil"/>
              <w:bottom w:val="single" w:color="000000" w:sz="4" w:space="0"/>
              <w:right w:val="nil"/>
            </w:tcBorders>
            <w:shd w:val="clear" w:color="auto" w:fill="FFFFFF"/>
            <w:vAlign w:val="center"/>
          </w:tcPr>
          <w:p w14:paraId="47F5775A">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Urban rank</w:t>
            </w:r>
          </w:p>
        </w:tc>
        <w:tc>
          <w:tcPr>
            <w:tcW w:w="1560" w:type="dxa"/>
            <w:tcBorders>
              <w:top w:val="single" w:color="000000" w:sz="12" w:space="0"/>
              <w:left w:val="nil"/>
              <w:bottom w:val="single" w:color="000000" w:sz="4" w:space="0"/>
              <w:right w:val="nil"/>
            </w:tcBorders>
            <w:shd w:val="clear" w:color="auto" w:fill="FFFFFF"/>
            <w:vAlign w:val="center"/>
          </w:tcPr>
          <w:p w14:paraId="2359628A">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Rural rank</w:t>
            </w:r>
          </w:p>
        </w:tc>
      </w:tr>
      <w:tr w14:paraId="63936B78">
        <w:trPr>
          <w:jc w:val="center"/>
        </w:trPr>
        <w:tc>
          <w:tcPr>
            <w:tcW w:w="1560" w:type="dxa"/>
            <w:tcBorders>
              <w:top w:val="single" w:color="000000" w:sz="4" w:space="0"/>
              <w:left w:val="nil"/>
              <w:bottom w:val="nil"/>
              <w:right w:val="nil"/>
            </w:tcBorders>
            <w:shd w:val="clear" w:color="auto" w:fill="FFFFFF"/>
            <w:vAlign w:val="center"/>
          </w:tcPr>
          <w:p w14:paraId="51B361BB">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ISI</w:t>
            </w:r>
          </w:p>
        </w:tc>
        <w:tc>
          <w:tcPr>
            <w:tcW w:w="1560" w:type="dxa"/>
            <w:tcBorders>
              <w:top w:val="single" w:color="000000" w:sz="4" w:space="0"/>
              <w:left w:val="nil"/>
              <w:bottom w:val="nil"/>
              <w:right w:val="nil"/>
            </w:tcBorders>
            <w:shd w:val="clear" w:color="auto" w:fill="FFFFFF"/>
            <w:vAlign w:val="center"/>
          </w:tcPr>
          <w:p w14:paraId="746FD133">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0.543</w:t>
            </w:r>
          </w:p>
        </w:tc>
        <w:tc>
          <w:tcPr>
            <w:tcW w:w="1560" w:type="dxa"/>
            <w:tcBorders>
              <w:top w:val="single" w:color="000000" w:sz="4" w:space="0"/>
              <w:left w:val="nil"/>
              <w:bottom w:val="nil"/>
              <w:right w:val="nil"/>
            </w:tcBorders>
            <w:shd w:val="clear" w:color="auto" w:fill="FFFFFF"/>
            <w:vAlign w:val="center"/>
          </w:tcPr>
          <w:p w14:paraId="2BBE9797">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0.548</w:t>
            </w:r>
          </w:p>
        </w:tc>
        <w:tc>
          <w:tcPr>
            <w:tcW w:w="1560" w:type="dxa"/>
            <w:tcBorders>
              <w:top w:val="single" w:color="000000" w:sz="4" w:space="0"/>
              <w:left w:val="nil"/>
              <w:bottom w:val="nil"/>
              <w:right w:val="nil"/>
            </w:tcBorders>
            <w:shd w:val="clear" w:color="auto" w:fill="FFFFFF"/>
            <w:vAlign w:val="center"/>
          </w:tcPr>
          <w:p w14:paraId="438F1310">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-0.005</w:t>
            </w:r>
          </w:p>
        </w:tc>
        <w:tc>
          <w:tcPr>
            <w:tcW w:w="1560" w:type="dxa"/>
            <w:tcBorders>
              <w:top w:val="single" w:color="000000" w:sz="4" w:space="0"/>
              <w:left w:val="nil"/>
              <w:bottom w:val="nil"/>
              <w:right w:val="nil"/>
            </w:tcBorders>
            <w:shd w:val="clear" w:color="auto" w:fill="FFFFFF"/>
            <w:vAlign w:val="center"/>
          </w:tcPr>
          <w:p w14:paraId="76B624B4">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8</w:t>
            </w:r>
          </w:p>
        </w:tc>
        <w:tc>
          <w:tcPr>
            <w:tcW w:w="1560" w:type="dxa"/>
            <w:tcBorders>
              <w:top w:val="single" w:color="000000" w:sz="4" w:space="0"/>
              <w:left w:val="nil"/>
              <w:bottom w:val="nil"/>
              <w:right w:val="nil"/>
            </w:tcBorders>
            <w:shd w:val="clear" w:color="auto" w:fill="FFFFFF"/>
            <w:vAlign w:val="center"/>
          </w:tcPr>
          <w:p w14:paraId="1B8F1E7E">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7</w:t>
            </w:r>
          </w:p>
        </w:tc>
      </w:tr>
      <w:tr w14:paraId="14848143">
        <w:trPr>
          <w:jc w:val="center"/>
        </w:trPr>
        <w:tc>
          <w:tcPr>
            <w:tcW w:w="1560" w:type="dxa"/>
            <w:tcBorders>
              <w:top w:val="nil"/>
              <w:left w:val="nil"/>
              <w:bottom w:val="nil"/>
              <w:right w:val="nil"/>
            </w:tcBorders>
            <w:shd w:val="clear" w:color="auto" w:fill="FFFFFF"/>
            <w:vAlign w:val="center"/>
          </w:tcPr>
          <w:p w14:paraId="3A01E960">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ESS</w:t>
            </w:r>
          </w:p>
        </w:tc>
        <w:tc>
          <w:tcPr>
            <w:tcW w:w="1560" w:type="dxa"/>
            <w:tcBorders>
              <w:top w:val="nil"/>
              <w:left w:val="nil"/>
              <w:bottom w:val="nil"/>
              <w:right w:val="nil"/>
            </w:tcBorders>
            <w:shd w:val="clear" w:color="auto" w:fill="FFFFFF"/>
            <w:vAlign w:val="center"/>
          </w:tcPr>
          <w:p w14:paraId="66E0A179">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0.585</w:t>
            </w:r>
          </w:p>
        </w:tc>
        <w:tc>
          <w:tcPr>
            <w:tcW w:w="1560" w:type="dxa"/>
            <w:tcBorders>
              <w:top w:val="nil"/>
              <w:left w:val="nil"/>
              <w:bottom w:val="nil"/>
              <w:right w:val="nil"/>
            </w:tcBorders>
            <w:shd w:val="clear" w:color="auto" w:fill="FFFFFF"/>
            <w:vAlign w:val="center"/>
          </w:tcPr>
          <w:p w14:paraId="47E9D1C4">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0.531</w:t>
            </w:r>
          </w:p>
        </w:tc>
        <w:tc>
          <w:tcPr>
            <w:tcW w:w="1560" w:type="dxa"/>
            <w:tcBorders>
              <w:top w:val="nil"/>
              <w:left w:val="nil"/>
              <w:bottom w:val="nil"/>
              <w:right w:val="nil"/>
            </w:tcBorders>
            <w:shd w:val="clear" w:color="auto" w:fill="FFFFFF"/>
            <w:vAlign w:val="center"/>
          </w:tcPr>
          <w:p w14:paraId="2A3BFEB0">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0.053</w:t>
            </w:r>
          </w:p>
        </w:tc>
        <w:tc>
          <w:tcPr>
            <w:tcW w:w="1560" w:type="dxa"/>
            <w:tcBorders>
              <w:top w:val="nil"/>
              <w:left w:val="nil"/>
              <w:bottom w:val="nil"/>
              <w:right w:val="nil"/>
            </w:tcBorders>
            <w:shd w:val="clear" w:color="auto" w:fill="FFFFFF"/>
            <w:vAlign w:val="center"/>
          </w:tcPr>
          <w:p w14:paraId="45DF9AF6">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7</w:t>
            </w:r>
          </w:p>
        </w:tc>
        <w:tc>
          <w:tcPr>
            <w:tcW w:w="1560" w:type="dxa"/>
            <w:tcBorders>
              <w:top w:val="nil"/>
              <w:left w:val="nil"/>
              <w:bottom w:val="nil"/>
              <w:right w:val="nil"/>
            </w:tcBorders>
            <w:shd w:val="clear" w:color="auto" w:fill="FFFFFF"/>
            <w:vAlign w:val="center"/>
          </w:tcPr>
          <w:p w14:paraId="6D815AC6">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8</w:t>
            </w:r>
          </w:p>
        </w:tc>
      </w:tr>
      <w:tr w14:paraId="39F75208">
        <w:trPr>
          <w:jc w:val="center"/>
        </w:trPr>
        <w:tc>
          <w:tcPr>
            <w:tcW w:w="1560" w:type="dxa"/>
            <w:tcBorders>
              <w:top w:val="nil"/>
              <w:left w:val="nil"/>
              <w:bottom w:val="nil"/>
              <w:right w:val="nil"/>
            </w:tcBorders>
            <w:shd w:val="clear" w:color="auto" w:fill="FFFFFF"/>
            <w:vAlign w:val="center"/>
          </w:tcPr>
          <w:p w14:paraId="53466124">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PHQ9</w:t>
            </w:r>
          </w:p>
        </w:tc>
        <w:tc>
          <w:tcPr>
            <w:tcW w:w="1560" w:type="dxa"/>
            <w:tcBorders>
              <w:top w:val="nil"/>
              <w:left w:val="nil"/>
              <w:bottom w:val="nil"/>
              <w:right w:val="nil"/>
            </w:tcBorders>
            <w:shd w:val="clear" w:color="auto" w:fill="FFFFFF"/>
            <w:vAlign w:val="center"/>
          </w:tcPr>
          <w:p w14:paraId="15642F8F">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1.397</w:t>
            </w:r>
          </w:p>
        </w:tc>
        <w:tc>
          <w:tcPr>
            <w:tcW w:w="1560" w:type="dxa"/>
            <w:tcBorders>
              <w:top w:val="nil"/>
              <w:left w:val="nil"/>
              <w:bottom w:val="nil"/>
              <w:right w:val="nil"/>
            </w:tcBorders>
            <w:shd w:val="clear" w:color="auto" w:fill="FFFFFF"/>
            <w:vAlign w:val="center"/>
          </w:tcPr>
          <w:p w14:paraId="650F5F37">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1.380</w:t>
            </w:r>
          </w:p>
        </w:tc>
        <w:tc>
          <w:tcPr>
            <w:tcW w:w="1560" w:type="dxa"/>
            <w:tcBorders>
              <w:top w:val="nil"/>
              <w:left w:val="nil"/>
              <w:bottom w:val="nil"/>
              <w:right w:val="nil"/>
            </w:tcBorders>
            <w:shd w:val="clear" w:color="auto" w:fill="FFFFFF"/>
            <w:vAlign w:val="center"/>
          </w:tcPr>
          <w:p w14:paraId="11DF0490">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0.016</w:t>
            </w:r>
          </w:p>
        </w:tc>
        <w:tc>
          <w:tcPr>
            <w:tcW w:w="1560" w:type="dxa"/>
            <w:tcBorders>
              <w:top w:val="nil"/>
              <w:left w:val="nil"/>
              <w:bottom w:val="nil"/>
              <w:right w:val="nil"/>
            </w:tcBorders>
            <w:shd w:val="clear" w:color="auto" w:fill="FFFFFF"/>
            <w:vAlign w:val="center"/>
          </w:tcPr>
          <w:p w14:paraId="3694E6FA">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1</w:t>
            </w:r>
          </w:p>
        </w:tc>
        <w:tc>
          <w:tcPr>
            <w:tcW w:w="1560" w:type="dxa"/>
            <w:tcBorders>
              <w:top w:val="nil"/>
              <w:left w:val="nil"/>
              <w:bottom w:val="nil"/>
              <w:right w:val="nil"/>
            </w:tcBorders>
            <w:shd w:val="clear" w:color="auto" w:fill="FFFFFF"/>
            <w:vAlign w:val="center"/>
          </w:tcPr>
          <w:p w14:paraId="6BE2AF9B">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1</w:t>
            </w:r>
          </w:p>
        </w:tc>
      </w:tr>
      <w:tr w14:paraId="0E75734C">
        <w:trPr>
          <w:jc w:val="center"/>
        </w:trPr>
        <w:tc>
          <w:tcPr>
            <w:tcW w:w="1560" w:type="dxa"/>
            <w:tcBorders>
              <w:top w:val="nil"/>
              <w:left w:val="nil"/>
              <w:bottom w:val="nil"/>
              <w:right w:val="nil"/>
            </w:tcBorders>
            <w:shd w:val="clear" w:color="auto" w:fill="FFFFFF"/>
            <w:vAlign w:val="center"/>
          </w:tcPr>
          <w:p w14:paraId="2BF0C1F3">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GAD7</w:t>
            </w:r>
          </w:p>
        </w:tc>
        <w:tc>
          <w:tcPr>
            <w:tcW w:w="1560" w:type="dxa"/>
            <w:tcBorders>
              <w:top w:val="nil"/>
              <w:left w:val="nil"/>
              <w:bottom w:val="nil"/>
              <w:right w:val="nil"/>
            </w:tcBorders>
            <w:shd w:val="clear" w:color="auto" w:fill="FFFFFF"/>
            <w:vAlign w:val="center"/>
          </w:tcPr>
          <w:p w14:paraId="2E806426">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0.780</w:t>
            </w:r>
          </w:p>
        </w:tc>
        <w:tc>
          <w:tcPr>
            <w:tcW w:w="1560" w:type="dxa"/>
            <w:tcBorders>
              <w:top w:val="nil"/>
              <w:left w:val="nil"/>
              <w:bottom w:val="nil"/>
              <w:right w:val="nil"/>
            </w:tcBorders>
            <w:shd w:val="clear" w:color="auto" w:fill="FFFFFF"/>
            <w:vAlign w:val="center"/>
          </w:tcPr>
          <w:p w14:paraId="7E2F7499">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0.834</w:t>
            </w:r>
          </w:p>
        </w:tc>
        <w:tc>
          <w:tcPr>
            <w:tcW w:w="1560" w:type="dxa"/>
            <w:tcBorders>
              <w:top w:val="nil"/>
              <w:left w:val="nil"/>
              <w:bottom w:val="nil"/>
              <w:right w:val="nil"/>
            </w:tcBorders>
            <w:shd w:val="clear" w:color="auto" w:fill="FFFFFF"/>
            <w:vAlign w:val="center"/>
          </w:tcPr>
          <w:p w14:paraId="05DF570C">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-0.055</w:t>
            </w:r>
          </w:p>
        </w:tc>
        <w:tc>
          <w:tcPr>
            <w:tcW w:w="1560" w:type="dxa"/>
            <w:tcBorders>
              <w:top w:val="nil"/>
              <w:left w:val="nil"/>
              <w:bottom w:val="nil"/>
              <w:right w:val="nil"/>
            </w:tcBorders>
            <w:shd w:val="clear" w:color="auto" w:fill="FFFFFF"/>
            <w:vAlign w:val="center"/>
          </w:tcPr>
          <w:p w14:paraId="286F7232">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2</w:t>
            </w:r>
          </w:p>
        </w:tc>
        <w:tc>
          <w:tcPr>
            <w:tcW w:w="1560" w:type="dxa"/>
            <w:tcBorders>
              <w:top w:val="nil"/>
              <w:left w:val="nil"/>
              <w:bottom w:val="nil"/>
              <w:right w:val="nil"/>
            </w:tcBorders>
            <w:shd w:val="clear" w:color="auto" w:fill="FFFFFF"/>
            <w:vAlign w:val="center"/>
          </w:tcPr>
          <w:p w14:paraId="494ED409">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2</w:t>
            </w:r>
          </w:p>
        </w:tc>
      </w:tr>
      <w:tr w14:paraId="06B0479D">
        <w:trPr>
          <w:jc w:val="center"/>
        </w:trPr>
        <w:tc>
          <w:tcPr>
            <w:tcW w:w="1560" w:type="dxa"/>
            <w:tcBorders>
              <w:top w:val="nil"/>
              <w:left w:val="nil"/>
              <w:bottom w:val="nil"/>
              <w:right w:val="nil"/>
            </w:tcBorders>
            <w:shd w:val="clear" w:color="auto" w:fill="FFFFFF"/>
            <w:vAlign w:val="center"/>
          </w:tcPr>
          <w:p w14:paraId="3503C2D4">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SCD</w:t>
            </w:r>
          </w:p>
        </w:tc>
        <w:tc>
          <w:tcPr>
            <w:tcW w:w="1560" w:type="dxa"/>
            <w:tcBorders>
              <w:top w:val="nil"/>
              <w:left w:val="nil"/>
              <w:bottom w:val="nil"/>
              <w:right w:val="nil"/>
            </w:tcBorders>
            <w:shd w:val="clear" w:color="auto" w:fill="FFFFFF"/>
            <w:vAlign w:val="center"/>
          </w:tcPr>
          <w:p w14:paraId="4DE1862B">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0.772</w:t>
            </w:r>
          </w:p>
        </w:tc>
        <w:tc>
          <w:tcPr>
            <w:tcW w:w="1560" w:type="dxa"/>
            <w:tcBorders>
              <w:top w:val="nil"/>
              <w:left w:val="nil"/>
              <w:bottom w:val="nil"/>
              <w:right w:val="nil"/>
            </w:tcBorders>
            <w:shd w:val="clear" w:color="auto" w:fill="FFFFFF"/>
            <w:vAlign w:val="center"/>
          </w:tcPr>
          <w:p w14:paraId="5051C53D">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0.777</w:t>
            </w:r>
          </w:p>
        </w:tc>
        <w:tc>
          <w:tcPr>
            <w:tcW w:w="1560" w:type="dxa"/>
            <w:tcBorders>
              <w:top w:val="nil"/>
              <w:left w:val="nil"/>
              <w:bottom w:val="nil"/>
              <w:right w:val="nil"/>
            </w:tcBorders>
            <w:shd w:val="clear" w:color="auto" w:fill="FFFFFF"/>
            <w:vAlign w:val="center"/>
          </w:tcPr>
          <w:p w14:paraId="7F376BB4">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-0.004</w:t>
            </w:r>
          </w:p>
        </w:tc>
        <w:tc>
          <w:tcPr>
            <w:tcW w:w="1560" w:type="dxa"/>
            <w:tcBorders>
              <w:top w:val="nil"/>
              <w:left w:val="nil"/>
              <w:bottom w:val="nil"/>
              <w:right w:val="nil"/>
            </w:tcBorders>
            <w:shd w:val="clear" w:color="auto" w:fill="FFFFFF"/>
            <w:vAlign w:val="center"/>
          </w:tcPr>
          <w:p w14:paraId="0165CBF7">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3</w:t>
            </w:r>
          </w:p>
        </w:tc>
        <w:tc>
          <w:tcPr>
            <w:tcW w:w="1560" w:type="dxa"/>
            <w:tcBorders>
              <w:top w:val="nil"/>
              <w:left w:val="nil"/>
              <w:bottom w:val="nil"/>
              <w:right w:val="nil"/>
            </w:tcBorders>
            <w:shd w:val="clear" w:color="auto" w:fill="FFFFFF"/>
            <w:vAlign w:val="center"/>
          </w:tcPr>
          <w:p w14:paraId="42244554">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3</w:t>
            </w:r>
          </w:p>
        </w:tc>
      </w:tr>
      <w:tr w14:paraId="20D31865">
        <w:trPr>
          <w:jc w:val="center"/>
        </w:trPr>
        <w:tc>
          <w:tcPr>
            <w:tcW w:w="1560" w:type="dxa"/>
            <w:tcBorders>
              <w:top w:val="nil"/>
              <w:left w:val="nil"/>
              <w:bottom w:val="nil"/>
              <w:right w:val="nil"/>
            </w:tcBorders>
            <w:shd w:val="clear" w:color="auto" w:fill="FFFFFF"/>
            <w:vAlign w:val="center"/>
          </w:tcPr>
          <w:p w14:paraId="1A94E70B">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AD8</w:t>
            </w:r>
          </w:p>
        </w:tc>
        <w:tc>
          <w:tcPr>
            <w:tcW w:w="1560" w:type="dxa"/>
            <w:tcBorders>
              <w:top w:val="nil"/>
              <w:left w:val="nil"/>
              <w:bottom w:val="nil"/>
              <w:right w:val="nil"/>
            </w:tcBorders>
            <w:shd w:val="clear" w:color="auto" w:fill="FFFFFF"/>
            <w:vAlign w:val="center"/>
          </w:tcPr>
          <w:p w14:paraId="45302912">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0.658</w:t>
            </w:r>
          </w:p>
        </w:tc>
        <w:tc>
          <w:tcPr>
            <w:tcW w:w="1560" w:type="dxa"/>
            <w:tcBorders>
              <w:top w:val="nil"/>
              <w:left w:val="nil"/>
              <w:bottom w:val="nil"/>
              <w:right w:val="nil"/>
            </w:tcBorders>
            <w:shd w:val="clear" w:color="auto" w:fill="FFFFFF"/>
            <w:vAlign w:val="center"/>
          </w:tcPr>
          <w:p w14:paraId="5DD3C650">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0.568</w:t>
            </w:r>
          </w:p>
        </w:tc>
        <w:tc>
          <w:tcPr>
            <w:tcW w:w="1560" w:type="dxa"/>
            <w:tcBorders>
              <w:top w:val="nil"/>
              <w:left w:val="nil"/>
              <w:bottom w:val="nil"/>
              <w:right w:val="nil"/>
            </w:tcBorders>
            <w:shd w:val="clear" w:color="auto" w:fill="FFFFFF"/>
            <w:vAlign w:val="center"/>
          </w:tcPr>
          <w:p w14:paraId="2E234A0A">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0.091</w:t>
            </w:r>
          </w:p>
        </w:tc>
        <w:tc>
          <w:tcPr>
            <w:tcW w:w="1560" w:type="dxa"/>
            <w:tcBorders>
              <w:top w:val="nil"/>
              <w:left w:val="nil"/>
              <w:bottom w:val="nil"/>
              <w:right w:val="nil"/>
            </w:tcBorders>
            <w:shd w:val="clear" w:color="auto" w:fill="FFFFFF"/>
            <w:vAlign w:val="center"/>
          </w:tcPr>
          <w:p w14:paraId="2D85B52E">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6</w:t>
            </w:r>
          </w:p>
        </w:tc>
        <w:tc>
          <w:tcPr>
            <w:tcW w:w="1560" w:type="dxa"/>
            <w:tcBorders>
              <w:top w:val="nil"/>
              <w:left w:val="nil"/>
              <w:bottom w:val="nil"/>
              <w:right w:val="nil"/>
            </w:tcBorders>
            <w:shd w:val="clear" w:color="auto" w:fill="FFFFFF"/>
            <w:vAlign w:val="center"/>
          </w:tcPr>
          <w:p w14:paraId="29D6FA93">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6</w:t>
            </w:r>
          </w:p>
        </w:tc>
      </w:tr>
      <w:tr w14:paraId="46A4B4A9">
        <w:trPr>
          <w:jc w:val="center"/>
        </w:trPr>
        <w:tc>
          <w:tcPr>
            <w:tcW w:w="1560" w:type="dxa"/>
            <w:tcBorders>
              <w:top w:val="nil"/>
              <w:left w:val="nil"/>
              <w:bottom w:val="nil"/>
              <w:right w:val="nil"/>
            </w:tcBorders>
            <w:shd w:val="clear" w:color="auto" w:fill="FFFFFF"/>
            <w:vAlign w:val="center"/>
          </w:tcPr>
          <w:p w14:paraId="2BBE851E">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PF</w:t>
            </w:r>
          </w:p>
        </w:tc>
        <w:tc>
          <w:tcPr>
            <w:tcW w:w="1560" w:type="dxa"/>
            <w:tcBorders>
              <w:top w:val="nil"/>
              <w:left w:val="nil"/>
              <w:bottom w:val="nil"/>
              <w:right w:val="nil"/>
            </w:tcBorders>
            <w:shd w:val="clear" w:color="auto" w:fill="FFFFFF"/>
            <w:vAlign w:val="center"/>
          </w:tcPr>
          <w:p w14:paraId="3114EFC9">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0.669</w:t>
            </w:r>
          </w:p>
        </w:tc>
        <w:tc>
          <w:tcPr>
            <w:tcW w:w="1560" w:type="dxa"/>
            <w:tcBorders>
              <w:top w:val="nil"/>
              <w:left w:val="nil"/>
              <w:bottom w:val="nil"/>
              <w:right w:val="nil"/>
            </w:tcBorders>
            <w:shd w:val="clear" w:color="auto" w:fill="FFFFFF"/>
            <w:vAlign w:val="center"/>
          </w:tcPr>
          <w:p w14:paraId="5B5736EF">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0.650</w:t>
            </w:r>
          </w:p>
        </w:tc>
        <w:tc>
          <w:tcPr>
            <w:tcW w:w="1560" w:type="dxa"/>
            <w:tcBorders>
              <w:top w:val="nil"/>
              <w:left w:val="nil"/>
              <w:bottom w:val="nil"/>
              <w:right w:val="nil"/>
            </w:tcBorders>
            <w:shd w:val="clear" w:color="auto" w:fill="FFFFFF"/>
            <w:vAlign w:val="center"/>
          </w:tcPr>
          <w:p w14:paraId="4188296B">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0.018</w:t>
            </w:r>
          </w:p>
        </w:tc>
        <w:tc>
          <w:tcPr>
            <w:tcW w:w="1560" w:type="dxa"/>
            <w:tcBorders>
              <w:top w:val="nil"/>
              <w:left w:val="nil"/>
              <w:bottom w:val="nil"/>
              <w:right w:val="nil"/>
            </w:tcBorders>
            <w:shd w:val="clear" w:color="auto" w:fill="FFFFFF"/>
            <w:vAlign w:val="center"/>
          </w:tcPr>
          <w:p w14:paraId="4AAB6CCB">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5</w:t>
            </w:r>
          </w:p>
        </w:tc>
        <w:tc>
          <w:tcPr>
            <w:tcW w:w="1560" w:type="dxa"/>
            <w:tcBorders>
              <w:top w:val="nil"/>
              <w:left w:val="nil"/>
              <w:bottom w:val="nil"/>
              <w:right w:val="nil"/>
            </w:tcBorders>
            <w:shd w:val="clear" w:color="auto" w:fill="FFFFFF"/>
            <w:vAlign w:val="center"/>
          </w:tcPr>
          <w:p w14:paraId="67733693">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5</w:t>
            </w:r>
          </w:p>
        </w:tc>
      </w:tr>
      <w:tr w14:paraId="78D296AA">
        <w:trPr>
          <w:jc w:val="center"/>
        </w:trPr>
        <w:tc>
          <w:tcPr>
            <w:tcW w:w="1560" w:type="dxa"/>
            <w:tcBorders>
              <w:top w:val="nil"/>
              <w:left w:val="nil"/>
              <w:bottom w:val="single" w:color="000000" w:sz="12" w:space="0"/>
              <w:right w:val="nil"/>
            </w:tcBorders>
            <w:shd w:val="clear" w:color="auto" w:fill="FFFFFF"/>
            <w:vAlign w:val="center"/>
          </w:tcPr>
          <w:p w14:paraId="243CD92D">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GH</w:t>
            </w:r>
          </w:p>
        </w:tc>
        <w:tc>
          <w:tcPr>
            <w:tcW w:w="1560" w:type="dxa"/>
            <w:tcBorders>
              <w:top w:val="nil"/>
              <w:left w:val="nil"/>
              <w:bottom w:val="single" w:color="000000" w:sz="12" w:space="0"/>
              <w:right w:val="nil"/>
            </w:tcBorders>
            <w:shd w:val="clear" w:color="auto" w:fill="FFFFFF"/>
            <w:vAlign w:val="center"/>
          </w:tcPr>
          <w:p w14:paraId="27E7D949">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0.760</w:t>
            </w:r>
          </w:p>
        </w:tc>
        <w:tc>
          <w:tcPr>
            <w:tcW w:w="1560" w:type="dxa"/>
            <w:tcBorders>
              <w:top w:val="nil"/>
              <w:left w:val="nil"/>
              <w:bottom w:val="single" w:color="000000" w:sz="12" w:space="0"/>
              <w:right w:val="nil"/>
            </w:tcBorders>
            <w:shd w:val="clear" w:color="auto" w:fill="FFFFFF"/>
            <w:vAlign w:val="center"/>
          </w:tcPr>
          <w:p w14:paraId="10897621">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0.769</w:t>
            </w:r>
          </w:p>
        </w:tc>
        <w:tc>
          <w:tcPr>
            <w:tcW w:w="1560" w:type="dxa"/>
            <w:tcBorders>
              <w:top w:val="nil"/>
              <w:left w:val="nil"/>
              <w:bottom w:val="single" w:color="000000" w:sz="12" w:space="0"/>
              <w:right w:val="nil"/>
            </w:tcBorders>
            <w:shd w:val="clear" w:color="auto" w:fill="FFFFFF"/>
            <w:vAlign w:val="center"/>
          </w:tcPr>
          <w:p w14:paraId="6030E8B0">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-0.010</w:t>
            </w:r>
          </w:p>
        </w:tc>
        <w:tc>
          <w:tcPr>
            <w:tcW w:w="1560" w:type="dxa"/>
            <w:tcBorders>
              <w:top w:val="nil"/>
              <w:left w:val="nil"/>
              <w:bottom w:val="single" w:color="000000" w:sz="12" w:space="0"/>
              <w:right w:val="nil"/>
            </w:tcBorders>
            <w:shd w:val="clear" w:color="auto" w:fill="FFFFFF"/>
            <w:vAlign w:val="center"/>
          </w:tcPr>
          <w:p w14:paraId="5CF2F568">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4</w:t>
            </w:r>
          </w:p>
        </w:tc>
        <w:tc>
          <w:tcPr>
            <w:tcW w:w="1560" w:type="dxa"/>
            <w:tcBorders>
              <w:top w:val="nil"/>
              <w:left w:val="nil"/>
              <w:bottom w:val="single" w:color="000000" w:sz="12" w:space="0"/>
              <w:right w:val="nil"/>
            </w:tcBorders>
            <w:shd w:val="clear" w:color="auto" w:fill="FFFFFF"/>
            <w:vAlign w:val="center"/>
          </w:tcPr>
          <w:p w14:paraId="7543990D">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4</w:t>
            </w:r>
          </w:p>
        </w:tc>
      </w:tr>
    </w:tbl>
    <w:p w14:paraId="0867AF3A">
      <w:pPr>
        <w:keepNext/>
        <w:spacing w:line="480" w:lineRule="auto"/>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t>Table S4. Node-level NCT results after exclusion of SF</w:t>
      </w:r>
    </w:p>
    <w:tbl>
      <w:tblPr>
        <w:tblStyle w:val="16"/>
        <w:tblW w:w="0" w:type="auto"/>
        <w:jc w:val="center"/>
        <w:tblLayout w:type="autofit"/>
        <w:tblCellMar>
          <w:top w:w="0" w:type="dxa"/>
          <w:left w:w="108" w:type="dxa"/>
          <w:bottom w:w="0" w:type="dxa"/>
          <w:right w:w="108" w:type="dxa"/>
        </w:tblCellMar>
      </w:tblPr>
      <w:tblGrid>
        <w:gridCol w:w="1872"/>
        <w:gridCol w:w="1872"/>
        <w:gridCol w:w="1872"/>
        <w:gridCol w:w="1872"/>
        <w:gridCol w:w="1872"/>
      </w:tblGrid>
      <w:tr w14:paraId="4080751A">
        <w:trPr>
          <w:tblHeader/>
          <w:jc w:val="center"/>
        </w:trPr>
        <w:tc>
          <w:tcPr>
            <w:tcW w:w="1872" w:type="dxa"/>
            <w:tcBorders>
              <w:top w:val="single" w:color="000000" w:sz="12" w:space="0"/>
              <w:left w:val="nil"/>
              <w:bottom w:val="single" w:color="000000" w:sz="4" w:space="0"/>
              <w:right w:val="nil"/>
              <w:tl2br w:val="nil"/>
            </w:tcBorders>
            <w:shd w:val="clear" w:color="auto" w:fill="FFFFFF"/>
            <w:vAlign w:val="center"/>
          </w:tcPr>
          <w:p w14:paraId="44EEA96D">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Node</w:t>
            </w:r>
          </w:p>
        </w:tc>
        <w:tc>
          <w:tcPr>
            <w:tcW w:w="1872" w:type="dxa"/>
            <w:tcBorders>
              <w:top w:val="single" w:color="000000" w:sz="12" w:space="0"/>
              <w:left w:val="nil"/>
              <w:bottom w:val="single" w:color="000000" w:sz="4" w:space="0"/>
              <w:right w:val="nil"/>
            </w:tcBorders>
            <w:shd w:val="clear" w:color="auto" w:fill="FFFFFF"/>
            <w:vAlign w:val="center"/>
          </w:tcPr>
          <w:p w14:paraId="59C0D72A">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Δ U−R</w:t>
            </w:r>
          </w:p>
        </w:tc>
        <w:tc>
          <w:tcPr>
            <w:tcW w:w="1872" w:type="dxa"/>
            <w:tcBorders>
              <w:top w:val="single" w:color="000000" w:sz="12" w:space="0"/>
              <w:left w:val="nil"/>
              <w:bottom w:val="single" w:color="000000" w:sz="4" w:space="0"/>
              <w:right w:val="nil"/>
            </w:tcBorders>
            <w:shd w:val="clear" w:color="auto" w:fill="FFFFFF"/>
            <w:vAlign w:val="center"/>
          </w:tcPr>
          <w:p w14:paraId="3326949A">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Raw p</w:t>
            </w:r>
          </w:p>
        </w:tc>
        <w:tc>
          <w:tcPr>
            <w:tcW w:w="1872" w:type="dxa"/>
            <w:tcBorders>
              <w:top w:val="single" w:color="000000" w:sz="12" w:space="0"/>
              <w:left w:val="nil"/>
              <w:bottom w:val="single" w:color="000000" w:sz="4" w:space="0"/>
              <w:right w:val="nil"/>
            </w:tcBorders>
            <w:shd w:val="clear" w:color="auto" w:fill="FFFFFF"/>
            <w:vAlign w:val="center"/>
          </w:tcPr>
          <w:p w14:paraId="5331ADF7">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pBH</w:t>
            </w:r>
          </w:p>
        </w:tc>
        <w:tc>
          <w:tcPr>
            <w:tcW w:w="1872" w:type="dxa"/>
            <w:tcBorders>
              <w:top w:val="single" w:color="000000" w:sz="12" w:space="0"/>
              <w:left w:val="nil"/>
              <w:bottom w:val="single" w:color="000000" w:sz="4" w:space="0"/>
              <w:right w:val="nil"/>
            </w:tcBorders>
            <w:shd w:val="clear" w:color="auto" w:fill="FFFFFF"/>
            <w:vAlign w:val="center"/>
          </w:tcPr>
          <w:p w14:paraId="0DE0C837">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pBon</w:t>
            </w:r>
          </w:p>
        </w:tc>
      </w:tr>
      <w:tr w14:paraId="5BC851C1">
        <w:trPr>
          <w:jc w:val="center"/>
        </w:trPr>
        <w:tc>
          <w:tcPr>
            <w:tcW w:w="1872" w:type="dxa"/>
            <w:tcBorders>
              <w:top w:val="single" w:color="000000" w:sz="4" w:space="0"/>
              <w:left w:val="nil"/>
              <w:bottom w:val="nil"/>
              <w:right w:val="nil"/>
            </w:tcBorders>
            <w:shd w:val="clear" w:color="auto" w:fill="FFFFFF"/>
            <w:vAlign w:val="center"/>
          </w:tcPr>
          <w:p w14:paraId="3DC307B5">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AD8</w:t>
            </w:r>
          </w:p>
        </w:tc>
        <w:tc>
          <w:tcPr>
            <w:tcW w:w="1872" w:type="dxa"/>
            <w:tcBorders>
              <w:top w:val="single" w:color="000000" w:sz="4" w:space="0"/>
              <w:left w:val="nil"/>
              <w:bottom w:val="nil"/>
              <w:right w:val="nil"/>
            </w:tcBorders>
            <w:shd w:val="clear" w:color="auto" w:fill="FFFFFF"/>
            <w:vAlign w:val="center"/>
          </w:tcPr>
          <w:p w14:paraId="7CAEF0B8">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0.091</w:t>
            </w:r>
          </w:p>
        </w:tc>
        <w:tc>
          <w:tcPr>
            <w:tcW w:w="1872" w:type="dxa"/>
            <w:tcBorders>
              <w:top w:val="single" w:color="000000" w:sz="4" w:space="0"/>
              <w:left w:val="nil"/>
              <w:bottom w:val="nil"/>
              <w:right w:val="nil"/>
            </w:tcBorders>
            <w:shd w:val="clear" w:color="auto" w:fill="FFFFFF"/>
            <w:vAlign w:val="center"/>
          </w:tcPr>
          <w:p w14:paraId="7B6831BD">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0.001</w:t>
            </w:r>
          </w:p>
        </w:tc>
        <w:tc>
          <w:tcPr>
            <w:tcW w:w="1872" w:type="dxa"/>
            <w:tcBorders>
              <w:top w:val="single" w:color="000000" w:sz="4" w:space="0"/>
              <w:left w:val="nil"/>
              <w:bottom w:val="nil"/>
              <w:right w:val="nil"/>
            </w:tcBorders>
            <w:shd w:val="clear" w:color="auto" w:fill="FFFFFF"/>
            <w:vAlign w:val="center"/>
          </w:tcPr>
          <w:p w14:paraId="0AB47C64">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0.008</w:t>
            </w:r>
          </w:p>
        </w:tc>
        <w:tc>
          <w:tcPr>
            <w:tcW w:w="1872" w:type="dxa"/>
            <w:tcBorders>
              <w:top w:val="single" w:color="000000" w:sz="4" w:space="0"/>
              <w:left w:val="nil"/>
              <w:bottom w:val="nil"/>
              <w:right w:val="nil"/>
            </w:tcBorders>
            <w:shd w:val="clear" w:color="auto" w:fill="FFFFFF"/>
            <w:vAlign w:val="center"/>
          </w:tcPr>
          <w:p w14:paraId="0CFFEA80">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0.008</w:t>
            </w:r>
          </w:p>
        </w:tc>
      </w:tr>
      <w:tr w14:paraId="16980BA0">
        <w:trPr>
          <w:jc w:val="center"/>
        </w:trPr>
        <w:tc>
          <w:tcPr>
            <w:tcW w:w="1872" w:type="dxa"/>
            <w:tcBorders>
              <w:top w:val="nil"/>
              <w:left w:val="nil"/>
              <w:bottom w:val="nil"/>
              <w:right w:val="nil"/>
            </w:tcBorders>
            <w:shd w:val="clear" w:color="auto" w:fill="FFFFFF"/>
            <w:vAlign w:val="center"/>
          </w:tcPr>
          <w:p w14:paraId="2B162293">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ESS</w:t>
            </w:r>
          </w:p>
        </w:tc>
        <w:tc>
          <w:tcPr>
            <w:tcW w:w="1872" w:type="dxa"/>
            <w:tcBorders>
              <w:top w:val="nil"/>
              <w:left w:val="nil"/>
              <w:bottom w:val="nil"/>
              <w:right w:val="nil"/>
            </w:tcBorders>
            <w:shd w:val="clear" w:color="auto" w:fill="FFFFFF"/>
            <w:vAlign w:val="center"/>
          </w:tcPr>
          <w:p w14:paraId="763AEDCC">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0.053</w:t>
            </w:r>
          </w:p>
        </w:tc>
        <w:tc>
          <w:tcPr>
            <w:tcW w:w="1872" w:type="dxa"/>
            <w:tcBorders>
              <w:top w:val="nil"/>
              <w:left w:val="nil"/>
              <w:bottom w:val="nil"/>
              <w:right w:val="nil"/>
            </w:tcBorders>
            <w:shd w:val="clear" w:color="auto" w:fill="FFFFFF"/>
            <w:vAlign w:val="center"/>
          </w:tcPr>
          <w:p w14:paraId="544247AB">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0.005</w:t>
            </w:r>
          </w:p>
        </w:tc>
        <w:tc>
          <w:tcPr>
            <w:tcW w:w="1872" w:type="dxa"/>
            <w:tcBorders>
              <w:top w:val="nil"/>
              <w:left w:val="nil"/>
              <w:bottom w:val="nil"/>
              <w:right w:val="nil"/>
            </w:tcBorders>
            <w:shd w:val="clear" w:color="auto" w:fill="FFFFFF"/>
            <w:vAlign w:val="center"/>
          </w:tcPr>
          <w:p w14:paraId="5D4F0D55">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0.020</w:t>
            </w:r>
          </w:p>
        </w:tc>
        <w:tc>
          <w:tcPr>
            <w:tcW w:w="1872" w:type="dxa"/>
            <w:tcBorders>
              <w:top w:val="nil"/>
              <w:left w:val="nil"/>
              <w:bottom w:val="nil"/>
              <w:right w:val="nil"/>
            </w:tcBorders>
            <w:shd w:val="clear" w:color="auto" w:fill="FFFFFF"/>
            <w:vAlign w:val="center"/>
          </w:tcPr>
          <w:p w14:paraId="75FB85BD">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0.040</w:t>
            </w:r>
          </w:p>
        </w:tc>
      </w:tr>
      <w:tr w14:paraId="02E6E9FD">
        <w:trPr>
          <w:jc w:val="center"/>
        </w:trPr>
        <w:tc>
          <w:tcPr>
            <w:tcW w:w="1872" w:type="dxa"/>
            <w:tcBorders>
              <w:top w:val="nil"/>
              <w:left w:val="nil"/>
              <w:bottom w:val="nil"/>
              <w:right w:val="nil"/>
            </w:tcBorders>
            <w:shd w:val="clear" w:color="auto" w:fill="FFFFFF"/>
            <w:vAlign w:val="center"/>
          </w:tcPr>
          <w:p w14:paraId="1D47C9B9">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GAD7</w:t>
            </w:r>
          </w:p>
        </w:tc>
        <w:tc>
          <w:tcPr>
            <w:tcW w:w="1872" w:type="dxa"/>
            <w:tcBorders>
              <w:top w:val="nil"/>
              <w:left w:val="nil"/>
              <w:bottom w:val="nil"/>
              <w:right w:val="nil"/>
            </w:tcBorders>
            <w:shd w:val="clear" w:color="auto" w:fill="FFFFFF"/>
            <w:vAlign w:val="center"/>
          </w:tcPr>
          <w:p w14:paraId="6F19D966">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-0.055</w:t>
            </w:r>
          </w:p>
        </w:tc>
        <w:tc>
          <w:tcPr>
            <w:tcW w:w="1872" w:type="dxa"/>
            <w:tcBorders>
              <w:top w:val="nil"/>
              <w:left w:val="nil"/>
              <w:bottom w:val="nil"/>
              <w:right w:val="nil"/>
            </w:tcBorders>
            <w:shd w:val="clear" w:color="auto" w:fill="FFFFFF"/>
            <w:vAlign w:val="center"/>
          </w:tcPr>
          <w:p w14:paraId="672E7490">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0.038</w:t>
            </w:r>
          </w:p>
        </w:tc>
        <w:tc>
          <w:tcPr>
            <w:tcW w:w="1872" w:type="dxa"/>
            <w:tcBorders>
              <w:top w:val="nil"/>
              <w:left w:val="nil"/>
              <w:bottom w:val="nil"/>
              <w:right w:val="nil"/>
            </w:tcBorders>
            <w:shd w:val="clear" w:color="auto" w:fill="FFFFFF"/>
            <w:vAlign w:val="center"/>
          </w:tcPr>
          <w:p w14:paraId="691B8B3F">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0.101</w:t>
            </w:r>
          </w:p>
        </w:tc>
        <w:tc>
          <w:tcPr>
            <w:tcW w:w="1872" w:type="dxa"/>
            <w:tcBorders>
              <w:top w:val="nil"/>
              <w:left w:val="nil"/>
              <w:bottom w:val="nil"/>
              <w:right w:val="nil"/>
            </w:tcBorders>
            <w:shd w:val="clear" w:color="auto" w:fill="FFFFFF"/>
            <w:vAlign w:val="center"/>
          </w:tcPr>
          <w:p w14:paraId="568870E0">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0.304</w:t>
            </w:r>
          </w:p>
        </w:tc>
      </w:tr>
      <w:tr w14:paraId="134A6830">
        <w:trPr>
          <w:jc w:val="center"/>
        </w:trPr>
        <w:tc>
          <w:tcPr>
            <w:tcW w:w="1872" w:type="dxa"/>
            <w:tcBorders>
              <w:top w:val="nil"/>
              <w:left w:val="nil"/>
              <w:bottom w:val="nil"/>
              <w:right w:val="nil"/>
            </w:tcBorders>
            <w:shd w:val="clear" w:color="auto" w:fill="FFFFFF"/>
            <w:vAlign w:val="center"/>
          </w:tcPr>
          <w:p w14:paraId="3A08CA8F">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PHQ9</w:t>
            </w:r>
          </w:p>
        </w:tc>
        <w:tc>
          <w:tcPr>
            <w:tcW w:w="1872" w:type="dxa"/>
            <w:tcBorders>
              <w:top w:val="nil"/>
              <w:left w:val="nil"/>
              <w:bottom w:val="nil"/>
              <w:right w:val="nil"/>
            </w:tcBorders>
            <w:shd w:val="clear" w:color="auto" w:fill="FFFFFF"/>
            <w:vAlign w:val="center"/>
          </w:tcPr>
          <w:p w14:paraId="64328459">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0.016</w:t>
            </w:r>
          </w:p>
        </w:tc>
        <w:tc>
          <w:tcPr>
            <w:tcW w:w="1872" w:type="dxa"/>
            <w:tcBorders>
              <w:top w:val="nil"/>
              <w:left w:val="nil"/>
              <w:bottom w:val="nil"/>
              <w:right w:val="nil"/>
            </w:tcBorders>
            <w:shd w:val="clear" w:color="auto" w:fill="FFFFFF"/>
            <w:vAlign w:val="center"/>
          </w:tcPr>
          <w:p w14:paraId="080C41F3">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0.415</w:t>
            </w:r>
          </w:p>
        </w:tc>
        <w:tc>
          <w:tcPr>
            <w:tcW w:w="1872" w:type="dxa"/>
            <w:tcBorders>
              <w:top w:val="nil"/>
              <w:left w:val="nil"/>
              <w:bottom w:val="nil"/>
              <w:right w:val="nil"/>
            </w:tcBorders>
            <w:shd w:val="clear" w:color="auto" w:fill="FFFFFF"/>
            <w:vAlign w:val="center"/>
          </w:tcPr>
          <w:p w14:paraId="7228A77C">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0.758</w:t>
            </w:r>
          </w:p>
        </w:tc>
        <w:tc>
          <w:tcPr>
            <w:tcW w:w="1872" w:type="dxa"/>
            <w:tcBorders>
              <w:top w:val="nil"/>
              <w:left w:val="nil"/>
              <w:bottom w:val="nil"/>
              <w:right w:val="nil"/>
            </w:tcBorders>
            <w:shd w:val="clear" w:color="auto" w:fill="FFFFFF"/>
            <w:vAlign w:val="center"/>
          </w:tcPr>
          <w:p w14:paraId="2BAE9507">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1.000</w:t>
            </w:r>
          </w:p>
        </w:tc>
      </w:tr>
      <w:tr w14:paraId="6DFEF44D">
        <w:trPr>
          <w:jc w:val="center"/>
        </w:trPr>
        <w:tc>
          <w:tcPr>
            <w:tcW w:w="1872" w:type="dxa"/>
            <w:tcBorders>
              <w:top w:val="nil"/>
              <w:left w:val="nil"/>
              <w:bottom w:val="nil"/>
              <w:right w:val="nil"/>
            </w:tcBorders>
            <w:shd w:val="clear" w:color="auto" w:fill="FFFFFF"/>
            <w:vAlign w:val="center"/>
          </w:tcPr>
          <w:p w14:paraId="4930DA76">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GH</w:t>
            </w:r>
          </w:p>
        </w:tc>
        <w:tc>
          <w:tcPr>
            <w:tcW w:w="1872" w:type="dxa"/>
            <w:tcBorders>
              <w:top w:val="nil"/>
              <w:left w:val="nil"/>
              <w:bottom w:val="nil"/>
              <w:right w:val="nil"/>
            </w:tcBorders>
            <w:shd w:val="clear" w:color="auto" w:fill="FFFFFF"/>
            <w:vAlign w:val="center"/>
          </w:tcPr>
          <w:p w14:paraId="25EFA10B">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-0.010</w:t>
            </w:r>
          </w:p>
        </w:tc>
        <w:tc>
          <w:tcPr>
            <w:tcW w:w="1872" w:type="dxa"/>
            <w:tcBorders>
              <w:top w:val="nil"/>
              <w:left w:val="nil"/>
              <w:bottom w:val="nil"/>
              <w:right w:val="nil"/>
            </w:tcBorders>
            <w:shd w:val="clear" w:color="auto" w:fill="FFFFFF"/>
            <w:vAlign w:val="center"/>
          </w:tcPr>
          <w:p w14:paraId="593E2C35">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0.558</w:t>
            </w:r>
          </w:p>
        </w:tc>
        <w:tc>
          <w:tcPr>
            <w:tcW w:w="1872" w:type="dxa"/>
            <w:tcBorders>
              <w:top w:val="nil"/>
              <w:left w:val="nil"/>
              <w:bottom w:val="nil"/>
              <w:right w:val="nil"/>
            </w:tcBorders>
            <w:shd w:val="clear" w:color="auto" w:fill="FFFFFF"/>
            <w:vAlign w:val="center"/>
          </w:tcPr>
          <w:p w14:paraId="57948C5B">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0.758</w:t>
            </w:r>
          </w:p>
        </w:tc>
        <w:tc>
          <w:tcPr>
            <w:tcW w:w="1872" w:type="dxa"/>
            <w:tcBorders>
              <w:top w:val="nil"/>
              <w:left w:val="nil"/>
              <w:bottom w:val="nil"/>
              <w:right w:val="nil"/>
            </w:tcBorders>
            <w:shd w:val="clear" w:color="auto" w:fill="FFFFFF"/>
            <w:vAlign w:val="center"/>
          </w:tcPr>
          <w:p w14:paraId="604F0EFC">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1.000</w:t>
            </w:r>
          </w:p>
        </w:tc>
      </w:tr>
      <w:tr w14:paraId="0F27C3BD">
        <w:trPr>
          <w:jc w:val="center"/>
        </w:trPr>
        <w:tc>
          <w:tcPr>
            <w:tcW w:w="1872" w:type="dxa"/>
            <w:tcBorders>
              <w:top w:val="nil"/>
              <w:left w:val="nil"/>
              <w:bottom w:val="nil"/>
              <w:right w:val="nil"/>
            </w:tcBorders>
            <w:shd w:val="clear" w:color="auto" w:fill="FFFFFF"/>
            <w:vAlign w:val="center"/>
          </w:tcPr>
          <w:p w14:paraId="3CBFF23D">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PF</w:t>
            </w:r>
          </w:p>
        </w:tc>
        <w:tc>
          <w:tcPr>
            <w:tcW w:w="1872" w:type="dxa"/>
            <w:tcBorders>
              <w:top w:val="nil"/>
              <w:left w:val="nil"/>
              <w:bottom w:val="nil"/>
              <w:right w:val="nil"/>
            </w:tcBorders>
            <w:shd w:val="clear" w:color="auto" w:fill="FFFFFF"/>
            <w:vAlign w:val="center"/>
          </w:tcPr>
          <w:p w14:paraId="5165FAD1">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0.018</w:t>
            </w:r>
          </w:p>
        </w:tc>
        <w:tc>
          <w:tcPr>
            <w:tcW w:w="1872" w:type="dxa"/>
            <w:tcBorders>
              <w:top w:val="nil"/>
              <w:left w:val="nil"/>
              <w:bottom w:val="nil"/>
              <w:right w:val="nil"/>
            </w:tcBorders>
            <w:shd w:val="clear" w:color="auto" w:fill="FFFFFF"/>
            <w:vAlign w:val="center"/>
          </w:tcPr>
          <w:p w14:paraId="474B8055">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0.568</w:t>
            </w:r>
          </w:p>
        </w:tc>
        <w:tc>
          <w:tcPr>
            <w:tcW w:w="1872" w:type="dxa"/>
            <w:tcBorders>
              <w:top w:val="nil"/>
              <w:left w:val="nil"/>
              <w:bottom w:val="nil"/>
              <w:right w:val="nil"/>
            </w:tcBorders>
            <w:shd w:val="clear" w:color="auto" w:fill="FFFFFF"/>
            <w:vAlign w:val="center"/>
          </w:tcPr>
          <w:p w14:paraId="28F0CD8B">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0.758</w:t>
            </w:r>
          </w:p>
        </w:tc>
        <w:tc>
          <w:tcPr>
            <w:tcW w:w="1872" w:type="dxa"/>
            <w:tcBorders>
              <w:top w:val="nil"/>
              <w:left w:val="nil"/>
              <w:bottom w:val="nil"/>
              <w:right w:val="nil"/>
            </w:tcBorders>
            <w:shd w:val="clear" w:color="auto" w:fill="FFFFFF"/>
            <w:vAlign w:val="center"/>
          </w:tcPr>
          <w:p w14:paraId="33B7317F">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1.000</w:t>
            </w:r>
          </w:p>
        </w:tc>
      </w:tr>
      <w:tr w14:paraId="7D8B1083">
        <w:trPr>
          <w:jc w:val="center"/>
        </w:trPr>
        <w:tc>
          <w:tcPr>
            <w:tcW w:w="1872" w:type="dxa"/>
            <w:tcBorders>
              <w:top w:val="nil"/>
              <w:left w:val="nil"/>
              <w:bottom w:val="nil"/>
              <w:right w:val="nil"/>
            </w:tcBorders>
            <w:shd w:val="clear" w:color="auto" w:fill="FFFFFF"/>
            <w:vAlign w:val="center"/>
          </w:tcPr>
          <w:p w14:paraId="564370E7">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SCD</w:t>
            </w:r>
          </w:p>
        </w:tc>
        <w:tc>
          <w:tcPr>
            <w:tcW w:w="1872" w:type="dxa"/>
            <w:tcBorders>
              <w:top w:val="nil"/>
              <w:left w:val="nil"/>
              <w:bottom w:val="nil"/>
              <w:right w:val="nil"/>
            </w:tcBorders>
            <w:shd w:val="clear" w:color="auto" w:fill="FFFFFF"/>
            <w:vAlign w:val="center"/>
          </w:tcPr>
          <w:p w14:paraId="4695CE25">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-0.004</w:t>
            </w:r>
          </w:p>
        </w:tc>
        <w:tc>
          <w:tcPr>
            <w:tcW w:w="1872" w:type="dxa"/>
            <w:tcBorders>
              <w:top w:val="nil"/>
              <w:left w:val="nil"/>
              <w:bottom w:val="nil"/>
              <w:right w:val="nil"/>
            </w:tcBorders>
            <w:shd w:val="clear" w:color="auto" w:fill="FFFFFF"/>
            <w:vAlign w:val="center"/>
          </w:tcPr>
          <w:p w14:paraId="2B396905">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0.808</w:t>
            </w:r>
          </w:p>
        </w:tc>
        <w:tc>
          <w:tcPr>
            <w:tcW w:w="1872" w:type="dxa"/>
            <w:tcBorders>
              <w:top w:val="nil"/>
              <w:left w:val="nil"/>
              <w:bottom w:val="nil"/>
              <w:right w:val="nil"/>
            </w:tcBorders>
            <w:shd w:val="clear" w:color="auto" w:fill="FFFFFF"/>
            <w:vAlign w:val="center"/>
          </w:tcPr>
          <w:p w14:paraId="77D52205">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0.826</w:t>
            </w:r>
          </w:p>
        </w:tc>
        <w:tc>
          <w:tcPr>
            <w:tcW w:w="1872" w:type="dxa"/>
            <w:tcBorders>
              <w:top w:val="nil"/>
              <w:left w:val="nil"/>
              <w:bottom w:val="nil"/>
              <w:right w:val="nil"/>
            </w:tcBorders>
            <w:shd w:val="clear" w:color="auto" w:fill="FFFFFF"/>
            <w:vAlign w:val="center"/>
          </w:tcPr>
          <w:p w14:paraId="12A0FE5A">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1.000</w:t>
            </w:r>
          </w:p>
        </w:tc>
      </w:tr>
      <w:tr w14:paraId="76075DFF">
        <w:trPr>
          <w:jc w:val="center"/>
        </w:trPr>
        <w:tc>
          <w:tcPr>
            <w:tcW w:w="1872" w:type="dxa"/>
            <w:tcBorders>
              <w:top w:val="nil"/>
              <w:left w:val="nil"/>
              <w:bottom w:val="single" w:color="000000" w:sz="12" w:space="0"/>
              <w:right w:val="nil"/>
            </w:tcBorders>
            <w:shd w:val="clear" w:color="auto" w:fill="FFFFFF"/>
            <w:vAlign w:val="center"/>
          </w:tcPr>
          <w:p w14:paraId="594428F2">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ISI</w:t>
            </w:r>
          </w:p>
        </w:tc>
        <w:tc>
          <w:tcPr>
            <w:tcW w:w="1872" w:type="dxa"/>
            <w:tcBorders>
              <w:top w:val="nil"/>
              <w:left w:val="nil"/>
              <w:bottom w:val="single" w:color="000000" w:sz="12" w:space="0"/>
              <w:right w:val="nil"/>
            </w:tcBorders>
            <w:shd w:val="clear" w:color="auto" w:fill="FFFFFF"/>
            <w:vAlign w:val="center"/>
          </w:tcPr>
          <w:p w14:paraId="416B8FA2">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-0.005</w:t>
            </w:r>
          </w:p>
        </w:tc>
        <w:tc>
          <w:tcPr>
            <w:tcW w:w="1872" w:type="dxa"/>
            <w:tcBorders>
              <w:top w:val="nil"/>
              <w:left w:val="nil"/>
              <w:bottom w:val="single" w:color="000000" w:sz="12" w:space="0"/>
              <w:right w:val="nil"/>
            </w:tcBorders>
            <w:shd w:val="clear" w:color="auto" w:fill="FFFFFF"/>
            <w:vAlign w:val="center"/>
          </w:tcPr>
          <w:p w14:paraId="177C6288">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0.826</w:t>
            </w:r>
          </w:p>
        </w:tc>
        <w:tc>
          <w:tcPr>
            <w:tcW w:w="1872" w:type="dxa"/>
            <w:tcBorders>
              <w:top w:val="nil"/>
              <w:left w:val="nil"/>
              <w:bottom w:val="single" w:color="000000" w:sz="12" w:space="0"/>
              <w:right w:val="nil"/>
            </w:tcBorders>
            <w:shd w:val="clear" w:color="auto" w:fill="FFFFFF"/>
            <w:vAlign w:val="center"/>
          </w:tcPr>
          <w:p w14:paraId="4A75AD52">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0.826</w:t>
            </w:r>
          </w:p>
        </w:tc>
        <w:tc>
          <w:tcPr>
            <w:tcW w:w="1872" w:type="dxa"/>
            <w:tcBorders>
              <w:top w:val="nil"/>
              <w:left w:val="nil"/>
              <w:bottom w:val="single" w:color="000000" w:sz="12" w:space="0"/>
              <w:right w:val="nil"/>
            </w:tcBorders>
            <w:shd w:val="clear" w:color="auto" w:fill="FFFFFF"/>
            <w:vAlign w:val="center"/>
          </w:tcPr>
          <w:p w14:paraId="28896F0D">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1.000</w:t>
            </w:r>
          </w:p>
        </w:tc>
      </w:tr>
    </w:tbl>
    <w:p w14:paraId="1679D711">
      <w:pPr>
        <w:keepNext/>
        <w:spacing w:line="480" w:lineRule="auto"/>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t>Table S5. Edge differences surviving BH correction after exclusion of SF</w:t>
      </w:r>
    </w:p>
    <w:tbl>
      <w:tblPr>
        <w:tblStyle w:val="16"/>
        <w:tblW w:w="0" w:type="auto"/>
        <w:jc w:val="center"/>
        <w:tblLayout w:type="autofit"/>
        <w:tblCellMar>
          <w:top w:w="0" w:type="dxa"/>
          <w:left w:w="108" w:type="dxa"/>
          <w:bottom w:w="0" w:type="dxa"/>
          <w:right w:w="108" w:type="dxa"/>
        </w:tblCellMar>
      </w:tblPr>
      <w:tblGrid>
        <w:gridCol w:w="1197"/>
        <w:gridCol w:w="1197"/>
        <w:gridCol w:w="1197"/>
        <w:gridCol w:w="1197"/>
        <w:gridCol w:w="1197"/>
        <w:gridCol w:w="1197"/>
        <w:gridCol w:w="1197"/>
        <w:gridCol w:w="1197"/>
      </w:tblGrid>
      <w:tr w14:paraId="79B9175D">
        <w:trPr>
          <w:tblHeader/>
          <w:jc w:val="center"/>
        </w:trPr>
        <w:tc>
          <w:tcPr>
            <w:tcW w:w="1197" w:type="dxa"/>
            <w:tcBorders>
              <w:top w:val="single" w:color="000000" w:sz="12" w:space="0"/>
              <w:left w:val="nil"/>
              <w:bottom w:val="single" w:color="000000" w:sz="4" w:space="0"/>
              <w:right w:val="nil"/>
              <w:tl2br w:val="nil"/>
            </w:tcBorders>
            <w:shd w:val="clear" w:color="auto" w:fill="FFFFFF"/>
            <w:vAlign w:val="center"/>
          </w:tcPr>
          <w:p w14:paraId="3E513AE9">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Edge</w:t>
            </w:r>
          </w:p>
        </w:tc>
        <w:tc>
          <w:tcPr>
            <w:tcW w:w="1197" w:type="dxa"/>
            <w:tcBorders>
              <w:top w:val="single" w:color="000000" w:sz="12" w:space="0"/>
              <w:left w:val="nil"/>
              <w:bottom w:val="single" w:color="000000" w:sz="4" w:space="0"/>
              <w:right w:val="nil"/>
            </w:tcBorders>
            <w:shd w:val="clear" w:color="auto" w:fill="FFFFFF"/>
            <w:vAlign w:val="center"/>
          </w:tcPr>
          <w:p w14:paraId="461168FD">
            <w:pPr>
              <w:spacing w:after="0" w:line="480" w:lineRule="auto"/>
              <w:jc w:val="left"/>
              <w:rPr>
                <w:rFonts w:hint="default" w:ascii="Times New Roman Bold" w:hAnsi="Times New Roman Bold" w:cs="Times New Roman Bold"/>
                <w:b/>
                <w:bCs/>
                <w:color w:val="000000"/>
                <w:sz w:val="17"/>
                <w:highlight w:val="none"/>
              </w:rPr>
            </w:pPr>
          </w:p>
        </w:tc>
        <w:tc>
          <w:tcPr>
            <w:tcW w:w="1197" w:type="dxa"/>
            <w:tcBorders>
              <w:top w:val="single" w:color="000000" w:sz="12" w:space="0"/>
              <w:left w:val="nil"/>
              <w:bottom w:val="single" w:color="000000" w:sz="4" w:space="0"/>
              <w:right w:val="nil"/>
            </w:tcBorders>
            <w:shd w:val="clear" w:color="auto" w:fill="FFFFFF"/>
            <w:vAlign w:val="center"/>
          </w:tcPr>
          <w:p w14:paraId="7DEFC1A7">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Urban</w:t>
            </w:r>
          </w:p>
        </w:tc>
        <w:tc>
          <w:tcPr>
            <w:tcW w:w="1197" w:type="dxa"/>
            <w:tcBorders>
              <w:top w:val="single" w:color="000000" w:sz="12" w:space="0"/>
              <w:left w:val="nil"/>
              <w:bottom w:val="single" w:color="000000" w:sz="4" w:space="0"/>
              <w:right w:val="nil"/>
            </w:tcBorders>
            <w:shd w:val="clear" w:color="auto" w:fill="FFFFFF"/>
            <w:vAlign w:val="center"/>
          </w:tcPr>
          <w:p w14:paraId="59B4B77A">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Rural</w:t>
            </w:r>
          </w:p>
        </w:tc>
        <w:tc>
          <w:tcPr>
            <w:tcW w:w="1197" w:type="dxa"/>
            <w:tcBorders>
              <w:top w:val="single" w:color="000000" w:sz="12" w:space="0"/>
              <w:left w:val="nil"/>
              <w:bottom w:val="single" w:color="000000" w:sz="4" w:space="0"/>
              <w:right w:val="nil"/>
            </w:tcBorders>
            <w:shd w:val="clear" w:color="auto" w:fill="FFFFFF"/>
            <w:vAlign w:val="center"/>
          </w:tcPr>
          <w:p w14:paraId="21268D3A">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Δ U−R</w:t>
            </w:r>
          </w:p>
        </w:tc>
        <w:tc>
          <w:tcPr>
            <w:tcW w:w="1197" w:type="dxa"/>
            <w:tcBorders>
              <w:top w:val="single" w:color="000000" w:sz="12" w:space="0"/>
              <w:left w:val="nil"/>
              <w:bottom w:val="single" w:color="000000" w:sz="4" w:space="0"/>
              <w:right w:val="nil"/>
            </w:tcBorders>
            <w:shd w:val="clear" w:color="auto" w:fill="FFFFFF"/>
            <w:vAlign w:val="center"/>
          </w:tcPr>
          <w:p w14:paraId="37C1C87F">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Raw p</w:t>
            </w:r>
          </w:p>
        </w:tc>
        <w:tc>
          <w:tcPr>
            <w:tcW w:w="1197" w:type="dxa"/>
            <w:tcBorders>
              <w:top w:val="single" w:color="000000" w:sz="12" w:space="0"/>
              <w:left w:val="nil"/>
              <w:bottom w:val="single" w:color="000000" w:sz="4" w:space="0"/>
              <w:right w:val="nil"/>
            </w:tcBorders>
            <w:shd w:val="clear" w:color="auto" w:fill="FFFFFF"/>
            <w:vAlign w:val="center"/>
          </w:tcPr>
          <w:p w14:paraId="6045A85D">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pBH</w:t>
            </w:r>
          </w:p>
        </w:tc>
        <w:tc>
          <w:tcPr>
            <w:tcW w:w="1197" w:type="dxa"/>
            <w:tcBorders>
              <w:top w:val="single" w:color="000000" w:sz="12" w:space="0"/>
              <w:left w:val="nil"/>
              <w:bottom w:val="single" w:color="000000" w:sz="4" w:space="0"/>
              <w:right w:val="nil"/>
            </w:tcBorders>
            <w:shd w:val="clear" w:color="auto" w:fill="FFFFFF"/>
            <w:vAlign w:val="center"/>
          </w:tcPr>
          <w:p w14:paraId="6AAB8A18">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pBon</w:t>
            </w:r>
          </w:p>
        </w:tc>
      </w:tr>
      <w:tr w14:paraId="05329913">
        <w:trPr>
          <w:jc w:val="center"/>
        </w:trPr>
        <w:tc>
          <w:tcPr>
            <w:tcW w:w="1197" w:type="dxa"/>
            <w:tcBorders>
              <w:top w:val="single" w:color="000000" w:sz="4" w:space="0"/>
              <w:left w:val="nil"/>
              <w:bottom w:val="nil"/>
              <w:right w:val="nil"/>
            </w:tcBorders>
            <w:shd w:val="clear" w:color="auto" w:fill="FFFFFF"/>
            <w:vAlign w:val="center"/>
          </w:tcPr>
          <w:p w14:paraId="6F1EDA5A">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PHQ9–SCD</w:t>
            </w:r>
          </w:p>
        </w:tc>
        <w:tc>
          <w:tcPr>
            <w:tcW w:w="1197" w:type="dxa"/>
            <w:tcBorders>
              <w:top w:val="single" w:color="000000" w:sz="4" w:space="0"/>
              <w:left w:val="nil"/>
              <w:bottom w:val="nil"/>
              <w:right w:val="nil"/>
            </w:tcBorders>
            <w:shd w:val="clear" w:color="auto" w:fill="FFFFFF"/>
            <w:vAlign w:val="center"/>
          </w:tcPr>
          <w:p w14:paraId="1255880E">
            <w:pPr>
              <w:spacing w:after="0" w:line="480" w:lineRule="auto"/>
              <w:jc w:val="left"/>
              <w:rPr>
                <w:rFonts w:hint="default" w:ascii="Times New Roman Regular" w:hAnsi="Times New Roman Regular" w:cs="Times New Roman Regular"/>
                <w:b w:val="0"/>
                <w:bCs w:val="0"/>
                <w:color w:val="000000"/>
                <w:sz w:val="17"/>
                <w:highlight w:val="none"/>
              </w:rPr>
            </w:pPr>
          </w:p>
        </w:tc>
        <w:tc>
          <w:tcPr>
            <w:tcW w:w="1197" w:type="dxa"/>
            <w:tcBorders>
              <w:top w:val="single" w:color="000000" w:sz="4" w:space="0"/>
              <w:left w:val="nil"/>
              <w:bottom w:val="nil"/>
              <w:right w:val="nil"/>
            </w:tcBorders>
            <w:shd w:val="clear" w:color="auto" w:fill="FFFFFF"/>
            <w:vAlign w:val="center"/>
          </w:tcPr>
          <w:p w14:paraId="6BA6C9FF">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0.136</w:t>
            </w:r>
          </w:p>
        </w:tc>
        <w:tc>
          <w:tcPr>
            <w:tcW w:w="1197" w:type="dxa"/>
            <w:tcBorders>
              <w:top w:val="single" w:color="000000" w:sz="4" w:space="0"/>
              <w:left w:val="nil"/>
              <w:bottom w:val="nil"/>
              <w:right w:val="nil"/>
            </w:tcBorders>
            <w:shd w:val="clear" w:color="auto" w:fill="FFFFFF"/>
            <w:vAlign w:val="center"/>
          </w:tcPr>
          <w:p w14:paraId="5E60DD43">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0.093</w:t>
            </w:r>
          </w:p>
        </w:tc>
        <w:tc>
          <w:tcPr>
            <w:tcW w:w="1197" w:type="dxa"/>
            <w:tcBorders>
              <w:top w:val="single" w:color="000000" w:sz="4" w:space="0"/>
              <w:left w:val="nil"/>
              <w:bottom w:val="nil"/>
              <w:right w:val="nil"/>
            </w:tcBorders>
            <w:shd w:val="clear" w:color="auto" w:fill="FFFFFF"/>
            <w:vAlign w:val="center"/>
          </w:tcPr>
          <w:p w14:paraId="5F0B0793">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0.042</w:t>
            </w:r>
          </w:p>
        </w:tc>
        <w:tc>
          <w:tcPr>
            <w:tcW w:w="1197" w:type="dxa"/>
            <w:tcBorders>
              <w:top w:val="single" w:color="000000" w:sz="4" w:space="0"/>
              <w:left w:val="nil"/>
              <w:bottom w:val="nil"/>
              <w:right w:val="nil"/>
            </w:tcBorders>
            <w:shd w:val="clear" w:color="auto" w:fill="FFFFFF"/>
            <w:vAlign w:val="center"/>
          </w:tcPr>
          <w:p w14:paraId="3A5130FF">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0.001</w:t>
            </w:r>
          </w:p>
        </w:tc>
        <w:tc>
          <w:tcPr>
            <w:tcW w:w="1197" w:type="dxa"/>
            <w:tcBorders>
              <w:top w:val="single" w:color="000000" w:sz="4" w:space="0"/>
              <w:left w:val="nil"/>
              <w:bottom w:val="nil"/>
              <w:right w:val="nil"/>
            </w:tcBorders>
            <w:shd w:val="clear" w:color="auto" w:fill="FFFFFF"/>
            <w:vAlign w:val="center"/>
          </w:tcPr>
          <w:p w14:paraId="1C040FE8">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0.009</w:t>
            </w:r>
          </w:p>
        </w:tc>
        <w:tc>
          <w:tcPr>
            <w:tcW w:w="1197" w:type="dxa"/>
            <w:tcBorders>
              <w:top w:val="single" w:color="000000" w:sz="4" w:space="0"/>
              <w:left w:val="nil"/>
              <w:bottom w:val="nil"/>
              <w:right w:val="nil"/>
            </w:tcBorders>
            <w:shd w:val="clear" w:color="auto" w:fill="FFFFFF"/>
            <w:vAlign w:val="center"/>
          </w:tcPr>
          <w:p w14:paraId="37F50040">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0.028</w:t>
            </w:r>
          </w:p>
        </w:tc>
      </w:tr>
      <w:tr w14:paraId="5743770E">
        <w:trPr>
          <w:jc w:val="center"/>
        </w:trPr>
        <w:tc>
          <w:tcPr>
            <w:tcW w:w="1197" w:type="dxa"/>
            <w:tcBorders>
              <w:top w:val="nil"/>
              <w:left w:val="nil"/>
              <w:bottom w:val="nil"/>
              <w:right w:val="nil"/>
            </w:tcBorders>
            <w:shd w:val="clear" w:color="auto" w:fill="FFFFFF"/>
            <w:vAlign w:val="center"/>
          </w:tcPr>
          <w:p w14:paraId="1BE659B1">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ESS–AD8</w:t>
            </w:r>
          </w:p>
        </w:tc>
        <w:tc>
          <w:tcPr>
            <w:tcW w:w="1197" w:type="dxa"/>
            <w:tcBorders>
              <w:top w:val="nil"/>
              <w:left w:val="nil"/>
              <w:bottom w:val="nil"/>
              <w:right w:val="nil"/>
            </w:tcBorders>
            <w:shd w:val="clear" w:color="auto" w:fill="FFFFFF"/>
            <w:vAlign w:val="center"/>
          </w:tcPr>
          <w:p w14:paraId="0D0BDAA9">
            <w:pPr>
              <w:spacing w:after="0" w:line="480" w:lineRule="auto"/>
              <w:jc w:val="left"/>
              <w:rPr>
                <w:rFonts w:hint="default" w:ascii="Times New Roman Regular" w:hAnsi="Times New Roman Regular" w:cs="Times New Roman Regular"/>
                <w:b w:val="0"/>
                <w:bCs w:val="0"/>
                <w:color w:val="000000"/>
                <w:sz w:val="17"/>
                <w:highlight w:val="none"/>
              </w:rPr>
            </w:pPr>
          </w:p>
        </w:tc>
        <w:tc>
          <w:tcPr>
            <w:tcW w:w="1197" w:type="dxa"/>
            <w:tcBorders>
              <w:top w:val="nil"/>
              <w:left w:val="nil"/>
              <w:bottom w:val="nil"/>
              <w:right w:val="nil"/>
            </w:tcBorders>
            <w:shd w:val="clear" w:color="auto" w:fill="FFFFFF"/>
            <w:vAlign w:val="center"/>
          </w:tcPr>
          <w:p w14:paraId="030B11B1">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0.085</w:t>
            </w:r>
          </w:p>
        </w:tc>
        <w:tc>
          <w:tcPr>
            <w:tcW w:w="1197" w:type="dxa"/>
            <w:tcBorders>
              <w:top w:val="nil"/>
              <w:left w:val="nil"/>
              <w:bottom w:val="nil"/>
              <w:right w:val="nil"/>
            </w:tcBorders>
            <w:shd w:val="clear" w:color="auto" w:fill="FFFFFF"/>
            <w:vAlign w:val="center"/>
          </w:tcPr>
          <w:p w14:paraId="3F7E96D2">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0.015</w:t>
            </w:r>
          </w:p>
        </w:tc>
        <w:tc>
          <w:tcPr>
            <w:tcW w:w="1197" w:type="dxa"/>
            <w:tcBorders>
              <w:top w:val="nil"/>
              <w:left w:val="nil"/>
              <w:bottom w:val="nil"/>
              <w:right w:val="nil"/>
            </w:tcBorders>
            <w:shd w:val="clear" w:color="auto" w:fill="FFFFFF"/>
            <w:vAlign w:val="center"/>
          </w:tcPr>
          <w:p w14:paraId="1246F490">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0.069</w:t>
            </w:r>
          </w:p>
        </w:tc>
        <w:tc>
          <w:tcPr>
            <w:tcW w:w="1197" w:type="dxa"/>
            <w:tcBorders>
              <w:top w:val="nil"/>
              <w:left w:val="nil"/>
              <w:bottom w:val="nil"/>
              <w:right w:val="nil"/>
            </w:tcBorders>
            <w:shd w:val="clear" w:color="auto" w:fill="FFFFFF"/>
            <w:vAlign w:val="center"/>
          </w:tcPr>
          <w:p w14:paraId="2E763BD0">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0.001</w:t>
            </w:r>
          </w:p>
        </w:tc>
        <w:tc>
          <w:tcPr>
            <w:tcW w:w="1197" w:type="dxa"/>
            <w:tcBorders>
              <w:top w:val="nil"/>
              <w:left w:val="nil"/>
              <w:bottom w:val="nil"/>
              <w:right w:val="nil"/>
            </w:tcBorders>
            <w:shd w:val="clear" w:color="auto" w:fill="FFFFFF"/>
            <w:vAlign w:val="center"/>
          </w:tcPr>
          <w:p w14:paraId="555600A3">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0.009</w:t>
            </w:r>
          </w:p>
        </w:tc>
        <w:tc>
          <w:tcPr>
            <w:tcW w:w="1197" w:type="dxa"/>
            <w:tcBorders>
              <w:top w:val="nil"/>
              <w:left w:val="nil"/>
              <w:bottom w:val="nil"/>
              <w:right w:val="nil"/>
            </w:tcBorders>
            <w:shd w:val="clear" w:color="auto" w:fill="FFFFFF"/>
            <w:vAlign w:val="center"/>
          </w:tcPr>
          <w:p w14:paraId="4E6B7717">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0.028</w:t>
            </w:r>
          </w:p>
        </w:tc>
      </w:tr>
      <w:tr w14:paraId="67CB3D45">
        <w:trPr>
          <w:jc w:val="center"/>
        </w:trPr>
        <w:tc>
          <w:tcPr>
            <w:tcW w:w="1197" w:type="dxa"/>
            <w:tcBorders>
              <w:top w:val="nil"/>
              <w:left w:val="nil"/>
              <w:bottom w:val="nil"/>
              <w:right w:val="nil"/>
            </w:tcBorders>
            <w:shd w:val="clear" w:color="auto" w:fill="FFFFFF"/>
            <w:vAlign w:val="center"/>
          </w:tcPr>
          <w:p w14:paraId="6A4704BF">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PHQ9–AD8</w:t>
            </w:r>
          </w:p>
        </w:tc>
        <w:tc>
          <w:tcPr>
            <w:tcW w:w="1197" w:type="dxa"/>
            <w:tcBorders>
              <w:top w:val="nil"/>
              <w:left w:val="nil"/>
              <w:bottom w:val="nil"/>
              <w:right w:val="nil"/>
            </w:tcBorders>
            <w:shd w:val="clear" w:color="auto" w:fill="FFFFFF"/>
            <w:vAlign w:val="center"/>
          </w:tcPr>
          <w:p w14:paraId="7D3B6B8F">
            <w:pPr>
              <w:spacing w:after="0" w:line="480" w:lineRule="auto"/>
              <w:jc w:val="left"/>
              <w:rPr>
                <w:rFonts w:hint="default" w:ascii="Times New Roman Regular" w:hAnsi="Times New Roman Regular" w:cs="Times New Roman Regular"/>
                <w:b w:val="0"/>
                <w:bCs w:val="0"/>
                <w:color w:val="000000"/>
                <w:sz w:val="17"/>
                <w:highlight w:val="none"/>
              </w:rPr>
            </w:pPr>
          </w:p>
        </w:tc>
        <w:tc>
          <w:tcPr>
            <w:tcW w:w="1197" w:type="dxa"/>
            <w:tcBorders>
              <w:top w:val="nil"/>
              <w:left w:val="nil"/>
              <w:bottom w:val="nil"/>
              <w:right w:val="nil"/>
            </w:tcBorders>
            <w:shd w:val="clear" w:color="auto" w:fill="FFFFFF"/>
            <w:vAlign w:val="center"/>
          </w:tcPr>
          <w:p w14:paraId="1485746A">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0.029</w:t>
            </w:r>
          </w:p>
        </w:tc>
        <w:tc>
          <w:tcPr>
            <w:tcW w:w="1197" w:type="dxa"/>
            <w:tcBorders>
              <w:top w:val="nil"/>
              <w:left w:val="nil"/>
              <w:bottom w:val="nil"/>
              <w:right w:val="nil"/>
            </w:tcBorders>
            <w:shd w:val="clear" w:color="auto" w:fill="FFFFFF"/>
            <w:vAlign w:val="center"/>
          </w:tcPr>
          <w:p w14:paraId="4DEB1FFF">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0.075</w:t>
            </w:r>
          </w:p>
        </w:tc>
        <w:tc>
          <w:tcPr>
            <w:tcW w:w="1197" w:type="dxa"/>
            <w:tcBorders>
              <w:top w:val="nil"/>
              <w:left w:val="nil"/>
              <w:bottom w:val="nil"/>
              <w:right w:val="nil"/>
            </w:tcBorders>
            <w:shd w:val="clear" w:color="auto" w:fill="FFFFFF"/>
            <w:vAlign w:val="center"/>
          </w:tcPr>
          <w:p w14:paraId="5413D51F">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-0.046</w:t>
            </w:r>
          </w:p>
        </w:tc>
        <w:tc>
          <w:tcPr>
            <w:tcW w:w="1197" w:type="dxa"/>
            <w:tcBorders>
              <w:top w:val="nil"/>
              <w:left w:val="nil"/>
              <w:bottom w:val="nil"/>
              <w:right w:val="nil"/>
            </w:tcBorders>
            <w:shd w:val="clear" w:color="auto" w:fill="FFFFFF"/>
            <w:vAlign w:val="center"/>
          </w:tcPr>
          <w:p w14:paraId="23472956">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0.001</w:t>
            </w:r>
          </w:p>
        </w:tc>
        <w:tc>
          <w:tcPr>
            <w:tcW w:w="1197" w:type="dxa"/>
            <w:tcBorders>
              <w:top w:val="nil"/>
              <w:left w:val="nil"/>
              <w:bottom w:val="nil"/>
              <w:right w:val="nil"/>
            </w:tcBorders>
            <w:shd w:val="clear" w:color="auto" w:fill="FFFFFF"/>
            <w:vAlign w:val="center"/>
          </w:tcPr>
          <w:p w14:paraId="349F46F3">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0.009</w:t>
            </w:r>
          </w:p>
        </w:tc>
        <w:tc>
          <w:tcPr>
            <w:tcW w:w="1197" w:type="dxa"/>
            <w:tcBorders>
              <w:top w:val="nil"/>
              <w:left w:val="nil"/>
              <w:bottom w:val="nil"/>
              <w:right w:val="nil"/>
            </w:tcBorders>
            <w:shd w:val="clear" w:color="auto" w:fill="FFFFFF"/>
            <w:vAlign w:val="center"/>
          </w:tcPr>
          <w:p w14:paraId="0E765D85">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0.028</w:t>
            </w:r>
          </w:p>
        </w:tc>
      </w:tr>
      <w:tr w14:paraId="4C3F5DB2">
        <w:trPr>
          <w:jc w:val="center"/>
        </w:trPr>
        <w:tc>
          <w:tcPr>
            <w:tcW w:w="1197" w:type="dxa"/>
            <w:tcBorders>
              <w:top w:val="nil"/>
              <w:left w:val="nil"/>
              <w:bottom w:val="nil"/>
              <w:right w:val="nil"/>
            </w:tcBorders>
            <w:shd w:val="clear" w:color="auto" w:fill="FFFFFF"/>
            <w:vAlign w:val="center"/>
          </w:tcPr>
          <w:p w14:paraId="570E23F5">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ESS–GAD7</w:t>
            </w:r>
          </w:p>
        </w:tc>
        <w:tc>
          <w:tcPr>
            <w:tcW w:w="1197" w:type="dxa"/>
            <w:tcBorders>
              <w:top w:val="nil"/>
              <w:left w:val="nil"/>
              <w:bottom w:val="nil"/>
              <w:right w:val="nil"/>
            </w:tcBorders>
            <w:shd w:val="clear" w:color="auto" w:fill="FFFFFF"/>
            <w:vAlign w:val="center"/>
          </w:tcPr>
          <w:p w14:paraId="2AAF3984">
            <w:pPr>
              <w:spacing w:after="0" w:line="480" w:lineRule="auto"/>
              <w:jc w:val="left"/>
              <w:rPr>
                <w:rFonts w:hint="default" w:ascii="Times New Roman Regular" w:hAnsi="Times New Roman Regular" w:cs="Times New Roman Regular"/>
                <w:b w:val="0"/>
                <w:bCs w:val="0"/>
                <w:color w:val="000000"/>
                <w:sz w:val="17"/>
                <w:highlight w:val="none"/>
              </w:rPr>
            </w:pPr>
          </w:p>
        </w:tc>
        <w:tc>
          <w:tcPr>
            <w:tcW w:w="1197" w:type="dxa"/>
            <w:tcBorders>
              <w:top w:val="nil"/>
              <w:left w:val="nil"/>
              <w:bottom w:val="nil"/>
              <w:right w:val="nil"/>
            </w:tcBorders>
            <w:shd w:val="clear" w:color="auto" w:fill="FFFFFF"/>
            <w:vAlign w:val="center"/>
          </w:tcPr>
          <w:p w14:paraId="54E5F083">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0.044</w:t>
            </w:r>
          </w:p>
        </w:tc>
        <w:tc>
          <w:tcPr>
            <w:tcW w:w="1197" w:type="dxa"/>
            <w:tcBorders>
              <w:top w:val="nil"/>
              <w:left w:val="nil"/>
              <w:bottom w:val="nil"/>
              <w:right w:val="nil"/>
            </w:tcBorders>
            <w:shd w:val="clear" w:color="auto" w:fill="FFFFFF"/>
            <w:vAlign w:val="center"/>
          </w:tcPr>
          <w:p w14:paraId="746E24ED">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0.088</w:t>
            </w:r>
          </w:p>
        </w:tc>
        <w:tc>
          <w:tcPr>
            <w:tcW w:w="1197" w:type="dxa"/>
            <w:tcBorders>
              <w:top w:val="nil"/>
              <w:left w:val="nil"/>
              <w:bottom w:val="nil"/>
              <w:right w:val="nil"/>
            </w:tcBorders>
            <w:shd w:val="clear" w:color="auto" w:fill="FFFFFF"/>
            <w:vAlign w:val="center"/>
          </w:tcPr>
          <w:p w14:paraId="2AFB2831">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-0.044</w:t>
            </w:r>
          </w:p>
        </w:tc>
        <w:tc>
          <w:tcPr>
            <w:tcW w:w="1197" w:type="dxa"/>
            <w:tcBorders>
              <w:top w:val="nil"/>
              <w:left w:val="nil"/>
              <w:bottom w:val="nil"/>
              <w:right w:val="nil"/>
            </w:tcBorders>
            <w:shd w:val="clear" w:color="auto" w:fill="FFFFFF"/>
            <w:vAlign w:val="center"/>
          </w:tcPr>
          <w:p w14:paraId="49D2A49A">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0.002</w:t>
            </w:r>
          </w:p>
        </w:tc>
        <w:tc>
          <w:tcPr>
            <w:tcW w:w="1197" w:type="dxa"/>
            <w:tcBorders>
              <w:top w:val="nil"/>
              <w:left w:val="nil"/>
              <w:bottom w:val="nil"/>
              <w:right w:val="nil"/>
            </w:tcBorders>
            <w:shd w:val="clear" w:color="auto" w:fill="FFFFFF"/>
            <w:vAlign w:val="center"/>
          </w:tcPr>
          <w:p w14:paraId="0B1DAD4F">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0.014</w:t>
            </w:r>
          </w:p>
        </w:tc>
        <w:tc>
          <w:tcPr>
            <w:tcW w:w="1197" w:type="dxa"/>
            <w:tcBorders>
              <w:top w:val="nil"/>
              <w:left w:val="nil"/>
              <w:bottom w:val="nil"/>
              <w:right w:val="nil"/>
            </w:tcBorders>
            <w:shd w:val="clear" w:color="auto" w:fill="FFFFFF"/>
            <w:vAlign w:val="center"/>
          </w:tcPr>
          <w:p w14:paraId="3C445C0C">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0.056</w:t>
            </w:r>
          </w:p>
        </w:tc>
      </w:tr>
      <w:tr w14:paraId="7AEEB465">
        <w:trPr>
          <w:jc w:val="center"/>
        </w:trPr>
        <w:tc>
          <w:tcPr>
            <w:tcW w:w="1197" w:type="dxa"/>
            <w:tcBorders>
              <w:top w:val="nil"/>
              <w:left w:val="nil"/>
              <w:bottom w:val="single" w:color="000000" w:sz="12" w:space="0"/>
              <w:right w:val="nil"/>
            </w:tcBorders>
            <w:shd w:val="clear" w:color="auto" w:fill="FFFFFF"/>
            <w:vAlign w:val="center"/>
          </w:tcPr>
          <w:p w14:paraId="3A568E5A">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ISI–GH</w:t>
            </w:r>
          </w:p>
        </w:tc>
        <w:tc>
          <w:tcPr>
            <w:tcW w:w="1197" w:type="dxa"/>
            <w:tcBorders>
              <w:top w:val="nil"/>
              <w:left w:val="nil"/>
              <w:bottom w:val="single" w:color="000000" w:sz="12" w:space="0"/>
              <w:right w:val="nil"/>
            </w:tcBorders>
            <w:shd w:val="clear" w:color="auto" w:fill="FFFFFF"/>
            <w:vAlign w:val="center"/>
          </w:tcPr>
          <w:p w14:paraId="273CAD7D">
            <w:pPr>
              <w:spacing w:after="0" w:line="480" w:lineRule="auto"/>
              <w:jc w:val="left"/>
              <w:rPr>
                <w:rFonts w:hint="default" w:ascii="Times New Roman Regular" w:hAnsi="Times New Roman Regular" w:cs="Times New Roman Regular"/>
                <w:b w:val="0"/>
                <w:bCs w:val="0"/>
                <w:color w:val="000000"/>
                <w:sz w:val="17"/>
                <w:highlight w:val="none"/>
              </w:rPr>
            </w:pPr>
          </w:p>
        </w:tc>
        <w:tc>
          <w:tcPr>
            <w:tcW w:w="1197" w:type="dxa"/>
            <w:tcBorders>
              <w:top w:val="nil"/>
              <w:left w:val="nil"/>
              <w:bottom w:val="single" w:color="000000" w:sz="12" w:space="0"/>
              <w:right w:val="nil"/>
            </w:tcBorders>
            <w:shd w:val="clear" w:color="auto" w:fill="FFFFFF"/>
            <w:vAlign w:val="center"/>
          </w:tcPr>
          <w:p w14:paraId="1E476A4E">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-0.088</w:t>
            </w:r>
          </w:p>
        </w:tc>
        <w:tc>
          <w:tcPr>
            <w:tcW w:w="1197" w:type="dxa"/>
            <w:tcBorders>
              <w:top w:val="nil"/>
              <w:left w:val="nil"/>
              <w:bottom w:val="single" w:color="000000" w:sz="12" w:space="0"/>
              <w:right w:val="nil"/>
            </w:tcBorders>
            <w:shd w:val="clear" w:color="auto" w:fill="FFFFFF"/>
            <w:vAlign w:val="center"/>
          </w:tcPr>
          <w:p w14:paraId="4C56E62A">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-0.120</w:t>
            </w:r>
          </w:p>
        </w:tc>
        <w:tc>
          <w:tcPr>
            <w:tcW w:w="1197" w:type="dxa"/>
            <w:tcBorders>
              <w:top w:val="nil"/>
              <w:left w:val="nil"/>
              <w:bottom w:val="single" w:color="000000" w:sz="12" w:space="0"/>
              <w:right w:val="nil"/>
            </w:tcBorders>
            <w:shd w:val="clear" w:color="auto" w:fill="FFFFFF"/>
            <w:vAlign w:val="center"/>
          </w:tcPr>
          <w:p w14:paraId="2AFA657B">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0.032</w:t>
            </w:r>
          </w:p>
        </w:tc>
        <w:tc>
          <w:tcPr>
            <w:tcW w:w="1197" w:type="dxa"/>
            <w:tcBorders>
              <w:top w:val="nil"/>
              <w:left w:val="nil"/>
              <w:bottom w:val="single" w:color="000000" w:sz="12" w:space="0"/>
              <w:right w:val="nil"/>
            </w:tcBorders>
            <w:shd w:val="clear" w:color="auto" w:fill="FFFFFF"/>
            <w:vAlign w:val="center"/>
          </w:tcPr>
          <w:p w14:paraId="566CED07">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0.007</w:t>
            </w:r>
          </w:p>
        </w:tc>
        <w:tc>
          <w:tcPr>
            <w:tcW w:w="1197" w:type="dxa"/>
            <w:tcBorders>
              <w:top w:val="nil"/>
              <w:left w:val="nil"/>
              <w:bottom w:val="single" w:color="000000" w:sz="12" w:space="0"/>
              <w:right w:val="nil"/>
            </w:tcBorders>
            <w:shd w:val="clear" w:color="auto" w:fill="FFFFFF"/>
            <w:vAlign w:val="center"/>
          </w:tcPr>
          <w:p w14:paraId="2232B898">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0.039</w:t>
            </w:r>
          </w:p>
        </w:tc>
        <w:tc>
          <w:tcPr>
            <w:tcW w:w="1197" w:type="dxa"/>
            <w:tcBorders>
              <w:top w:val="nil"/>
              <w:left w:val="nil"/>
              <w:bottom w:val="single" w:color="000000" w:sz="12" w:space="0"/>
              <w:right w:val="nil"/>
            </w:tcBorders>
            <w:shd w:val="clear" w:color="auto" w:fill="FFFFFF"/>
            <w:vAlign w:val="center"/>
          </w:tcPr>
          <w:p w14:paraId="52487412">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0.196</w:t>
            </w:r>
          </w:p>
        </w:tc>
      </w:tr>
    </w:tbl>
    <w:p w14:paraId="7FCA8140">
      <w:pPr>
        <w:keepNext/>
        <w:spacing w:line="480" w:lineRule="auto"/>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t>Table S6. Concordance between primary and no-SF networks</w:t>
      </w:r>
    </w:p>
    <w:tbl>
      <w:tblPr>
        <w:tblStyle w:val="16"/>
        <w:tblW w:w="0" w:type="auto"/>
        <w:jc w:val="center"/>
        <w:tblLayout w:type="autofit"/>
        <w:tblCellMar>
          <w:top w:w="0" w:type="dxa"/>
          <w:left w:w="108" w:type="dxa"/>
          <w:bottom w:w="0" w:type="dxa"/>
          <w:right w:w="108" w:type="dxa"/>
        </w:tblCellMar>
      </w:tblPr>
      <w:tblGrid>
        <w:gridCol w:w="1872"/>
        <w:gridCol w:w="1872"/>
        <w:gridCol w:w="1872"/>
        <w:gridCol w:w="1872"/>
        <w:gridCol w:w="1872"/>
      </w:tblGrid>
      <w:tr w14:paraId="02FDB905">
        <w:trPr>
          <w:tblHeader/>
          <w:jc w:val="center"/>
        </w:trPr>
        <w:tc>
          <w:tcPr>
            <w:tcW w:w="1872" w:type="dxa"/>
            <w:tcBorders>
              <w:top w:val="single" w:color="000000" w:sz="12" w:space="0"/>
              <w:left w:val="nil"/>
              <w:bottom w:val="single" w:color="000000" w:sz="4" w:space="0"/>
              <w:right w:val="nil"/>
              <w:tl2br w:val="nil"/>
            </w:tcBorders>
            <w:shd w:val="clear" w:color="auto" w:fill="FFFFFF"/>
            <w:vAlign w:val="center"/>
          </w:tcPr>
          <w:p w14:paraId="19B13319">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Network</w:t>
            </w:r>
          </w:p>
        </w:tc>
        <w:tc>
          <w:tcPr>
            <w:tcW w:w="1872" w:type="dxa"/>
            <w:tcBorders>
              <w:top w:val="single" w:color="000000" w:sz="12" w:space="0"/>
              <w:left w:val="nil"/>
              <w:bottom w:val="single" w:color="000000" w:sz="4" w:space="0"/>
              <w:right w:val="nil"/>
            </w:tcBorders>
            <w:shd w:val="clear" w:color="auto" w:fill="FFFFFF"/>
            <w:vAlign w:val="center"/>
          </w:tcPr>
          <w:p w14:paraId="14A2FFE0">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Edge Pearson r</w:t>
            </w:r>
          </w:p>
        </w:tc>
        <w:tc>
          <w:tcPr>
            <w:tcW w:w="1872" w:type="dxa"/>
            <w:tcBorders>
              <w:top w:val="single" w:color="000000" w:sz="12" w:space="0"/>
              <w:left w:val="nil"/>
              <w:bottom w:val="single" w:color="000000" w:sz="4" w:space="0"/>
              <w:right w:val="nil"/>
            </w:tcBorders>
            <w:shd w:val="clear" w:color="auto" w:fill="FFFFFF"/>
            <w:vAlign w:val="center"/>
          </w:tcPr>
          <w:p w14:paraId="56DB255F">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Edge Spearman ρ</w:t>
            </w:r>
          </w:p>
        </w:tc>
        <w:tc>
          <w:tcPr>
            <w:tcW w:w="1872" w:type="dxa"/>
            <w:tcBorders>
              <w:top w:val="single" w:color="000000" w:sz="12" w:space="0"/>
              <w:left w:val="nil"/>
              <w:bottom w:val="single" w:color="000000" w:sz="4" w:space="0"/>
              <w:right w:val="nil"/>
            </w:tcBorders>
            <w:shd w:val="clear" w:color="auto" w:fill="FFFFFF"/>
            <w:vAlign w:val="center"/>
          </w:tcPr>
          <w:p w14:paraId="65FC72D1">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Strength Pearson r</w:t>
            </w:r>
          </w:p>
        </w:tc>
        <w:tc>
          <w:tcPr>
            <w:tcW w:w="1872" w:type="dxa"/>
            <w:tcBorders>
              <w:top w:val="single" w:color="000000" w:sz="12" w:space="0"/>
              <w:left w:val="nil"/>
              <w:bottom w:val="single" w:color="000000" w:sz="4" w:space="0"/>
              <w:right w:val="nil"/>
            </w:tcBorders>
            <w:shd w:val="clear" w:color="auto" w:fill="FFFFFF"/>
            <w:vAlign w:val="center"/>
          </w:tcPr>
          <w:p w14:paraId="7A6E9702">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Strength Spearman ρ</w:t>
            </w:r>
          </w:p>
        </w:tc>
      </w:tr>
      <w:tr w14:paraId="08BE06BD">
        <w:trPr>
          <w:jc w:val="center"/>
        </w:trPr>
        <w:tc>
          <w:tcPr>
            <w:tcW w:w="1872" w:type="dxa"/>
            <w:tcBorders>
              <w:top w:val="single" w:color="000000" w:sz="4" w:space="0"/>
              <w:left w:val="nil"/>
              <w:bottom w:val="nil"/>
              <w:right w:val="nil"/>
            </w:tcBorders>
            <w:shd w:val="clear" w:color="auto" w:fill="FFFFFF"/>
            <w:vAlign w:val="center"/>
          </w:tcPr>
          <w:p w14:paraId="0C7A7B54">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Overall</w:t>
            </w:r>
          </w:p>
        </w:tc>
        <w:tc>
          <w:tcPr>
            <w:tcW w:w="1872" w:type="dxa"/>
            <w:tcBorders>
              <w:top w:val="single" w:color="000000" w:sz="4" w:space="0"/>
              <w:left w:val="nil"/>
              <w:bottom w:val="nil"/>
              <w:right w:val="nil"/>
            </w:tcBorders>
            <w:shd w:val="clear" w:color="auto" w:fill="FFFFFF"/>
            <w:vAlign w:val="center"/>
          </w:tcPr>
          <w:p w14:paraId="63D45469">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0.993</w:t>
            </w:r>
          </w:p>
        </w:tc>
        <w:tc>
          <w:tcPr>
            <w:tcW w:w="1872" w:type="dxa"/>
            <w:tcBorders>
              <w:top w:val="single" w:color="000000" w:sz="4" w:space="0"/>
              <w:left w:val="nil"/>
              <w:bottom w:val="nil"/>
              <w:right w:val="nil"/>
            </w:tcBorders>
            <w:shd w:val="clear" w:color="auto" w:fill="FFFFFF"/>
            <w:vAlign w:val="center"/>
          </w:tcPr>
          <w:p w14:paraId="55B20DCE">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0.986</w:t>
            </w:r>
          </w:p>
        </w:tc>
        <w:tc>
          <w:tcPr>
            <w:tcW w:w="1872" w:type="dxa"/>
            <w:tcBorders>
              <w:top w:val="single" w:color="000000" w:sz="4" w:space="0"/>
              <w:left w:val="nil"/>
              <w:bottom w:val="nil"/>
              <w:right w:val="nil"/>
            </w:tcBorders>
            <w:shd w:val="clear" w:color="auto" w:fill="FFFFFF"/>
            <w:vAlign w:val="center"/>
          </w:tcPr>
          <w:p w14:paraId="70CC1705">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0.991</w:t>
            </w:r>
          </w:p>
        </w:tc>
        <w:tc>
          <w:tcPr>
            <w:tcW w:w="1872" w:type="dxa"/>
            <w:tcBorders>
              <w:top w:val="single" w:color="000000" w:sz="4" w:space="0"/>
              <w:left w:val="nil"/>
              <w:bottom w:val="nil"/>
              <w:right w:val="nil"/>
            </w:tcBorders>
            <w:shd w:val="clear" w:color="auto" w:fill="FFFFFF"/>
            <w:vAlign w:val="center"/>
          </w:tcPr>
          <w:p w14:paraId="14F8D589">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1.000</w:t>
            </w:r>
          </w:p>
        </w:tc>
      </w:tr>
      <w:tr w14:paraId="0FD9168D">
        <w:trPr>
          <w:jc w:val="center"/>
        </w:trPr>
        <w:tc>
          <w:tcPr>
            <w:tcW w:w="1872" w:type="dxa"/>
            <w:tcBorders>
              <w:top w:val="nil"/>
              <w:left w:val="nil"/>
              <w:bottom w:val="nil"/>
              <w:right w:val="nil"/>
            </w:tcBorders>
            <w:shd w:val="clear" w:color="auto" w:fill="FFFFFF"/>
            <w:vAlign w:val="center"/>
          </w:tcPr>
          <w:p w14:paraId="10716E38">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Urban</w:t>
            </w:r>
          </w:p>
        </w:tc>
        <w:tc>
          <w:tcPr>
            <w:tcW w:w="1872" w:type="dxa"/>
            <w:tcBorders>
              <w:top w:val="nil"/>
              <w:left w:val="nil"/>
              <w:bottom w:val="nil"/>
              <w:right w:val="nil"/>
            </w:tcBorders>
            <w:shd w:val="clear" w:color="auto" w:fill="FFFFFF"/>
            <w:vAlign w:val="center"/>
          </w:tcPr>
          <w:p w14:paraId="79469024">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0.992</w:t>
            </w:r>
          </w:p>
        </w:tc>
        <w:tc>
          <w:tcPr>
            <w:tcW w:w="1872" w:type="dxa"/>
            <w:tcBorders>
              <w:top w:val="nil"/>
              <w:left w:val="nil"/>
              <w:bottom w:val="nil"/>
              <w:right w:val="nil"/>
            </w:tcBorders>
            <w:shd w:val="clear" w:color="auto" w:fill="FFFFFF"/>
            <w:vAlign w:val="center"/>
          </w:tcPr>
          <w:p w14:paraId="74532621">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0.992</w:t>
            </w:r>
          </w:p>
        </w:tc>
        <w:tc>
          <w:tcPr>
            <w:tcW w:w="1872" w:type="dxa"/>
            <w:tcBorders>
              <w:top w:val="nil"/>
              <w:left w:val="nil"/>
              <w:bottom w:val="nil"/>
              <w:right w:val="nil"/>
            </w:tcBorders>
            <w:shd w:val="clear" w:color="auto" w:fill="FFFFFF"/>
            <w:vAlign w:val="center"/>
          </w:tcPr>
          <w:p w14:paraId="12BA39F5">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0.990</w:t>
            </w:r>
          </w:p>
        </w:tc>
        <w:tc>
          <w:tcPr>
            <w:tcW w:w="1872" w:type="dxa"/>
            <w:tcBorders>
              <w:top w:val="nil"/>
              <w:left w:val="nil"/>
              <w:bottom w:val="nil"/>
              <w:right w:val="nil"/>
            </w:tcBorders>
            <w:shd w:val="clear" w:color="auto" w:fill="FFFFFF"/>
            <w:vAlign w:val="center"/>
          </w:tcPr>
          <w:p w14:paraId="2171F00C">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0.976</w:t>
            </w:r>
          </w:p>
        </w:tc>
      </w:tr>
      <w:tr w14:paraId="42074A51">
        <w:trPr>
          <w:jc w:val="center"/>
        </w:trPr>
        <w:tc>
          <w:tcPr>
            <w:tcW w:w="1872" w:type="dxa"/>
            <w:tcBorders>
              <w:top w:val="nil"/>
              <w:left w:val="nil"/>
              <w:bottom w:val="single" w:color="000000" w:sz="12" w:space="0"/>
              <w:right w:val="nil"/>
            </w:tcBorders>
            <w:shd w:val="clear" w:color="auto" w:fill="FFFFFF"/>
            <w:vAlign w:val="center"/>
          </w:tcPr>
          <w:p w14:paraId="4F89EB33">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Rural</w:t>
            </w:r>
          </w:p>
        </w:tc>
        <w:tc>
          <w:tcPr>
            <w:tcW w:w="1872" w:type="dxa"/>
            <w:tcBorders>
              <w:top w:val="nil"/>
              <w:left w:val="nil"/>
              <w:bottom w:val="single" w:color="000000" w:sz="12" w:space="0"/>
              <w:right w:val="nil"/>
            </w:tcBorders>
            <w:shd w:val="clear" w:color="auto" w:fill="FFFFFF"/>
            <w:vAlign w:val="center"/>
          </w:tcPr>
          <w:p w14:paraId="3A07675C">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0.995</w:t>
            </w:r>
          </w:p>
        </w:tc>
        <w:tc>
          <w:tcPr>
            <w:tcW w:w="1872" w:type="dxa"/>
            <w:tcBorders>
              <w:top w:val="nil"/>
              <w:left w:val="nil"/>
              <w:bottom w:val="single" w:color="000000" w:sz="12" w:space="0"/>
              <w:right w:val="nil"/>
            </w:tcBorders>
            <w:shd w:val="clear" w:color="auto" w:fill="FFFFFF"/>
            <w:vAlign w:val="center"/>
          </w:tcPr>
          <w:p w14:paraId="6792EDBB">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0.987</w:t>
            </w:r>
          </w:p>
        </w:tc>
        <w:tc>
          <w:tcPr>
            <w:tcW w:w="1872" w:type="dxa"/>
            <w:tcBorders>
              <w:top w:val="nil"/>
              <w:left w:val="nil"/>
              <w:bottom w:val="single" w:color="000000" w:sz="12" w:space="0"/>
              <w:right w:val="nil"/>
            </w:tcBorders>
            <w:shd w:val="clear" w:color="auto" w:fill="FFFFFF"/>
            <w:vAlign w:val="center"/>
          </w:tcPr>
          <w:p w14:paraId="43CC04AB">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0.991</w:t>
            </w:r>
          </w:p>
        </w:tc>
        <w:tc>
          <w:tcPr>
            <w:tcW w:w="1872" w:type="dxa"/>
            <w:tcBorders>
              <w:top w:val="nil"/>
              <w:left w:val="nil"/>
              <w:bottom w:val="single" w:color="000000" w:sz="12" w:space="0"/>
              <w:right w:val="nil"/>
            </w:tcBorders>
            <w:shd w:val="clear" w:color="auto" w:fill="FFFFFF"/>
            <w:vAlign w:val="center"/>
          </w:tcPr>
          <w:p w14:paraId="624A98B6">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0.952</w:t>
            </w:r>
          </w:p>
        </w:tc>
      </w:tr>
    </w:tbl>
    <w:p w14:paraId="297CA8FD">
      <w:pPr>
        <w:keepNext/>
        <w:spacing w:line="480" w:lineRule="auto"/>
        <w:jc w:val="center"/>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drawing>
          <wp:inline distT="0" distB="0" distL="114300" distR="114300">
            <wp:extent cx="5852160" cy="4681220"/>
            <wp:effectExtent l="0" t="0" r="15240" b="17780"/>
            <wp:docPr id="30" name="Picture 30" descr="Nonparametric bootstrap edge-weight intervals for the overall no-SF network." title="Nonparametric bootstrap edge-weight intervals for the overall no-SF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Nonparametric bootstrap edge-weight intervals for the overall no-SF network." title="Nonparametric bootstrap edge-weight intervals for the overall no-SF network."/>
                    <pic:cNvPicPr>
                      <a:picLocks noChangeAspect="1"/>
                    </pic:cNvPicPr>
                  </pic:nvPicPr>
                  <pic:blipFill>
                    <a:blip r:embed="rId17"/>
                    <a:stretch>
                      <a:fillRect/>
                    </a:stretch>
                  </pic:blipFill>
                  <pic:spPr>
                    <a:xfrm>
                      <a:off x="0" y="0"/>
                      <a:ext cx="5852160" cy="4681728"/>
                    </a:xfrm>
                    <a:prstGeom prst="rect">
                      <a:avLst/>
                    </a:prstGeom>
                  </pic:spPr>
                </pic:pic>
              </a:graphicData>
            </a:graphic>
          </wp:inline>
        </w:drawing>
      </w:r>
    </w:p>
    <w:p w14:paraId="3DA84DC6">
      <w:pPr>
        <w:keepNext/>
        <w:spacing w:line="480" w:lineRule="auto"/>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t>Figure S9. Nonparametric bootstrap intervals for no-SF overall-network edge weights (1,000 samples).</w:t>
      </w:r>
    </w:p>
    <w:p w14:paraId="4DF0891D">
      <w:pPr>
        <w:spacing w:line="480" w:lineRule="auto"/>
        <w:rPr>
          <w:rFonts w:hint="default" w:ascii="Times New Roman Italic" w:hAnsi="Times New Roman Italic" w:cs="Times New Roman Italic"/>
          <w:b w:val="0"/>
          <w:bCs w:val="0"/>
          <w:i/>
          <w:iCs/>
          <w:sz w:val="18"/>
          <w:szCs w:val="18"/>
          <w:highlight w:val="none"/>
        </w:rPr>
      </w:pPr>
      <w:r>
        <w:rPr>
          <w:rFonts w:hint="default" w:ascii="Times New Roman Bold Italic" w:hAnsi="Times New Roman Bold Italic" w:cs="Times New Roman Bold Italic"/>
          <w:b/>
          <w:bCs/>
          <w:i/>
          <w:iCs/>
          <w:sz w:val="18"/>
          <w:szCs w:val="18"/>
          <w:highlight w:val="none"/>
        </w:rPr>
        <w:t>Note.</w:t>
      </w:r>
      <w:r>
        <w:rPr>
          <w:rFonts w:hint="default" w:ascii="Times New Roman Italic" w:hAnsi="Times New Roman Italic" w:cs="Times New Roman Italic"/>
          <w:b w:val="0"/>
          <w:bCs w:val="0"/>
          <w:i/>
          <w:iCs/>
          <w:sz w:val="18"/>
          <w:szCs w:val="18"/>
          <w:highlight w:val="none"/>
        </w:rPr>
        <w:t xml:space="preserve"> Wider intervals indicate greater edge-weight uncertainty.</w:t>
      </w:r>
    </w:p>
    <w:p w14:paraId="4A6CAFE5">
      <w:pPr>
        <w:keepNext/>
        <w:spacing w:line="480" w:lineRule="auto"/>
        <w:jc w:val="center"/>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drawing>
          <wp:inline distT="0" distB="0" distL="114300" distR="114300">
            <wp:extent cx="5852160" cy="5120640"/>
            <wp:effectExtent l="0" t="0" r="15240" b="10160"/>
            <wp:docPr id="31" name="Picture 31" descr="Case-dropping bootstrap plot for node-strength stability in the overall no-SF network." title="Case-dropping bootstrap plot for node-strength stability in the overall no-SF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ase-dropping bootstrap plot for node-strength stability in the overall no-SF network." title="Case-dropping bootstrap plot for node-strength stability in the overall no-SF network."/>
                    <pic:cNvPicPr>
                      <a:picLocks noChangeAspect="1"/>
                    </pic:cNvPicPr>
                  </pic:nvPicPr>
                  <pic:blipFill>
                    <a:blip r:embed="rId18"/>
                    <a:stretch>
                      <a:fillRect/>
                    </a:stretch>
                  </pic:blipFill>
                  <pic:spPr>
                    <a:xfrm>
                      <a:off x="0" y="0"/>
                      <a:ext cx="5852160" cy="5120640"/>
                    </a:xfrm>
                    <a:prstGeom prst="rect">
                      <a:avLst/>
                    </a:prstGeom>
                  </pic:spPr>
                </pic:pic>
              </a:graphicData>
            </a:graphic>
          </wp:inline>
        </w:drawing>
      </w:r>
    </w:p>
    <w:p w14:paraId="3F1F7094">
      <w:pPr>
        <w:keepNext/>
        <w:spacing w:line="480" w:lineRule="auto"/>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t>Figure S10. Case-dropping bootstrap stability of no-SF node strength (1,000 samples).</w:t>
      </w:r>
    </w:p>
    <w:p w14:paraId="4A482732">
      <w:pPr>
        <w:spacing w:line="480" w:lineRule="auto"/>
        <w:rPr>
          <w:rFonts w:hint="default" w:ascii="Times New Roman Italic" w:hAnsi="Times New Roman Italic" w:cs="Times New Roman Italic"/>
          <w:b w:val="0"/>
          <w:bCs w:val="0"/>
          <w:i/>
          <w:iCs/>
          <w:sz w:val="18"/>
          <w:szCs w:val="18"/>
          <w:highlight w:val="none"/>
        </w:rPr>
      </w:pPr>
      <w:r>
        <w:rPr>
          <w:rFonts w:hint="default" w:ascii="Times New Roman Bold Italic" w:hAnsi="Times New Roman Bold Italic" w:cs="Times New Roman Bold Italic"/>
          <w:b/>
          <w:bCs/>
          <w:i/>
          <w:iCs/>
          <w:sz w:val="18"/>
          <w:szCs w:val="18"/>
          <w:highlight w:val="none"/>
        </w:rPr>
        <w:t>Note.</w:t>
      </w:r>
      <w:r>
        <w:rPr>
          <w:rFonts w:hint="default" w:ascii="Times New Roman Italic" w:hAnsi="Times New Roman Italic" w:cs="Times New Roman Italic"/>
          <w:b w:val="0"/>
          <w:bCs w:val="0"/>
          <w:i/>
          <w:iCs/>
          <w:sz w:val="18"/>
          <w:szCs w:val="18"/>
          <w:highlight w:val="none"/>
        </w:rPr>
        <w:t xml:space="preserve"> The correlation-stability coefficient for strength was .75, the highest tested level.</w:t>
      </w:r>
    </w:p>
    <w:p w14:paraId="39BDC7D1">
      <w:pPr>
        <w:pStyle w:val="2"/>
        <w:spacing w:line="480" w:lineRule="auto"/>
        <w:rPr>
          <w:rFonts w:hint="default" w:ascii="Times New Roman Bold" w:hAnsi="Times New Roman Bold" w:cs="Times New Roman Bold"/>
          <w:b/>
          <w:bCs/>
          <w:highlight w:val="none"/>
        </w:rPr>
      </w:pPr>
      <w:r>
        <w:rPr>
          <w:rFonts w:hint="default" w:ascii="Times New Roman Regular" w:hAnsi="Times New Roman Regular" w:cs="Times New Roman Regular"/>
          <w:b w:val="0"/>
          <w:bCs w:val="0"/>
          <w:highlight w:val="none"/>
        </w:rPr>
        <w:br w:type="page"/>
      </w:r>
      <w:r>
        <w:rPr>
          <w:rFonts w:hint="default" w:ascii="Times New Roman Bold" w:hAnsi="Times New Roman Bold" w:cs="Times New Roman Bold"/>
          <w:b/>
          <w:bCs/>
          <w:highlight w:val="none"/>
        </w:rPr>
        <w:t>S4. Primary Bridge-Strength Analysis</w:t>
      </w:r>
    </w:p>
    <w:p w14:paraId="47E12B1E">
      <w:pPr>
        <w:spacing w:line="480" w:lineRule="auto"/>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t>Methods. Bridge strength was calculated in the primary urban and rural nine-node networks as the sum of the absolute edge weights linking each node to nodes in other prespecified domains: sleep (ISI, ESS), mood (PHQ-9, GAD-7), cognition (SCD, AD8), and functioning/health (PF, GH, SF). Urban–rural differences were evaluated with 1,000 label permutations that preserved group sizes and re-estimated both EBICglasso networks. Two-sided permutation p-values used the plus-one correction, and BH correction was applied across the nine node tests.</w:t>
      </w:r>
    </w:p>
    <w:p w14:paraId="2492BDA4">
      <w:pPr>
        <w:spacing w:line="480" w:lineRule="auto"/>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t>Results. PHQ-9 had the highest bridge strength in both urban and rural networks. After BH correction, bridge strength was higher in the urban network for Cognitive-change screening (AD8; Δ=0.082, pBH=.0045) and daytime sleepiness (ESS; Δ=0.067, pBH=.0045). No other bridge-strength difference survived correction (Table S7 and Figure S11). These exploratory bridge estimates describe cross-domain connectivity and do not identify causal pathways.</w:t>
      </w:r>
    </w:p>
    <w:p w14:paraId="77704775">
      <w:pPr>
        <w:keepNext/>
        <w:spacing w:line="480" w:lineRule="auto"/>
        <w:jc w:val="center"/>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drawing>
          <wp:inline distT="0" distB="0" distL="114300" distR="114300">
            <wp:extent cx="5852160" cy="4226560"/>
            <wp:effectExtent l="0" t="0" r="15240" b="15240"/>
            <wp:docPr id="32" name="Picture 32" descr="Grouped bar chart comparing bridge strength for nine nodes in the urban and rural primary networks." title="Grouped bar chart comparing bridge strength for nine nodes in the urban and rural primary netwo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Grouped bar chart comparing bridge strength for nine nodes in the urban and rural primary networks." title="Grouped bar chart comparing bridge strength for nine nodes in the urban and rural primary networks."/>
                    <pic:cNvPicPr>
                      <a:picLocks noChangeAspect="1"/>
                    </pic:cNvPicPr>
                  </pic:nvPicPr>
                  <pic:blipFill>
                    <a:blip r:embed="rId19"/>
                    <a:stretch>
                      <a:fillRect/>
                    </a:stretch>
                  </pic:blipFill>
                  <pic:spPr>
                    <a:xfrm>
                      <a:off x="0" y="0"/>
                      <a:ext cx="5852160" cy="4226560"/>
                    </a:xfrm>
                    <a:prstGeom prst="rect">
                      <a:avLst/>
                    </a:prstGeom>
                  </pic:spPr>
                </pic:pic>
              </a:graphicData>
            </a:graphic>
          </wp:inline>
        </w:drawing>
      </w:r>
    </w:p>
    <w:p w14:paraId="4E57E6AA">
      <w:pPr>
        <w:keepNext/>
        <w:spacing w:line="480" w:lineRule="auto"/>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t>Figure S11. Bridge strength in the primary urban and rural networks.</w:t>
      </w:r>
    </w:p>
    <w:p w14:paraId="4127F589">
      <w:pPr>
        <w:spacing w:line="480" w:lineRule="auto"/>
        <w:rPr>
          <w:rFonts w:hint="default" w:ascii="Times New Roman Italic" w:hAnsi="Times New Roman Italic" w:cs="Times New Roman Italic"/>
          <w:b w:val="0"/>
          <w:bCs w:val="0"/>
          <w:i/>
          <w:iCs/>
          <w:sz w:val="18"/>
          <w:szCs w:val="18"/>
          <w:highlight w:val="none"/>
        </w:rPr>
      </w:pPr>
      <w:r>
        <w:rPr>
          <w:rFonts w:hint="default" w:ascii="Times New Roman Bold Italic" w:hAnsi="Times New Roman Bold Italic" w:cs="Times New Roman Bold Italic"/>
          <w:b/>
          <w:bCs/>
          <w:i/>
          <w:iCs/>
          <w:sz w:val="18"/>
          <w:szCs w:val="18"/>
          <w:highlight w:val="none"/>
        </w:rPr>
        <w:t>Note.</w:t>
      </w:r>
      <w:r>
        <w:rPr>
          <w:rFonts w:hint="default" w:ascii="Times New Roman Bold Italic" w:hAnsi="Times New Roman Bold Italic" w:cs="Times New Roman Bold Italic"/>
          <w:b/>
          <w:bCs/>
          <w:i/>
          <w:iCs/>
          <w:sz w:val="18"/>
          <w:szCs w:val="18"/>
          <w:highlight w:val="none"/>
          <w:lang w:val="en-US"/>
        </w:rPr>
        <w:t xml:space="preserve"> </w:t>
      </w:r>
      <w:r>
        <w:rPr>
          <w:rFonts w:hint="default" w:ascii="Times New Roman Italic" w:hAnsi="Times New Roman Italic" w:cs="Times New Roman Italic"/>
          <w:b w:val="0"/>
          <w:bCs w:val="0"/>
          <w:i/>
          <w:iCs/>
          <w:sz w:val="18"/>
          <w:szCs w:val="18"/>
          <w:highlight w:val="none"/>
        </w:rPr>
        <w:t>AD8=Cognitive-change screening; ESS=daytime sleepiness; GAD-7=anxiety symptoms; GH=general health; ISI=insomnia severity; PF=physical functioning; PHQ-9=depressive symptoms; SCD=subjective cognitive decline; SF=social functioning.</w:t>
      </w:r>
    </w:p>
    <w:p w14:paraId="7133F6BF">
      <w:pPr>
        <w:keepNext/>
        <w:spacing w:line="480" w:lineRule="auto"/>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t>Table S7. Urban–rural bridge-strength differences in the primary networks</w:t>
      </w:r>
    </w:p>
    <w:tbl>
      <w:tblPr>
        <w:tblStyle w:val="16"/>
        <w:tblW w:w="0" w:type="auto"/>
        <w:jc w:val="center"/>
        <w:tblLayout w:type="autofit"/>
        <w:tblCellMar>
          <w:top w:w="0" w:type="dxa"/>
          <w:left w:w="108" w:type="dxa"/>
          <w:bottom w:w="0" w:type="dxa"/>
          <w:right w:w="108" w:type="dxa"/>
        </w:tblCellMar>
      </w:tblPr>
      <w:tblGrid>
        <w:gridCol w:w="1337"/>
        <w:gridCol w:w="1337"/>
        <w:gridCol w:w="1337"/>
        <w:gridCol w:w="1337"/>
        <w:gridCol w:w="1337"/>
        <w:gridCol w:w="1337"/>
        <w:gridCol w:w="1337"/>
      </w:tblGrid>
      <w:tr w14:paraId="1E1528AD">
        <w:trPr>
          <w:tblHeader/>
          <w:jc w:val="center"/>
        </w:trPr>
        <w:tc>
          <w:tcPr>
            <w:tcW w:w="1337" w:type="dxa"/>
            <w:tcBorders>
              <w:top w:val="single" w:color="000000" w:sz="12" w:space="0"/>
              <w:left w:val="nil"/>
              <w:bottom w:val="single" w:color="000000" w:sz="4" w:space="0"/>
              <w:right w:val="nil"/>
              <w:tl2br w:val="nil"/>
            </w:tcBorders>
            <w:shd w:val="clear" w:color="auto" w:fill="FFFFFF"/>
            <w:vAlign w:val="center"/>
          </w:tcPr>
          <w:p w14:paraId="12D1C96A">
            <w:pPr>
              <w:spacing w:after="0" w:line="480" w:lineRule="auto"/>
              <w:jc w:val="left"/>
              <w:rPr>
                <w:rFonts w:hint="default" w:ascii="Times New Roman Bold" w:hAnsi="Times New Roman Bold" w:cs="Times New Roman Bold"/>
                <w:b/>
                <w:bCs/>
                <w:color w:val="000000"/>
                <w:highlight w:val="none"/>
              </w:rPr>
            </w:pPr>
            <w:bookmarkStart w:id="0" w:name="_GoBack"/>
            <w:bookmarkEnd w:id="0"/>
            <w:r>
              <w:rPr>
                <w:rFonts w:hint="default" w:ascii="Times New Roman Bold" w:hAnsi="Times New Roman Bold" w:cs="Times New Roman Bold"/>
                <w:b/>
                <w:bCs/>
                <w:color w:val="000000"/>
                <w:sz w:val="17"/>
                <w:highlight w:val="none"/>
              </w:rPr>
              <w:t>Node</w:t>
            </w:r>
          </w:p>
        </w:tc>
        <w:tc>
          <w:tcPr>
            <w:tcW w:w="1337" w:type="dxa"/>
            <w:tcBorders>
              <w:top w:val="single" w:color="000000" w:sz="12" w:space="0"/>
              <w:left w:val="nil"/>
              <w:bottom w:val="single" w:color="000000" w:sz="4" w:space="0"/>
              <w:right w:val="nil"/>
            </w:tcBorders>
            <w:shd w:val="clear" w:color="auto" w:fill="FFFFFF"/>
            <w:vAlign w:val="center"/>
          </w:tcPr>
          <w:p w14:paraId="60DBD81E">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Domain</w:t>
            </w:r>
          </w:p>
        </w:tc>
        <w:tc>
          <w:tcPr>
            <w:tcW w:w="1337" w:type="dxa"/>
            <w:tcBorders>
              <w:top w:val="single" w:color="000000" w:sz="12" w:space="0"/>
              <w:left w:val="nil"/>
              <w:bottom w:val="single" w:color="000000" w:sz="4" w:space="0"/>
              <w:right w:val="nil"/>
            </w:tcBorders>
            <w:shd w:val="clear" w:color="auto" w:fill="FFFFFF"/>
            <w:vAlign w:val="center"/>
          </w:tcPr>
          <w:p w14:paraId="5C84079C">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Urban</w:t>
            </w:r>
          </w:p>
        </w:tc>
        <w:tc>
          <w:tcPr>
            <w:tcW w:w="1337" w:type="dxa"/>
            <w:tcBorders>
              <w:top w:val="single" w:color="000000" w:sz="12" w:space="0"/>
              <w:left w:val="nil"/>
              <w:bottom w:val="single" w:color="000000" w:sz="4" w:space="0"/>
              <w:right w:val="nil"/>
            </w:tcBorders>
            <w:shd w:val="clear" w:color="auto" w:fill="FFFFFF"/>
            <w:vAlign w:val="center"/>
          </w:tcPr>
          <w:p w14:paraId="0515265B">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Rural</w:t>
            </w:r>
          </w:p>
        </w:tc>
        <w:tc>
          <w:tcPr>
            <w:tcW w:w="1337" w:type="dxa"/>
            <w:tcBorders>
              <w:top w:val="single" w:color="000000" w:sz="12" w:space="0"/>
              <w:left w:val="nil"/>
              <w:bottom w:val="single" w:color="000000" w:sz="4" w:space="0"/>
              <w:right w:val="nil"/>
            </w:tcBorders>
            <w:shd w:val="clear" w:color="auto" w:fill="FFFFFF"/>
            <w:vAlign w:val="center"/>
          </w:tcPr>
          <w:p w14:paraId="1C689228">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Δ U−R</w:t>
            </w:r>
          </w:p>
        </w:tc>
        <w:tc>
          <w:tcPr>
            <w:tcW w:w="1337" w:type="dxa"/>
            <w:tcBorders>
              <w:top w:val="single" w:color="000000" w:sz="12" w:space="0"/>
              <w:left w:val="nil"/>
              <w:bottom w:val="single" w:color="000000" w:sz="4" w:space="0"/>
              <w:right w:val="nil"/>
            </w:tcBorders>
            <w:shd w:val="clear" w:color="auto" w:fill="FFFFFF"/>
            <w:vAlign w:val="center"/>
          </w:tcPr>
          <w:p w14:paraId="7AE1AFCD">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Raw p</w:t>
            </w:r>
          </w:p>
        </w:tc>
        <w:tc>
          <w:tcPr>
            <w:tcW w:w="1337" w:type="dxa"/>
            <w:tcBorders>
              <w:top w:val="single" w:color="000000" w:sz="12" w:space="0"/>
              <w:left w:val="nil"/>
              <w:bottom w:val="single" w:color="000000" w:sz="4" w:space="0"/>
              <w:right w:val="nil"/>
            </w:tcBorders>
            <w:shd w:val="clear" w:color="auto" w:fill="FFFFFF"/>
            <w:vAlign w:val="center"/>
          </w:tcPr>
          <w:p w14:paraId="061D2A8C">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pBH</w:t>
            </w:r>
          </w:p>
        </w:tc>
      </w:tr>
      <w:tr w14:paraId="33233CB4">
        <w:trPr>
          <w:jc w:val="center"/>
        </w:trPr>
        <w:tc>
          <w:tcPr>
            <w:tcW w:w="1337" w:type="dxa"/>
            <w:tcBorders>
              <w:top w:val="single" w:color="000000" w:sz="4" w:space="0"/>
              <w:left w:val="nil"/>
              <w:bottom w:val="nil"/>
              <w:right w:val="nil"/>
            </w:tcBorders>
            <w:shd w:val="clear" w:color="auto" w:fill="FFFFFF"/>
            <w:vAlign w:val="center"/>
          </w:tcPr>
          <w:p w14:paraId="26C85C2E">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PHQ9</w:t>
            </w:r>
          </w:p>
        </w:tc>
        <w:tc>
          <w:tcPr>
            <w:tcW w:w="1337" w:type="dxa"/>
            <w:tcBorders>
              <w:top w:val="single" w:color="000000" w:sz="4" w:space="0"/>
              <w:left w:val="nil"/>
              <w:bottom w:val="nil"/>
              <w:right w:val="nil"/>
            </w:tcBorders>
            <w:shd w:val="clear" w:color="auto" w:fill="FFFFFF"/>
            <w:vAlign w:val="center"/>
          </w:tcPr>
          <w:p w14:paraId="17219BA6">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Mood</w:t>
            </w:r>
          </w:p>
        </w:tc>
        <w:tc>
          <w:tcPr>
            <w:tcW w:w="1337" w:type="dxa"/>
            <w:tcBorders>
              <w:top w:val="single" w:color="000000" w:sz="4" w:space="0"/>
              <w:left w:val="nil"/>
              <w:bottom w:val="nil"/>
              <w:right w:val="nil"/>
            </w:tcBorders>
            <w:shd w:val="clear" w:color="auto" w:fill="FFFFFF"/>
            <w:vAlign w:val="center"/>
          </w:tcPr>
          <w:p w14:paraId="4C981397">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0.715</w:t>
            </w:r>
          </w:p>
        </w:tc>
        <w:tc>
          <w:tcPr>
            <w:tcW w:w="1337" w:type="dxa"/>
            <w:tcBorders>
              <w:top w:val="single" w:color="000000" w:sz="4" w:space="0"/>
              <w:left w:val="nil"/>
              <w:bottom w:val="nil"/>
              <w:right w:val="nil"/>
            </w:tcBorders>
            <w:shd w:val="clear" w:color="auto" w:fill="FFFFFF"/>
            <w:vAlign w:val="center"/>
          </w:tcPr>
          <w:p w14:paraId="49F75EC0">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0.682</w:t>
            </w:r>
          </w:p>
        </w:tc>
        <w:tc>
          <w:tcPr>
            <w:tcW w:w="1337" w:type="dxa"/>
            <w:tcBorders>
              <w:top w:val="single" w:color="000000" w:sz="4" w:space="0"/>
              <w:left w:val="nil"/>
              <w:bottom w:val="nil"/>
              <w:right w:val="nil"/>
            </w:tcBorders>
            <w:shd w:val="clear" w:color="auto" w:fill="FFFFFF"/>
            <w:vAlign w:val="center"/>
          </w:tcPr>
          <w:p w14:paraId="125EF291">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0.032</w:t>
            </w:r>
          </w:p>
        </w:tc>
        <w:tc>
          <w:tcPr>
            <w:tcW w:w="1337" w:type="dxa"/>
            <w:tcBorders>
              <w:top w:val="single" w:color="000000" w:sz="4" w:space="0"/>
              <w:left w:val="nil"/>
              <w:bottom w:val="nil"/>
              <w:right w:val="nil"/>
            </w:tcBorders>
            <w:shd w:val="clear" w:color="auto" w:fill="FFFFFF"/>
            <w:vAlign w:val="center"/>
          </w:tcPr>
          <w:p w14:paraId="3A98C283">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.124</w:t>
            </w:r>
          </w:p>
        </w:tc>
        <w:tc>
          <w:tcPr>
            <w:tcW w:w="1337" w:type="dxa"/>
            <w:tcBorders>
              <w:top w:val="single" w:color="000000" w:sz="4" w:space="0"/>
              <w:left w:val="nil"/>
              <w:bottom w:val="nil"/>
              <w:right w:val="nil"/>
            </w:tcBorders>
            <w:shd w:val="clear" w:color="auto" w:fill="FFFFFF"/>
            <w:vAlign w:val="center"/>
          </w:tcPr>
          <w:p w14:paraId="5F1F1676">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.186</w:t>
            </w:r>
          </w:p>
        </w:tc>
      </w:tr>
      <w:tr w14:paraId="15E2A68D">
        <w:trPr>
          <w:jc w:val="center"/>
        </w:trPr>
        <w:tc>
          <w:tcPr>
            <w:tcW w:w="1337" w:type="dxa"/>
            <w:tcBorders>
              <w:top w:val="nil"/>
              <w:left w:val="nil"/>
              <w:bottom w:val="nil"/>
              <w:right w:val="nil"/>
            </w:tcBorders>
            <w:shd w:val="clear" w:color="auto" w:fill="FFFFFF"/>
            <w:vAlign w:val="center"/>
          </w:tcPr>
          <w:p w14:paraId="035F8D65">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SCD</w:t>
            </w:r>
          </w:p>
        </w:tc>
        <w:tc>
          <w:tcPr>
            <w:tcW w:w="1337" w:type="dxa"/>
            <w:tcBorders>
              <w:top w:val="nil"/>
              <w:left w:val="nil"/>
              <w:bottom w:val="nil"/>
              <w:right w:val="nil"/>
            </w:tcBorders>
            <w:shd w:val="clear" w:color="auto" w:fill="FFFFFF"/>
            <w:vAlign w:val="center"/>
          </w:tcPr>
          <w:p w14:paraId="619D0136">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Cognition</w:t>
            </w:r>
          </w:p>
        </w:tc>
        <w:tc>
          <w:tcPr>
            <w:tcW w:w="1337" w:type="dxa"/>
            <w:tcBorders>
              <w:top w:val="nil"/>
              <w:left w:val="nil"/>
              <w:bottom w:val="nil"/>
              <w:right w:val="nil"/>
            </w:tcBorders>
            <w:shd w:val="clear" w:color="auto" w:fill="FFFFFF"/>
            <w:vAlign w:val="center"/>
          </w:tcPr>
          <w:p w14:paraId="132EC17B">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0.469</w:t>
            </w:r>
          </w:p>
        </w:tc>
        <w:tc>
          <w:tcPr>
            <w:tcW w:w="1337" w:type="dxa"/>
            <w:tcBorders>
              <w:top w:val="nil"/>
              <w:left w:val="nil"/>
              <w:bottom w:val="nil"/>
              <w:right w:val="nil"/>
            </w:tcBorders>
            <w:shd w:val="clear" w:color="auto" w:fill="FFFFFF"/>
            <w:vAlign w:val="center"/>
          </w:tcPr>
          <w:p w14:paraId="795DF9B2">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0.437</w:t>
            </w:r>
          </w:p>
        </w:tc>
        <w:tc>
          <w:tcPr>
            <w:tcW w:w="1337" w:type="dxa"/>
            <w:tcBorders>
              <w:top w:val="nil"/>
              <w:left w:val="nil"/>
              <w:bottom w:val="nil"/>
              <w:right w:val="nil"/>
            </w:tcBorders>
            <w:shd w:val="clear" w:color="auto" w:fill="FFFFFF"/>
            <w:vAlign w:val="center"/>
          </w:tcPr>
          <w:p w14:paraId="1B0E5266">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0.032</w:t>
            </w:r>
          </w:p>
        </w:tc>
        <w:tc>
          <w:tcPr>
            <w:tcW w:w="1337" w:type="dxa"/>
            <w:tcBorders>
              <w:top w:val="nil"/>
              <w:left w:val="nil"/>
              <w:bottom w:val="nil"/>
              <w:right w:val="nil"/>
            </w:tcBorders>
            <w:shd w:val="clear" w:color="auto" w:fill="FFFFFF"/>
            <w:vAlign w:val="center"/>
          </w:tcPr>
          <w:p w14:paraId="30611F0E">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.248</w:t>
            </w:r>
          </w:p>
        </w:tc>
        <w:tc>
          <w:tcPr>
            <w:tcW w:w="1337" w:type="dxa"/>
            <w:tcBorders>
              <w:top w:val="nil"/>
              <w:left w:val="nil"/>
              <w:bottom w:val="nil"/>
              <w:right w:val="nil"/>
            </w:tcBorders>
            <w:shd w:val="clear" w:color="auto" w:fill="FFFFFF"/>
            <w:vAlign w:val="center"/>
          </w:tcPr>
          <w:p w14:paraId="2525EE21">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.319</w:t>
            </w:r>
          </w:p>
        </w:tc>
      </w:tr>
      <w:tr w14:paraId="0DB034BF">
        <w:trPr>
          <w:jc w:val="center"/>
        </w:trPr>
        <w:tc>
          <w:tcPr>
            <w:tcW w:w="1337" w:type="dxa"/>
            <w:tcBorders>
              <w:top w:val="nil"/>
              <w:left w:val="nil"/>
              <w:bottom w:val="nil"/>
              <w:right w:val="nil"/>
            </w:tcBorders>
            <w:shd w:val="clear" w:color="auto" w:fill="FFFFFF"/>
            <w:vAlign w:val="center"/>
          </w:tcPr>
          <w:p w14:paraId="1A808E70">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SF</w:t>
            </w:r>
          </w:p>
        </w:tc>
        <w:tc>
          <w:tcPr>
            <w:tcW w:w="1337" w:type="dxa"/>
            <w:tcBorders>
              <w:top w:val="nil"/>
              <w:left w:val="nil"/>
              <w:bottom w:val="nil"/>
              <w:right w:val="nil"/>
            </w:tcBorders>
            <w:shd w:val="clear" w:color="auto" w:fill="FFFFFF"/>
            <w:vAlign w:val="center"/>
          </w:tcPr>
          <w:p w14:paraId="5034D326">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Function</w:t>
            </w:r>
          </w:p>
        </w:tc>
        <w:tc>
          <w:tcPr>
            <w:tcW w:w="1337" w:type="dxa"/>
            <w:tcBorders>
              <w:top w:val="nil"/>
              <w:left w:val="nil"/>
              <w:bottom w:val="nil"/>
              <w:right w:val="nil"/>
            </w:tcBorders>
            <w:shd w:val="clear" w:color="auto" w:fill="FFFFFF"/>
            <w:vAlign w:val="center"/>
          </w:tcPr>
          <w:p w14:paraId="132DE8E7">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0.447</w:t>
            </w:r>
          </w:p>
        </w:tc>
        <w:tc>
          <w:tcPr>
            <w:tcW w:w="1337" w:type="dxa"/>
            <w:tcBorders>
              <w:top w:val="nil"/>
              <w:left w:val="nil"/>
              <w:bottom w:val="nil"/>
              <w:right w:val="nil"/>
            </w:tcBorders>
            <w:shd w:val="clear" w:color="auto" w:fill="FFFFFF"/>
            <w:vAlign w:val="center"/>
          </w:tcPr>
          <w:p w14:paraId="74B53FD1">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0.392</w:t>
            </w:r>
          </w:p>
        </w:tc>
        <w:tc>
          <w:tcPr>
            <w:tcW w:w="1337" w:type="dxa"/>
            <w:tcBorders>
              <w:top w:val="nil"/>
              <w:left w:val="nil"/>
              <w:bottom w:val="nil"/>
              <w:right w:val="nil"/>
            </w:tcBorders>
            <w:shd w:val="clear" w:color="auto" w:fill="FFFFFF"/>
            <w:vAlign w:val="center"/>
          </w:tcPr>
          <w:p w14:paraId="5D12C69C">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0.055</w:t>
            </w:r>
          </w:p>
        </w:tc>
        <w:tc>
          <w:tcPr>
            <w:tcW w:w="1337" w:type="dxa"/>
            <w:tcBorders>
              <w:top w:val="nil"/>
              <w:left w:val="nil"/>
              <w:bottom w:val="nil"/>
              <w:right w:val="nil"/>
            </w:tcBorders>
            <w:shd w:val="clear" w:color="auto" w:fill="FFFFFF"/>
            <w:vAlign w:val="center"/>
          </w:tcPr>
          <w:p w14:paraId="539E118A">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.036</w:t>
            </w:r>
          </w:p>
        </w:tc>
        <w:tc>
          <w:tcPr>
            <w:tcW w:w="1337" w:type="dxa"/>
            <w:tcBorders>
              <w:top w:val="nil"/>
              <w:left w:val="nil"/>
              <w:bottom w:val="nil"/>
              <w:right w:val="nil"/>
            </w:tcBorders>
            <w:shd w:val="clear" w:color="auto" w:fill="FFFFFF"/>
            <w:vAlign w:val="center"/>
          </w:tcPr>
          <w:p w14:paraId="1911F75A">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.092</w:t>
            </w:r>
          </w:p>
        </w:tc>
      </w:tr>
      <w:tr w14:paraId="0C1594D2">
        <w:trPr>
          <w:jc w:val="center"/>
        </w:trPr>
        <w:tc>
          <w:tcPr>
            <w:tcW w:w="1337" w:type="dxa"/>
            <w:tcBorders>
              <w:top w:val="nil"/>
              <w:left w:val="nil"/>
              <w:bottom w:val="nil"/>
              <w:right w:val="nil"/>
            </w:tcBorders>
            <w:shd w:val="clear" w:color="auto" w:fill="FFFFFF"/>
            <w:vAlign w:val="center"/>
          </w:tcPr>
          <w:p w14:paraId="2AE949D2">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ESS</w:t>
            </w:r>
          </w:p>
        </w:tc>
        <w:tc>
          <w:tcPr>
            <w:tcW w:w="1337" w:type="dxa"/>
            <w:tcBorders>
              <w:top w:val="nil"/>
              <w:left w:val="nil"/>
              <w:bottom w:val="nil"/>
              <w:right w:val="nil"/>
            </w:tcBorders>
            <w:shd w:val="clear" w:color="auto" w:fill="FFFFFF"/>
            <w:vAlign w:val="center"/>
          </w:tcPr>
          <w:p w14:paraId="629BD01F">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Sleep</w:t>
            </w:r>
          </w:p>
        </w:tc>
        <w:tc>
          <w:tcPr>
            <w:tcW w:w="1337" w:type="dxa"/>
            <w:tcBorders>
              <w:top w:val="nil"/>
              <w:left w:val="nil"/>
              <w:bottom w:val="nil"/>
              <w:right w:val="nil"/>
            </w:tcBorders>
            <w:shd w:val="clear" w:color="auto" w:fill="FFFFFF"/>
            <w:vAlign w:val="center"/>
          </w:tcPr>
          <w:p w14:paraId="3E5C2E5B">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0.392</w:t>
            </w:r>
          </w:p>
        </w:tc>
        <w:tc>
          <w:tcPr>
            <w:tcW w:w="1337" w:type="dxa"/>
            <w:tcBorders>
              <w:top w:val="nil"/>
              <w:left w:val="nil"/>
              <w:bottom w:val="nil"/>
              <w:right w:val="nil"/>
            </w:tcBorders>
            <w:shd w:val="clear" w:color="auto" w:fill="FFFFFF"/>
            <w:vAlign w:val="center"/>
          </w:tcPr>
          <w:p w14:paraId="685FF383">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0.324</w:t>
            </w:r>
          </w:p>
        </w:tc>
        <w:tc>
          <w:tcPr>
            <w:tcW w:w="1337" w:type="dxa"/>
            <w:tcBorders>
              <w:top w:val="nil"/>
              <w:left w:val="nil"/>
              <w:bottom w:val="nil"/>
              <w:right w:val="nil"/>
            </w:tcBorders>
            <w:shd w:val="clear" w:color="auto" w:fill="FFFFFF"/>
            <w:vAlign w:val="center"/>
          </w:tcPr>
          <w:p w14:paraId="124EAC9C">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0.067</w:t>
            </w:r>
          </w:p>
        </w:tc>
        <w:tc>
          <w:tcPr>
            <w:tcW w:w="1337" w:type="dxa"/>
            <w:tcBorders>
              <w:top w:val="nil"/>
              <w:left w:val="nil"/>
              <w:bottom w:val="nil"/>
              <w:right w:val="nil"/>
            </w:tcBorders>
            <w:shd w:val="clear" w:color="auto" w:fill="FFFFFF"/>
            <w:vAlign w:val="center"/>
          </w:tcPr>
          <w:p w14:paraId="6FA495F5">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&lt;.001</w:t>
            </w:r>
          </w:p>
        </w:tc>
        <w:tc>
          <w:tcPr>
            <w:tcW w:w="1337" w:type="dxa"/>
            <w:tcBorders>
              <w:top w:val="nil"/>
              <w:left w:val="nil"/>
              <w:bottom w:val="nil"/>
              <w:right w:val="nil"/>
            </w:tcBorders>
            <w:shd w:val="clear" w:color="auto" w:fill="FFFFFF"/>
            <w:vAlign w:val="center"/>
          </w:tcPr>
          <w:p w14:paraId="37935B5F">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.004</w:t>
            </w:r>
          </w:p>
        </w:tc>
      </w:tr>
      <w:tr w14:paraId="5D0EF657">
        <w:trPr>
          <w:jc w:val="center"/>
        </w:trPr>
        <w:tc>
          <w:tcPr>
            <w:tcW w:w="1337" w:type="dxa"/>
            <w:tcBorders>
              <w:top w:val="nil"/>
              <w:left w:val="nil"/>
              <w:bottom w:val="nil"/>
              <w:right w:val="nil"/>
            </w:tcBorders>
            <w:shd w:val="clear" w:color="auto" w:fill="FFFFFF"/>
            <w:vAlign w:val="center"/>
          </w:tcPr>
          <w:p w14:paraId="15D4F3A8">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ISI</w:t>
            </w:r>
          </w:p>
        </w:tc>
        <w:tc>
          <w:tcPr>
            <w:tcW w:w="1337" w:type="dxa"/>
            <w:tcBorders>
              <w:top w:val="nil"/>
              <w:left w:val="nil"/>
              <w:bottom w:val="nil"/>
              <w:right w:val="nil"/>
            </w:tcBorders>
            <w:shd w:val="clear" w:color="auto" w:fill="FFFFFF"/>
            <w:vAlign w:val="center"/>
          </w:tcPr>
          <w:p w14:paraId="54BEDF1E">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Sleep</w:t>
            </w:r>
          </w:p>
        </w:tc>
        <w:tc>
          <w:tcPr>
            <w:tcW w:w="1337" w:type="dxa"/>
            <w:tcBorders>
              <w:top w:val="nil"/>
              <w:left w:val="nil"/>
              <w:bottom w:val="nil"/>
              <w:right w:val="nil"/>
            </w:tcBorders>
            <w:shd w:val="clear" w:color="auto" w:fill="FFFFFF"/>
            <w:vAlign w:val="center"/>
          </w:tcPr>
          <w:p w14:paraId="422317EB">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0.349</w:t>
            </w:r>
          </w:p>
        </w:tc>
        <w:tc>
          <w:tcPr>
            <w:tcW w:w="1337" w:type="dxa"/>
            <w:tcBorders>
              <w:top w:val="nil"/>
              <w:left w:val="nil"/>
              <w:bottom w:val="nil"/>
              <w:right w:val="nil"/>
            </w:tcBorders>
            <w:shd w:val="clear" w:color="auto" w:fill="FFFFFF"/>
            <w:vAlign w:val="center"/>
          </w:tcPr>
          <w:p w14:paraId="5FDEF360">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0.323</w:t>
            </w:r>
          </w:p>
        </w:tc>
        <w:tc>
          <w:tcPr>
            <w:tcW w:w="1337" w:type="dxa"/>
            <w:tcBorders>
              <w:top w:val="nil"/>
              <w:left w:val="nil"/>
              <w:bottom w:val="nil"/>
              <w:right w:val="nil"/>
            </w:tcBorders>
            <w:shd w:val="clear" w:color="auto" w:fill="FFFFFF"/>
            <w:vAlign w:val="center"/>
          </w:tcPr>
          <w:p w14:paraId="6C0A9801">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0.027</w:t>
            </w:r>
          </w:p>
        </w:tc>
        <w:tc>
          <w:tcPr>
            <w:tcW w:w="1337" w:type="dxa"/>
            <w:tcBorders>
              <w:top w:val="nil"/>
              <w:left w:val="nil"/>
              <w:bottom w:val="nil"/>
              <w:right w:val="nil"/>
            </w:tcBorders>
            <w:shd w:val="clear" w:color="auto" w:fill="FFFFFF"/>
            <w:vAlign w:val="center"/>
          </w:tcPr>
          <w:p w14:paraId="23BCE0A2">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.366</w:t>
            </w:r>
          </w:p>
        </w:tc>
        <w:tc>
          <w:tcPr>
            <w:tcW w:w="1337" w:type="dxa"/>
            <w:tcBorders>
              <w:top w:val="nil"/>
              <w:left w:val="nil"/>
              <w:bottom w:val="nil"/>
              <w:right w:val="nil"/>
            </w:tcBorders>
            <w:shd w:val="clear" w:color="auto" w:fill="FFFFFF"/>
            <w:vAlign w:val="center"/>
          </w:tcPr>
          <w:p w14:paraId="27237944">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.411</w:t>
            </w:r>
          </w:p>
        </w:tc>
      </w:tr>
      <w:tr w14:paraId="6C9B7420">
        <w:trPr>
          <w:jc w:val="center"/>
        </w:trPr>
        <w:tc>
          <w:tcPr>
            <w:tcW w:w="1337" w:type="dxa"/>
            <w:tcBorders>
              <w:top w:val="nil"/>
              <w:left w:val="nil"/>
              <w:bottom w:val="nil"/>
              <w:right w:val="nil"/>
            </w:tcBorders>
            <w:shd w:val="clear" w:color="auto" w:fill="FFFFFF"/>
            <w:vAlign w:val="center"/>
          </w:tcPr>
          <w:p w14:paraId="3C140571">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GH</w:t>
            </w:r>
          </w:p>
        </w:tc>
        <w:tc>
          <w:tcPr>
            <w:tcW w:w="1337" w:type="dxa"/>
            <w:tcBorders>
              <w:top w:val="nil"/>
              <w:left w:val="nil"/>
              <w:bottom w:val="nil"/>
              <w:right w:val="nil"/>
            </w:tcBorders>
            <w:shd w:val="clear" w:color="auto" w:fill="FFFFFF"/>
            <w:vAlign w:val="center"/>
          </w:tcPr>
          <w:p w14:paraId="493543B0">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Function</w:t>
            </w:r>
          </w:p>
        </w:tc>
        <w:tc>
          <w:tcPr>
            <w:tcW w:w="1337" w:type="dxa"/>
            <w:tcBorders>
              <w:top w:val="nil"/>
              <w:left w:val="nil"/>
              <w:bottom w:val="nil"/>
              <w:right w:val="nil"/>
            </w:tcBorders>
            <w:shd w:val="clear" w:color="auto" w:fill="FFFFFF"/>
            <w:vAlign w:val="center"/>
          </w:tcPr>
          <w:p w14:paraId="1B4518F3">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0.316</w:t>
            </w:r>
          </w:p>
        </w:tc>
        <w:tc>
          <w:tcPr>
            <w:tcW w:w="1337" w:type="dxa"/>
            <w:tcBorders>
              <w:top w:val="nil"/>
              <w:left w:val="nil"/>
              <w:bottom w:val="nil"/>
              <w:right w:val="nil"/>
            </w:tcBorders>
            <w:shd w:val="clear" w:color="auto" w:fill="FFFFFF"/>
            <w:vAlign w:val="center"/>
          </w:tcPr>
          <w:p w14:paraId="1E7EE645">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0.348</w:t>
            </w:r>
          </w:p>
        </w:tc>
        <w:tc>
          <w:tcPr>
            <w:tcW w:w="1337" w:type="dxa"/>
            <w:tcBorders>
              <w:top w:val="nil"/>
              <w:left w:val="nil"/>
              <w:bottom w:val="nil"/>
              <w:right w:val="nil"/>
            </w:tcBorders>
            <w:shd w:val="clear" w:color="auto" w:fill="FFFFFF"/>
            <w:vAlign w:val="center"/>
          </w:tcPr>
          <w:p w14:paraId="1B85D013">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-0.032</w:t>
            </w:r>
          </w:p>
        </w:tc>
        <w:tc>
          <w:tcPr>
            <w:tcW w:w="1337" w:type="dxa"/>
            <w:tcBorders>
              <w:top w:val="nil"/>
              <w:left w:val="nil"/>
              <w:bottom w:val="nil"/>
              <w:right w:val="nil"/>
            </w:tcBorders>
            <w:shd w:val="clear" w:color="auto" w:fill="FFFFFF"/>
            <w:vAlign w:val="center"/>
          </w:tcPr>
          <w:p w14:paraId="0BC50937">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.051</w:t>
            </w:r>
          </w:p>
        </w:tc>
        <w:tc>
          <w:tcPr>
            <w:tcW w:w="1337" w:type="dxa"/>
            <w:tcBorders>
              <w:top w:val="nil"/>
              <w:left w:val="nil"/>
              <w:bottom w:val="nil"/>
              <w:right w:val="nil"/>
            </w:tcBorders>
            <w:shd w:val="clear" w:color="auto" w:fill="FFFFFF"/>
            <w:vAlign w:val="center"/>
          </w:tcPr>
          <w:p w14:paraId="7D8E1FB1">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.092</w:t>
            </w:r>
          </w:p>
        </w:tc>
      </w:tr>
      <w:tr w14:paraId="4FE2C197">
        <w:trPr>
          <w:jc w:val="center"/>
        </w:trPr>
        <w:tc>
          <w:tcPr>
            <w:tcW w:w="1337" w:type="dxa"/>
            <w:tcBorders>
              <w:top w:val="nil"/>
              <w:left w:val="nil"/>
              <w:bottom w:val="nil"/>
              <w:right w:val="nil"/>
            </w:tcBorders>
            <w:shd w:val="clear" w:color="auto" w:fill="FFFFFF"/>
            <w:vAlign w:val="center"/>
          </w:tcPr>
          <w:p w14:paraId="6562724F">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AD8</w:t>
            </w:r>
          </w:p>
        </w:tc>
        <w:tc>
          <w:tcPr>
            <w:tcW w:w="1337" w:type="dxa"/>
            <w:tcBorders>
              <w:top w:val="nil"/>
              <w:left w:val="nil"/>
              <w:bottom w:val="nil"/>
              <w:right w:val="nil"/>
            </w:tcBorders>
            <w:shd w:val="clear" w:color="auto" w:fill="FFFFFF"/>
            <w:vAlign w:val="center"/>
          </w:tcPr>
          <w:p w14:paraId="2796C6AE">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Cognition</w:t>
            </w:r>
          </w:p>
        </w:tc>
        <w:tc>
          <w:tcPr>
            <w:tcW w:w="1337" w:type="dxa"/>
            <w:tcBorders>
              <w:top w:val="nil"/>
              <w:left w:val="nil"/>
              <w:bottom w:val="nil"/>
              <w:right w:val="nil"/>
            </w:tcBorders>
            <w:shd w:val="clear" w:color="auto" w:fill="FFFFFF"/>
            <w:vAlign w:val="center"/>
          </w:tcPr>
          <w:p w14:paraId="531D9D87">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0.286</w:t>
            </w:r>
          </w:p>
        </w:tc>
        <w:tc>
          <w:tcPr>
            <w:tcW w:w="1337" w:type="dxa"/>
            <w:tcBorders>
              <w:top w:val="nil"/>
              <w:left w:val="nil"/>
              <w:bottom w:val="nil"/>
              <w:right w:val="nil"/>
            </w:tcBorders>
            <w:shd w:val="clear" w:color="auto" w:fill="FFFFFF"/>
            <w:vAlign w:val="center"/>
          </w:tcPr>
          <w:p w14:paraId="4AB02A69">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0.204</w:t>
            </w:r>
          </w:p>
        </w:tc>
        <w:tc>
          <w:tcPr>
            <w:tcW w:w="1337" w:type="dxa"/>
            <w:tcBorders>
              <w:top w:val="nil"/>
              <w:left w:val="nil"/>
              <w:bottom w:val="nil"/>
              <w:right w:val="nil"/>
            </w:tcBorders>
            <w:shd w:val="clear" w:color="auto" w:fill="FFFFFF"/>
            <w:vAlign w:val="center"/>
          </w:tcPr>
          <w:p w14:paraId="4950877F">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0.082</w:t>
            </w:r>
          </w:p>
        </w:tc>
        <w:tc>
          <w:tcPr>
            <w:tcW w:w="1337" w:type="dxa"/>
            <w:tcBorders>
              <w:top w:val="nil"/>
              <w:left w:val="nil"/>
              <w:bottom w:val="nil"/>
              <w:right w:val="nil"/>
            </w:tcBorders>
            <w:shd w:val="clear" w:color="auto" w:fill="FFFFFF"/>
            <w:vAlign w:val="center"/>
          </w:tcPr>
          <w:p w14:paraId="3D687F85">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&lt;.001</w:t>
            </w:r>
          </w:p>
        </w:tc>
        <w:tc>
          <w:tcPr>
            <w:tcW w:w="1337" w:type="dxa"/>
            <w:tcBorders>
              <w:top w:val="nil"/>
              <w:left w:val="nil"/>
              <w:bottom w:val="nil"/>
              <w:right w:val="nil"/>
            </w:tcBorders>
            <w:shd w:val="clear" w:color="auto" w:fill="FFFFFF"/>
            <w:vAlign w:val="center"/>
          </w:tcPr>
          <w:p w14:paraId="7DEA2F64">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.004</w:t>
            </w:r>
          </w:p>
        </w:tc>
      </w:tr>
      <w:tr w14:paraId="401BC8DA">
        <w:trPr>
          <w:jc w:val="center"/>
        </w:trPr>
        <w:tc>
          <w:tcPr>
            <w:tcW w:w="1337" w:type="dxa"/>
            <w:tcBorders>
              <w:top w:val="nil"/>
              <w:left w:val="nil"/>
              <w:bottom w:val="nil"/>
              <w:right w:val="nil"/>
            </w:tcBorders>
            <w:shd w:val="clear" w:color="auto" w:fill="FFFFFF"/>
            <w:vAlign w:val="center"/>
          </w:tcPr>
          <w:p w14:paraId="29430A7F">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PF</w:t>
            </w:r>
          </w:p>
        </w:tc>
        <w:tc>
          <w:tcPr>
            <w:tcW w:w="1337" w:type="dxa"/>
            <w:tcBorders>
              <w:top w:val="nil"/>
              <w:left w:val="nil"/>
              <w:bottom w:val="nil"/>
              <w:right w:val="nil"/>
            </w:tcBorders>
            <w:shd w:val="clear" w:color="auto" w:fill="FFFFFF"/>
            <w:vAlign w:val="center"/>
          </w:tcPr>
          <w:p w14:paraId="4FD4A384">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Function</w:t>
            </w:r>
          </w:p>
        </w:tc>
        <w:tc>
          <w:tcPr>
            <w:tcW w:w="1337" w:type="dxa"/>
            <w:tcBorders>
              <w:top w:val="nil"/>
              <w:left w:val="nil"/>
              <w:bottom w:val="nil"/>
              <w:right w:val="nil"/>
            </w:tcBorders>
            <w:shd w:val="clear" w:color="auto" w:fill="FFFFFF"/>
            <w:vAlign w:val="center"/>
          </w:tcPr>
          <w:p w14:paraId="2F206763">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0.241</w:t>
            </w:r>
          </w:p>
        </w:tc>
        <w:tc>
          <w:tcPr>
            <w:tcW w:w="1337" w:type="dxa"/>
            <w:tcBorders>
              <w:top w:val="nil"/>
              <w:left w:val="nil"/>
              <w:bottom w:val="nil"/>
              <w:right w:val="nil"/>
            </w:tcBorders>
            <w:shd w:val="clear" w:color="auto" w:fill="FFFFFF"/>
            <w:vAlign w:val="center"/>
          </w:tcPr>
          <w:p w14:paraId="7344BBBA">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0.256</w:t>
            </w:r>
          </w:p>
        </w:tc>
        <w:tc>
          <w:tcPr>
            <w:tcW w:w="1337" w:type="dxa"/>
            <w:tcBorders>
              <w:top w:val="nil"/>
              <w:left w:val="nil"/>
              <w:bottom w:val="nil"/>
              <w:right w:val="nil"/>
            </w:tcBorders>
            <w:shd w:val="clear" w:color="auto" w:fill="FFFFFF"/>
            <w:vAlign w:val="center"/>
          </w:tcPr>
          <w:p w14:paraId="412FBE2F">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-0.014</w:t>
            </w:r>
          </w:p>
        </w:tc>
        <w:tc>
          <w:tcPr>
            <w:tcW w:w="1337" w:type="dxa"/>
            <w:tcBorders>
              <w:top w:val="nil"/>
              <w:left w:val="nil"/>
              <w:bottom w:val="nil"/>
              <w:right w:val="nil"/>
            </w:tcBorders>
            <w:shd w:val="clear" w:color="auto" w:fill="FFFFFF"/>
            <w:vAlign w:val="center"/>
          </w:tcPr>
          <w:p w14:paraId="0C5BAD76">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.626</w:t>
            </w:r>
          </w:p>
        </w:tc>
        <w:tc>
          <w:tcPr>
            <w:tcW w:w="1337" w:type="dxa"/>
            <w:tcBorders>
              <w:top w:val="nil"/>
              <w:left w:val="nil"/>
              <w:bottom w:val="nil"/>
              <w:right w:val="nil"/>
            </w:tcBorders>
            <w:shd w:val="clear" w:color="auto" w:fill="FFFFFF"/>
            <w:vAlign w:val="center"/>
          </w:tcPr>
          <w:p w14:paraId="36C0E8C8">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.626</w:t>
            </w:r>
          </w:p>
        </w:tc>
      </w:tr>
      <w:tr w14:paraId="064DEF62">
        <w:trPr>
          <w:jc w:val="center"/>
        </w:trPr>
        <w:tc>
          <w:tcPr>
            <w:tcW w:w="1337" w:type="dxa"/>
            <w:tcBorders>
              <w:top w:val="nil"/>
              <w:left w:val="nil"/>
              <w:bottom w:val="single" w:color="000000" w:sz="12" w:space="0"/>
              <w:right w:val="nil"/>
            </w:tcBorders>
            <w:shd w:val="clear" w:color="auto" w:fill="FFFFFF"/>
            <w:vAlign w:val="center"/>
          </w:tcPr>
          <w:p w14:paraId="1B4CD28A">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GAD7</w:t>
            </w:r>
          </w:p>
        </w:tc>
        <w:tc>
          <w:tcPr>
            <w:tcW w:w="1337" w:type="dxa"/>
            <w:tcBorders>
              <w:top w:val="nil"/>
              <w:left w:val="nil"/>
              <w:bottom w:val="single" w:color="000000" w:sz="12" w:space="0"/>
              <w:right w:val="nil"/>
            </w:tcBorders>
            <w:shd w:val="clear" w:color="auto" w:fill="FFFFFF"/>
            <w:vAlign w:val="center"/>
          </w:tcPr>
          <w:p w14:paraId="52B3401F">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Mood</w:t>
            </w:r>
          </w:p>
        </w:tc>
        <w:tc>
          <w:tcPr>
            <w:tcW w:w="1337" w:type="dxa"/>
            <w:tcBorders>
              <w:top w:val="nil"/>
              <w:left w:val="nil"/>
              <w:bottom w:val="single" w:color="000000" w:sz="12" w:space="0"/>
              <w:right w:val="nil"/>
            </w:tcBorders>
            <w:shd w:val="clear" w:color="auto" w:fill="FFFFFF"/>
            <w:vAlign w:val="center"/>
          </w:tcPr>
          <w:p w14:paraId="0F7174E3">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0.123</w:t>
            </w:r>
          </w:p>
        </w:tc>
        <w:tc>
          <w:tcPr>
            <w:tcW w:w="1337" w:type="dxa"/>
            <w:tcBorders>
              <w:top w:val="nil"/>
              <w:left w:val="nil"/>
              <w:bottom w:val="single" w:color="000000" w:sz="12" w:space="0"/>
              <w:right w:val="nil"/>
            </w:tcBorders>
            <w:shd w:val="clear" w:color="auto" w:fill="FFFFFF"/>
            <w:vAlign w:val="center"/>
          </w:tcPr>
          <w:p w14:paraId="581FF47F">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0.181</w:t>
            </w:r>
          </w:p>
        </w:tc>
        <w:tc>
          <w:tcPr>
            <w:tcW w:w="1337" w:type="dxa"/>
            <w:tcBorders>
              <w:top w:val="nil"/>
              <w:left w:val="nil"/>
              <w:bottom w:val="single" w:color="000000" w:sz="12" w:space="0"/>
              <w:right w:val="nil"/>
            </w:tcBorders>
            <w:shd w:val="clear" w:color="auto" w:fill="FFFFFF"/>
            <w:vAlign w:val="center"/>
          </w:tcPr>
          <w:p w14:paraId="4E47DBFF">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-0.058</w:t>
            </w:r>
          </w:p>
        </w:tc>
        <w:tc>
          <w:tcPr>
            <w:tcW w:w="1337" w:type="dxa"/>
            <w:tcBorders>
              <w:top w:val="nil"/>
              <w:left w:val="nil"/>
              <w:bottom w:val="single" w:color="000000" w:sz="12" w:space="0"/>
              <w:right w:val="nil"/>
            </w:tcBorders>
            <w:shd w:val="clear" w:color="auto" w:fill="FFFFFF"/>
            <w:vAlign w:val="center"/>
          </w:tcPr>
          <w:p w14:paraId="4920712B">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.048</w:t>
            </w:r>
          </w:p>
        </w:tc>
        <w:tc>
          <w:tcPr>
            <w:tcW w:w="1337" w:type="dxa"/>
            <w:tcBorders>
              <w:top w:val="nil"/>
              <w:left w:val="nil"/>
              <w:bottom w:val="single" w:color="000000" w:sz="12" w:space="0"/>
              <w:right w:val="nil"/>
            </w:tcBorders>
            <w:shd w:val="clear" w:color="auto" w:fill="FFFFFF"/>
            <w:vAlign w:val="center"/>
          </w:tcPr>
          <w:p w14:paraId="78753D33">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.092</w:t>
            </w:r>
          </w:p>
        </w:tc>
      </w:tr>
    </w:tbl>
    <w:p w14:paraId="55C36B80">
      <w:pPr>
        <w:spacing w:line="480" w:lineRule="auto"/>
        <w:rPr>
          <w:rFonts w:hint="default" w:ascii="Times New Roman Italic" w:hAnsi="Times New Roman Italic" w:cs="Times New Roman Italic"/>
          <w:b w:val="0"/>
          <w:bCs w:val="0"/>
          <w:i/>
          <w:iCs/>
          <w:sz w:val="18"/>
          <w:szCs w:val="18"/>
          <w:highlight w:val="none"/>
        </w:rPr>
      </w:pPr>
      <w:r>
        <w:rPr>
          <w:rFonts w:hint="default" w:ascii="Times New Roman Bold Italic" w:hAnsi="Times New Roman Bold Italic" w:cs="Times New Roman Bold Italic"/>
          <w:b/>
          <w:bCs/>
          <w:i/>
          <w:iCs/>
          <w:sz w:val="18"/>
          <w:szCs w:val="18"/>
          <w:highlight w:val="none"/>
        </w:rPr>
        <w:t>Note.</w:t>
      </w:r>
      <w:r>
        <w:rPr>
          <w:rFonts w:hint="default" w:ascii="Times New Roman Italic" w:hAnsi="Times New Roman Italic" w:cs="Times New Roman Italic"/>
          <w:b w:val="0"/>
          <w:bCs w:val="0"/>
          <w:i/>
          <w:iCs/>
          <w:sz w:val="18"/>
          <w:szCs w:val="18"/>
          <w:highlight w:val="none"/>
        </w:rPr>
        <w:t xml:space="preserve"> Δ is urban minus rural. Raw p-values are based on 1,000 two-sided label permutations with the plus-one correction; pBH values control the false discovery rate across nine nodes.</w:t>
      </w:r>
    </w:p>
    <w:p w14:paraId="05830C98">
      <w:pPr>
        <w:keepNext/>
        <w:spacing w:line="480" w:lineRule="auto"/>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t>Table S8. Variable-specific missingness in the 41,859 source records</w:t>
      </w:r>
    </w:p>
    <w:tbl>
      <w:tblPr>
        <w:tblStyle w:val="16"/>
        <w:tblW w:w="0" w:type="auto"/>
        <w:jc w:val="center"/>
        <w:tblLayout w:type="autofit"/>
        <w:tblCellMar>
          <w:top w:w="0" w:type="dxa"/>
          <w:left w:w="108" w:type="dxa"/>
          <w:bottom w:w="0" w:type="dxa"/>
          <w:right w:w="108" w:type="dxa"/>
        </w:tblCellMar>
      </w:tblPr>
      <w:tblGrid>
        <w:gridCol w:w="2340"/>
        <w:gridCol w:w="2340"/>
        <w:gridCol w:w="2340"/>
        <w:gridCol w:w="2340"/>
      </w:tblGrid>
      <w:tr w14:paraId="0B308AB1">
        <w:trPr>
          <w:tblHeader/>
          <w:jc w:val="center"/>
        </w:trPr>
        <w:tc>
          <w:tcPr>
            <w:tcW w:w="2340" w:type="dxa"/>
            <w:tcBorders>
              <w:top w:val="single" w:color="000000" w:sz="12" w:space="0"/>
              <w:left w:val="nil"/>
              <w:bottom w:val="single" w:color="000000" w:sz="4" w:space="0"/>
              <w:right w:val="nil"/>
              <w:tl2br w:val="nil"/>
            </w:tcBorders>
            <w:shd w:val="clear" w:color="auto" w:fill="FFFFFF"/>
            <w:vAlign w:val="center"/>
          </w:tcPr>
          <w:p w14:paraId="6B4350D7">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Variable</w:t>
            </w:r>
          </w:p>
        </w:tc>
        <w:tc>
          <w:tcPr>
            <w:tcW w:w="2340" w:type="dxa"/>
            <w:tcBorders>
              <w:top w:val="single" w:color="000000" w:sz="12" w:space="0"/>
              <w:left w:val="nil"/>
              <w:bottom w:val="single" w:color="000000" w:sz="4" w:space="0"/>
              <w:right w:val="nil"/>
            </w:tcBorders>
            <w:shd w:val="clear" w:color="auto" w:fill="FFFFFF"/>
            <w:vAlign w:val="center"/>
          </w:tcPr>
          <w:p w14:paraId="5B05F63B">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Overall missing</w:t>
            </w:r>
          </w:p>
        </w:tc>
        <w:tc>
          <w:tcPr>
            <w:tcW w:w="2340" w:type="dxa"/>
            <w:tcBorders>
              <w:top w:val="single" w:color="000000" w:sz="12" w:space="0"/>
              <w:left w:val="nil"/>
              <w:bottom w:val="single" w:color="000000" w:sz="4" w:space="0"/>
              <w:right w:val="nil"/>
            </w:tcBorders>
            <w:shd w:val="clear" w:color="auto" w:fill="FFFFFF"/>
            <w:vAlign w:val="center"/>
          </w:tcPr>
          <w:p w14:paraId="517005C7">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Urban missing</w:t>
            </w:r>
          </w:p>
        </w:tc>
        <w:tc>
          <w:tcPr>
            <w:tcW w:w="2340" w:type="dxa"/>
            <w:tcBorders>
              <w:top w:val="single" w:color="000000" w:sz="12" w:space="0"/>
              <w:left w:val="nil"/>
              <w:bottom w:val="single" w:color="000000" w:sz="4" w:space="0"/>
              <w:right w:val="nil"/>
            </w:tcBorders>
            <w:shd w:val="clear" w:color="auto" w:fill="FFFFFF"/>
            <w:vAlign w:val="center"/>
          </w:tcPr>
          <w:p w14:paraId="43328A58">
            <w:pPr>
              <w:spacing w:after="0" w:line="480" w:lineRule="auto"/>
              <w:jc w:val="left"/>
              <w:rPr>
                <w:rFonts w:hint="default" w:ascii="Times New Roman Bold" w:hAnsi="Times New Roman Bold" w:cs="Times New Roman Bold"/>
                <w:b/>
                <w:bCs/>
                <w:color w:val="000000"/>
                <w:highlight w:val="none"/>
              </w:rPr>
            </w:pPr>
            <w:r>
              <w:rPr>
                <w:rFonts w:hint="default" w:ascii="Times New Roman Bold" w:hAnsi="Times New Roman Bold" w:cs="Times New Roman Bold"/>
                <w:b/>
                <w:bCs/>
                <w:color w:val="000000"/>
                <w:sz w:val="17"/>
                <w:highlight w:val="none"/>
              </w:rPr>
              <w:t>Rural missing</w:t>
            </w:r>
          </w:p>
        </w:tc>
      </w:tr>
      <w:tr w14:paraId="1E88A90A">
        <w:trPr>
          <w:jc w:val="center"/>
        </w:trPr>
        <w:tc>
          <w:tcPr>
            <w:tcW w:w="2340" w:type="dxa"/>
            <w:tcBorders>
              <w:top w:val="single" w:color="000000" w:sz="4" w:space="0"/>
              <w:left w:val="nil"/>
              <w:bottom w:val="nil"/>
              <w:right w:val="nil"/>
            </w:tcBorders>
            <w:shd w:val="clear" w:color="auto" w:fill="FFFFFF"/>
            <w:vAlign w:val="center"/>
          </w:tcPr>
          <w:p w14:paraId="3A7FE44C">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Insomnia severity (ISI)</w:t>
            </w:r>
          </w:p>
        </w:tc>
        <w:tc>
          <w:tcPr>
            <w:tcW w:w="2340" w:type="dxa"/>
            <w:tcBorders>
              <w:top w:val="single" w:color="000000" w:sz="4" w:space="0"/>
              <w:left w:val="nil"/>
              <w:bottom w:val="nil"/>
              <w:right w:val="nil"/>
            </w:tcBorders>
            <w:shd w:val="clear" w:color="auto" w:fill="FFFFFF"/>
            <w:vAlign w:val="center"/>
          </w:tcPr>
          <w:p w14:paraId="23485BB7">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17 (0.0%)</w:t>
            </w:r>
          </w:p>
        </w:tc>
        <w:tc>
          <w:tcPr>
            <w:tcW w:w="2340" w:type="dxa"/>
            <w:tcBorders>
              <w:top w:val="single" w:color="000000" w:sz="4" w:space="0"/>
              <w:left w:val="nil"/>
              <w:bottom w:val="nil"/>
              <w:right w:val="nil"/>
            </w:tcBorders>
            <w:shd w:val="clear" w:color="auto" w:fill="FFFFFF"/>
            <w:vAlign w:val="center"/>
          </w:tcPr>
          <w:p w14:paraId="4325BAB5">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10 (0.0%)</w:t>
            </w:r>
          </w:p>
        </w:tc>
        <w:tc>
          <w:tcPr>
            <w:tcW w:w="2340" w:type="dxa"/>
            <w:tcBorders>
              <w:top w:val="single" w:color="000000" w:sz="4" w:space="0"/>
              <w:left w:val="nil"/>
              <w:bottom w:val="nil"/>
              <w:right w:val="nil"/>
            </w:tcBorders>
            <w:shd w:val="clear" w:color="auto" w:fill="FFFFFF"/>
            <w:vAlign w:val="center"/>
          </w:tcPr>
          <w:p w14:paraId="1EB41BDA">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7 (0.0%)</w:t>
            </w:r>
          </w:p>
        </w:tc>
      </w:tr>
      <w:tr w14:paraId="006C2E81">
        <w:trPr>
          <w:jc w:val="center"/>
        </w:trPr>
        <w:tc>
          <w:tcPr>
            <w:tcW w:w="2340" w:type="dxa"/>
            <w:tcBorders>
              <w:top w:val="nil"/>
              <w:left w:val="nil"/>
              <w:bottom w:val="nil"/>
              <w:right w:val="nil"/>
            </w:tcBorders>
            <w:shd w:val="clear" w:color="auto" w:fill="FFFFFF"/>
            <w:vAlign w:val="center"/>
          </w:tcPr>
          <w:p w14:paraId="622A11FD">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Daytime sleepiness (ESS)</w:t>
            </w:r>
          </w:p>
        </w:tc>
        <w:tc>
          <w:tcPr>
            <w:tcW w:w="2340" w:type="dxa"/>
            <w:tcBorders>
              <w:top w:val="nil"/>
              <w:left w:val="nil"/>
              <w:bottom w:val="nil"/>
              <w:right w:val="nil"/>
            </w:tcBorders>
            <w:shd w:val="clear" w:color="auto" w:fill="FFFFFF"/>
            <w:vAlign w:val="center"/>
          </w:tcPr>
          <w:p w14:paraId="039D11FF">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3,867 (9.2%)</w:t>
            </w:r>
          </w:p>
        </w:tc>
        <w:tc>
          <w:tcPr>
            <w:tcW w:w="2340" w:type="dxa"/>
            <w:tcBorders>
              <w:top w:val="nil"/>
              <w:left w:val="nil"/>
              <w:bottom w:val="nil"/>
              <w:right w:val="nil"/>
            </w:tcBorders>
            <w:shd w:val="clear" w:color="auto" w:fill="FFFFFF"/>
            <w:vAlign w:val="center"/>
          </w:tcPr>
          <w:p w14:paraId="756B13B0">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2,268 (8.9%)</w:t>
            </w:r>
          </w:p>
        </w:tc>
        <w:tc>
          <w:tcPr>
            <w:tcW w:w="2340" w:type="dxa"/>
            <w:tcBorders>
              <w:top w:val="nil"/>
              <w:left w:val="nil"/>
              <w:bottom w:val="nil"/>
              <w:right w:val="nil"/>
            </w:tcBorders>
            <w:shd w:val="clear" w:color="auto" w:fill="FFFFFF"/>
            <w:vAlign w:val="center"/>
          </w:tcPr>
          <w:p w14:paraId="58D894C7">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1,599 (9.8%)</w:t>
            </w:r>
          </w:p>
        </w:tc>
      </w:tr>
      <w:tr w14:paraId="472098E0">
        <w:trPr>
          <w:jc w:val="center"/>
        </w:trPr>
        <w:tc>
          <w:tcPr>
            <w:tcW w:w="2340" w:type="dxa"/>
            <w:tcBorders>
              <w:top w:val="nil"/>
              <w:left w:val="nil"/>
              <w:bottom w:val="nil"/>
              <w:right w:val="nil"/>
            </w:tcBorders>
            <w:shd w:val="clear" w:color="auto" w:fill="FFFFFF"/>
            <w:vAlign w:val="center"/>
          </w:tcPr>
          <w:p w14:paraId="1B641C23">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Depressive symptoms (PHQ-9)</w:t>
            </w:r>
          </w:p>
        </w:tc>
        <w:tc>
          <w:tcPr>
            <w:tcW w:w="2340" w:type="dxa"/>
            <w:tcBorders>
              <w:top w:val="nil"/>
              <w:left w:val="nil"/>
              <w:bottom w:val="nil"/>
              <w:right w:val="nil"/>
            </w:tcBorders>
            <w:shd w:val="clear" w:color="auto" w:fill="FFFFFF"/>
            <w:vAlign w:val="center"/>
          </w:tcPr>
          <w:p w14:paraId="771E65BE">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c>
          <w:tcPr>
            <w:tcW w:w="2340" w:type="dxa"/>
            <w:tcBorders>
              <w:top w:val="nil"/>
              <w:left w:val="nil"/>
              <w:bottom w:val="nil"/>
              <w:right w:val="nil"/>
            </w:tcBorders>
            <w:shd w:val="clear" w:color="auto" w:fill="FFFFFF"/>
            <w:vAlign w:val="center"/>
          </w:tcPr>
          <w:p w14:paraId="23372BB0">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c>
          <w:tcPr>
            <w:tcW w:w="2340" w:type="dxa"/>
            <w:tcBorders>
              <w:top w:val="nil"/>
              <w:left w:val="nil"/>
              <w:bottom w:val="nil"/>
              <w:right w:val="nil"/>
            </w:tcBorders>
            <w:shd w:val="clear" w:color="auto" w:fill="FFFFFF"/>
            <w:vAlign w:val="center"/>
          </w:tcPr>
          <w:p w14:paraId="73F93E6D">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r>
      <w:tr w14:paraId="09B0BCB7">
        <w:trPr>
          <w:jc w:val="center"/>
        </w:trPr>
        <w:tc>
          <w:tcPr>
            <w:tcW w:w="2340" w:type="dxa"/>
            <w:tcBorders>
              <w:top w:val="nil"/>
              <w:left w:val="nil"/>
              <w:bottom w:val="nil"/>
              <w:right w:val="nil"/>
            </w:tcBorders>
            <w:shd w:val="clear" w:color="auto" w:fill="FFFFFF"/>
            <w:vAlign w:val="center"/>
          </w:tcPr>
          <w:p w14:paraId="04DBF934">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Anxiety symptoms (GAD-7)</w:t>
            </w:r>
          </w:p>
        </w:tc>
        <w:tc>
          <w:tcPr>
            <w:tcW w:w="2340" w:type="dxa"/>
            <w:tcBorders>
              <w:top w:val="nil"/>
              <w:left w:val="nil"/>
              <w:bottom w:val="nil"/>
              <w:right w:val="nil"/>
            </w:tcBorders>
            <w:shd w:val="clear" w:color="auto" w:fill="FFFFFF"/>
            <w:vAlign w:val="center"/>
          </w:tcPr>
          <w:p w14:paraId="4D5E89E8">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c>
          <w:tcPr>
            <w:tcW w:w="2340" w:type="dxa"/>
            <w:tcBorders>
              <w:top w:val="nil"/>
              <w:left w:val="nil"/>
              <w:bottom w:val="nil"/>
              <w:right w:val="nil"/>
            </w:tcBorders>
            <w:shd w:val="clear" w:color="auto" w:fill="FFFFFF"/>
            <w:vAlign w:val="center"/>
          </w:tcPr>
          <w:p w14:paraId="6EEB4D30">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c>
          <w:tcPr>
            <w:tcW w:w="2340" w:type="dxa"/>
            <w:tcBorders>
              <w:top w:val="nil"/>
              <w:left w:val="nil"/>
              <w:bottom w:val="nil"/>
              <w:right w:val="nil"/>
            </w:tcBorders>
            <w:shd w:val="clear" w:color="auto" w:fill="FFFFFF"/>
            <w:vAlign w:val="center"/>
          </w:tcPr>
          <w:p w14:paraId="170F7B77">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r>
      <w:tr w14:paraId="73BF54C7">
        <w:trPr>
          <w:jc w:val="center"/>
        </w:trPr>
        <w:tc>
          <w:tcPr>
            <w:tcW w:w="2340" w:type="dxa"/>
            <w:tcBorders>
              <w:top w:val="nil"/>
              <w:left w:val="nil"/>
              <w:bottom w:val="nil"/>
              <w:right w:val="nil"/>
            </w:tcBorders>
            <w:shd w:val="clear" w:color="auto" w:fill="FFFFFF"/>
            <w:vAlign w:val="center"/>
          </w:tcPr>
          <w:p w14:paraId="77980432">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Subjective cognitive decline (SCD)</w:t>
            </w:r>
          </w:p>
        </w:tc>
        <w:tc>
          <w:tcPr>
            <w:tcW w:w="2340" w:type="dxa"/>
            <w:tcBorders>
              <w:top w:val="nil"/>
              <w:left w:val="nil"/>
              <w:bottom w:val="nil"/>
              <w:right w:val="nil"/>
            </w:tcBorders>
            <w:shd w:val="clear" w:color="auto" w:fill="FFFFFF"/>
            <w:vAlign w:val="center"/>
          </w:tcPr>
          <w:p w14:paraId="107E9403">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c>
          <w:tcPr>
            <w:tcW w:w="2340" w:type="dxa"/>
            <w:tcBorders>
              <w:top w:val="nil"/>
              <w:left w:val="nil"/>
              <w:bottom w:val="nil"/>
              <w:right w:val="nil"/>
            </w:tcBorders>
            <w:shd w:val="clear" w:color="auto" w:fill="FFFFFF"/>
            <w:vAlign w:val="center"/>
          </w:tcPr>
          <w:p w14:paraId="0BCD0192">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c>
          <w:tcPr>
            <w:tcW w:w="2340" w:type="dxa"/>
            <w:tcBorders>
              <w:top w:val="nil"/>
              <w:left w:val="nil"/>
              <w:bottom w:val="nil"/>
              <w:right w:val="nil"/>
            </w:tcBorders>
            <w:shd w:val="clear" w:color="auto" w:fill="FFFFFF"/>
            <w:vAlign w:val="center"/>
          </w:tcPr>
          <w:p w14:paraId="72162882">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r>
      <w:tr w14:paraId="39407227">
        <w:trPr>
          <w:jc w:val="center"/>
        </w:trPr>
        <w:tc>
          <w:tcPr>
            <w:tcW w:w="2340" w:type="dxa"/>
            <w:tcBorders>
              <w:top w:val="nil"/>
              <w:left w:val="nil"/>
              <w:bottom w:val="nil"/>
              <w:right w:val="nil"/>
            </w:tcBorders>
            <w:shd w:val="clear" w:color="auto" w:fill="FFFFFF"/>
            <w:vAlign w:val="center"/>
          </w:tcPr>
          <w:p w14:paraId="7603A73D">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Cognitive-change screening (AD8)</w:t>
            </w:r>
          </w:p>
        </w:tc>
        <w:tc>
          <w:tcPr>
            <w:tcW w:w="2340" w:type="dxa"/>
            <w:tcBorders>
              <w:top w:val="nil"/>
              <w:left w:val="nil"/>
              <w:bottom w:val="nil"/>
              <w:right w:val="nil"/>
            </w:tcBorders>
            <w:shd w:val="clear" w:color="auto" w:fill="FFFFFF"/>
            <w:vAlign w:val="center"/>
          </w:tcPr>
          <w:p w14:paraId="0236BD8F">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c>
          <w:tcPr>
            <w:tcW w:w="2340" w:type="dxa"/>
            <w:tcBorders>
              <w:top w:val="nil"/>
              <w:left w:val="nil"/>
              <w:bottom w:val="nil"/>
              <w:right w:val="nil"/>
            </w:tcBorders>
            <w:shd w:val="clear" w:color="auto" w:fill="FFFFFF"/>
            <w:vAlign w:val="center"/>
          </w:tcPr>
          <w:p w14:paraId="4D7BFDC7">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c>
          <w:tcPr>
            <w:tcW w:w="2340" w:type="dxa"/>
            <w:tcBorders>
              <w:top w:val="nil"/>
              <w:left w:val="nil"/>
              <w:bottom w:val="nil"/>
              <w:right w:val="nil"/>
            </w:tcBorders>
            <w:shd w:val="clear" w:color="auto" w:fill="FFFFFF"/>
            <w:vAlign w:val="center"/>
          </w:tcPr>
          <w:p w14:paraId="40E9AC0F">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r>
      <w:tr w14:paraId="0CDCEA73">
        <w:trPr>
          <w:jc w:val="center"/>
        </w:trPr>
        <w:tc>
          <w:tcPr>
            <w:tcW w:w="2340" w:type="dxa"/>
            <w:tcBorders>
              <w:top w:val="nil"/>
              <w:left w:val="nil"/>
              <w:bottom w:val="nil"/>
              <w:right w:val="nil"/>
            </w:tcBorders>
            <w:shd w:val="clear" w:color="auto" w:fill="FFFFFF"/>
            <w:vAlign w:val="center"/>
          </w:tcPr>
          <w:p w14:paraId="57089B26">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Physical functioning (PF)</w:t>
            </w:r>
          </w:p>
        </w:tc>
        <w:tc>
          <w:tcPr>
            <w:tcW w:w="2340" w:type="dxa"/>
            <w:tcBorders>
              <w:top w:val="nil"/>
              <w:left w:val="nil"/>
              <w:bottom w:val="nil"/>
              <w:right w:val="nil"/>
            </w:tcBorders>
            <w:shd w:val="clear" w:color="auto" w:fill="FFFFFF"/>
            <w:vAlign w:val="center"/>
          </w:tcPr>
          <w:p w14:paraId="437723BD">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c>
          <w:tcPr>
            <w:tcW w:w="2340" w:type="dxa"/>
            <w:tcBorders>
              <w:top w:val="nil"/>
              <w:left w:val="nil"/>
              <w:bottom w:val="nil"/>
              <w:right w:val="nil"/>
            </w:tcBorders>
            <w:shd w:val="clear" w:color="auto" w:fill="FFFFFF"/>
            <w:vAlign w:val="center"/>
          </w:tcPr>
          <w:p w14:paraId="6AACDF48">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c>
          <w:tcPr>
            <w:tcW w:w="2340" w:type="dxa"/>
            <w:tcBorders>
              <w:top w:val="nil"/>
              <w:left w:val="nil"/>
              <w:bottom w:val="nil"/>
              <w:right w:val="nil"/>
            </w:tcBorders>
            <w:shd w:val="clear" w:color="auto" w:fill="FFFFFF"/>
            <w:vAlign w:val="center"/>
          </w:tcPr>
          <w:p w14:paraId="638AB51E">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r>
      <w:tr w14:paraId="4106FD34">
        <w:trPr>
          <w:jc w:val="center"/>
        </w:trPr>
        <w:tc>
          <w:tcPr>
            <w:tcW w:w="2340" w:type="dxa"/>
            <w:tcBorders>
              <w:top w:val="nil"/>
              <w:left w:val="nil"/>
              <w:bottom w:val="nil"/>
              <w:right w:val="nil"/>
            </w:tcBorders>
            <w:shd w:val="clear" w:color="auto" w:fill="FFFFFF"/>
            <w:vAlign w:val="center"/>
          </w:tcPr>
          <w:p w14:paraId="6ED91E11">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General health (GH)</w:t>
            </w:r>
          </w:p>
        </w:tc>
        <w:tc>
          <w:tcPr>
            <w:tcW w:w="2340" w:type="dxa"/>
            <w:tcBorders>
              <w:top w:val="nil"/>
              <w:left w:val="nil"/>
              <w:bottom w:val="nil"/>
              <w:right w:val="nil"/>
            </w:tcBorders>
            <w:shd w:val="clear" w:color="auto" w:fill="FFFFFF"/>
            <w:vAlign w:val="center"/>
          </w:tcPr>
          <w:p w14:paraId="42E48D76">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c>
          <w:tcPr>
            <w:tcW w:w="2340" w:type="dxa"/>
            <w:tcBorders>
              <w:top w:val="nil"/>
              <w:left w:val="nil"/>
              <w:bottom w:val="nil"/>
              <w:right w:val="nil"/>
            </w:tcBorders>
            <w:shd w:val="clear" w:color="auto" w:fill="FFFFFF"/>
            <w:vAlign w:val="center"/>
          </w:tcPr>
          <w:p w14:paraId="15FD5513">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c>
          <w:tcPr>
            <w:tcW w:w="2340" w:type="dxa"/>
            <w:tcBorders>
              <w:top w:val="nil"/>
              <w:left w:val="nil"/>
              <w:bottom w:val="nil"/>
              <w:right w:val="nil"/>
            </w:tcBorders>
            <w:shd w:val="clear" w:color="auto" w:fill="FFFFFF"/>
            <w:vAlign w:val="center"/>
          </w:tcPr>
          <w:p w14:paraId="38908145">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r>
      <w:tr w14:paraId="072AE1AD">
        <w:trPr>
          <w:jc w:val="center"/>
        </w:trPr>
        <w:tc>
          <w:tcPr>
            <w:tcW w:w="2340" w:type="dxa"/>
            <w:tcBorders>
              <w:top w:val="nil"/>
              <w:left w:val="nil"/>
              <w:bottom w:val="nil"/>
              <w:right w:val="nil"/>
            </w:tcBorders>
            <w:shd w:val="clear" w:color="auto" w:fill="FFFFFF"/>
            <w:vAlign w:val="center"/>
          </w:tcPr>
          <w:p w14:paraId="1DEE64FA">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Social functioning (SF)</w:t>
            </w:r>
          </w:p>
        </w:tc>
        <w:tc>
          <w:tcPr>
            <w:tcW w:w="2340" w:type="dxa"/>
            <w:tcBorders>
              <w:top w:val="nil"/>
              <w:left w:val="nil"/>
              <w:bottom w:val="nil"/>
              <w:right w:val="nil"/>
            </w:tcBorders>
            <w:shd w:val="clear" w:color="auto" w:fill="FFFFFF"/>
            <w:vAlign w:val="center"/>
          </w:tcPr>
          <w:p w14:paraId="7D92A5AC">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c>
          <w:tcPr>
            <w:tcW w:w="2340" w:type="dxa"/>
            <w:tcBorders>
              <w:top w:val="nil"/>
              <w:left w:val="nil"/>
              <w:bottom w:val="nil"/>
              <w:right w:val="nil"/>
            </w:tcBorders>
            <w:shd w:val="clear" w:color="auto" w:fill="FFFFFF"/>
            <w:vAlign w:val="center"/>
          </w:tcPr>
          <w:p w14:paraId="34CA2925">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c>
          <w:tcPr>
            <w:tcW w:w="2340" w:type="dxa"/>
            <w:tcBorders>
              <w:top w:val="nil"/>
              <w:left w:val="nil"/>
              <w:bottom w:val="nil"/>
              <w:right w:val="nil"/>
            </w:tcBorders>
            <w:shd w:val="clear" w:color="auto" w:fill="FFFFFF"/>
            <w:vAlign w:val="center"/>
          </w:tcPr>
          <w:p w14:paraId="51534AEB">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r>
      <w:tr w14:paraId="7E0489AE">
        <w:trPr>
          <w:jc w:val="center"/>
        </w:trPr>
        <w:tc>
          <w:tcPr>
            <w:tcW w:w="2340" w:type="dxa"/>
            <w:tcBorders>
              <w:top w:val="nil"/>
              <w:left w:val="nil"/>
              <w:bottom w:val="nil"/>
              <w:right w:val="nil"/>
            </w:tcBorders>
            <w:shd w:val="clear" w:color="auto" w:fill="FFFFFF"/>
            <w:vAlign w:val="center"/>
          </w:tcPr>
          <w:p w14:paraId="2D038984">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Female sex, n (%)</w:t>
            </w:r>
          </w:p>
        </w:tc>
        <w:tc>
          <w:tcPr>
            <w:tcW w:w="2340" w:type="dxa"/>
            <w:tcBorders>
              <w:top w:val="nil"/>
              <w:left w:val="nil"/>
              <w:bottom w:val="nil"/>
              <w:right w:val="nil"/>
            </w:tcBorders>
            <w:shd w:val="clear" w:color="auto" w:fill="FFFFFF"/>
            <w:vAlign w:val="center"/>
          </w:tcPr>
          <w:p w14:paraId="1557DF3C">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c>
          <w:tcPr>
            <w:tcW w:w="2340" w:type="dxa"/>
            <w:tcBorders>
              <w:top w:val="nil"/>
              <w:left w:val="nil"/>
              <w:bottom w:val="nil"/>
              <w:right w:val="nil"/>
            </w:tcBorders>
            <w:shd w:val="clear" w:color="auto" w:fill="FFFFFF"/>
            <w:vAlign w:val="center"/>
          </w:tcPr>
          <w:p w14:paraId="6C66C4AD">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c>
          <w:tcPr>
            <w:tcW w:w="2340" w:type="dxa"/>
            <w:tcBorders>
              <w:top w:val="nil"/>
              <w:left w:val="nil"/>
              <w:bottom w:val="nil"/>
              <w:right w:val="nil"/>
            </w:tcBorders>
            <w:shd w:val="clear" w:color="auto" w:fill="FFFFFF"/>
            <w:vAlign w:val="center"/>
          </w:tcPr>
          <w:p w14:paraId="6608DE7B">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r>
      <w:tr w14:paraId="0928226D">
        <w:trPr>
          <w:jc w:val="center"/>
        </w:trPr>
        <w:tc>
          <w:tcPr>
            <w:tcW w:w="2340" w:type="dxa"/>
            <w:tcBorders>
              <w:top w:val="nil"/>
              <w:left w:val="nil"/>
              <w:bottom w:val="nil"/>
              <w:right w:val="nil"/>
            </w:tcBorders>
            <w:shd w:val="clear" w:color="auto" w:fill="FFFFFF"/>
            <w:vAlign w:val="center"/>
          </w:tcPr>
          <w:p w14:paraId="060BC4EA">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Age, years</w:t>
            </w:r>
          </w:p>
        </w:tc>
        <w:tc>
          <w:tcPr>
            <w:tcW w:w="2340" w:type="dxa"/>
            <w:tcBorders>
              <w:top w:val="nil"/>
              <w:left w:val="nil"/>
              <w:bottom w:val="nil"/>
              <w:right w:val="nil"/>
            </w:tcBorders>
            <w:shd w:val="clear" w:color="auto" w:fill="FFFFFF"/>
            <w:vAlign w:val="center"/>
          </w:tcPr>
          <w:p w14:paraId="0E1BC8EA">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3 (0.0%)</w:t>
            </w:r>
          </w:p>
        </w:tc>
        <w:tc>
          <w:tcPr>
            <w:tcW w:w="2340" w:type="dxa"/>
            <w:tcBorders>
              <w:top w:val="nil"/>
              <w:left w:val="nil"/>
              <w:bottom w:val="nil"/>
              <w:right w:val="nil"/>
            </w:tcBorders>
            <w:shd w:val="clear" w:color="auto" w:fill="FFFFFF"/>
            <w:vAlign w:val="center"/>
          </w:tcPr>
          <w:p w14:paraId="5DB771F4">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1 (0.0%)</w:t>
            </w:r>
          </w:p>
        </w:tc>
        <w:tc>
          <w:tcPr>
            <w:tcW w:w="2340" w:type="dxa"/>
            <w:tcBorders>
              <w:top w:val="nil"/>
              <w:left w:val="nil"/>
              <w:bottom w:val="nil"/>
              <w:right w:val="nil"/>
            </w:tcBorders>
            <w:shd w:val="clear" w:color="auto" w:fill="FFFFFF"/>
            <w:vAlign w:val="center"/>
          </w:tcPr>
          <w:p w14:paraId="4536A27A">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2 (0.0%)</w:t>
            </w:r>
          </w:p>
        </w:tc>
      </w:tr>
      <w:tr w14:paraId="1719244C">
        <w:trPr>
          <w:jc w:val="center"/>
        </w:trPr>
        <w:tc>
          <w:tcPr>
            <w:tcW w:w="2340" w:type="dxa"/>
            <w:tcBorders>
              <w:top w:val="nil"/>
              <w:left w:val="nil"/>
              <w:bottom w:val="nil"/>
              <w:right w:val="nil"/>
            </w:tcBorders>
            <w:shd w:val="clear" w:color="auto" w:fill="FFFFFF"/>
            <w:vAlign w:val="center"/>
          </w:tcPr>
          <w:p w14:paraId="267B4EE3">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Education category (1-10)</w:t>
            </w:r>
          </w:p>
        </w:tc>
        <w:tc>
          <w:tcPr>
            <w:tcW w:w="2340" w:type="dxa"/>
            <w:tcBorders>
              <w:top w:val="nil"/>
              <w:left w:val="nil"/>
              <w:bottom w:val="nil"/>
              <w:right w:val="nil"/>
            </w:tcBorders>
            <w:shd w:val="clear" w:color="auto" w:fill="FFFFFF"/>
            <w:vAlign w:val="center"/>
          </w:tcPr>
          <w:p w14:paraId="427A33C0">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c>
          <w:tcPr>
            <w:tcW w:w="2340" w:type="dxa"/>
            <w:tcBorders>
              <w:top w:val="nil"/>
              <w:left w:val="nil"/>
              <w:bottom w:val="nil"/>
              <w:right w:val="nil"/>
            </w:tcBorders>
            <w:shd w:val="clear" w:color="auto" w:fill="FFFFFF"/>
            <w:vAlign w:val="center"/>
          </w:tcPr>
          <w:p w14:paraId="44D60D01">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c>
          <w:tcPr>
            <w:tcW w:w="2340" w:type="dxa"/>
            <w:tcBorders>
              <w:top w:val="nil"/>
              <w:left w:val="nil"/>
              <w:bottom w:val="nil"/>
              <w:right w:val="nil"/>
            </w:tcBorders>
            <w:shd w:val="clear" w:color="auto" w:fill="FFFFFF"/>
            <w:vAlign w:val="center"/>
          </w:tcPr>
          <w:p w14:paraId="4CD8B76C">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r>
      <w:tr w14:paraId="11378E5E">
        <w:trPr>
          <w:jc w:val="center"/>
        </w:trPr>
        <w:tc>
          <w:tcPr>
            <w:tcW w:w="2340" w:type="dxa"/>
            <w:tcBorders>
              <w:top w:val="nil"/>
              <w:left w:val="nil"/>
              <w:bottom w:val="nil"/>
              <w:right w:val="nil"/>
            </w:tcBorders>
            <w:shd w:val="clear" w:color="auto" w:fill="FFFFFF"/>
            <w:vAlign w:val="center"/>
          </w:tcPr>
          <w:p w14:paraId="6E20734A">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Personal-income category (1-8)</w:t>
            </w:r>
          </w:p>
        </w:tc>
        <w:tc>
          <w:tcPr>
            <w:tcW w:w="2340" w:type="dxa"/>
            <w:tcBorders>
              <w:top w:val="nil"/>
              <w:left w:val="nil"/>
              <w:bottom w:val="nil"/>
              <w:right w:val="nil"/>
            </w:tcBorders>
            <w:shd w:val="clear" w:color="auto" w:fill="FFFFFF"/>
            <w:vAlign w:val="center"/>
          </w:tcPr>
          <w:p w14:paraId="36A7DEA5">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5,735 (13.7%)</w:t>
            </w:r>
          </w:p>
        </w:tc>
        <w:tc>
          <w:tcPr>
            <w:tcW w:w="2340" w:type="dxa"/>
            <w:tcBorders>
              <w:top w:val="nil"/>
              <w:left w:val="nil"/>
              <w:bottom w:val="nil"/>
              <w:right w:val="nil"/>
            </w:tcBorders>
            <w:shd w:val="clear" w:color="auto" w:fill="FFFFFF"/>
            <w:vAlign w:val="center"/>
          </w:tcPr>
          <w:p w14:paraId="4B7AD6FF">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3,023 (11.8%)</w:t>
            </w:r>
          </w:p>
        </w:tc>
        <w:tc>
          <w:tcPr>
            <w:tcW w:w="2340" w:type="dxa"/>
            <w:tcBorders>
              <w:top w:val="nil"/>
              <w:left w:val="nil"/>
              <w:bottom w:val="nil"/>
              <w:right w:val="nil"/>
            </w:tcBorders>
            <w:shd w:val="clear" w:color="auto" w:fill="FFFFFF"/>
            <w:vAlign w:val="center"/>
          </w:tcPr>
          <w:p w14:paraId="2B31449F">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2,712 (16.6%)</w:t>
            </w:r>
          </w:p>
        </w:tc>
      </w:tr>
      <w:tr w14:paraId="353636E6">
        <w:trPr>
          <w:jc w:val="center"/>
        </w:trPr>
        <w:tc>
          <w:tcPr>
            <w:tcW w:w="2340" w:type="dxa"/>
            <w:tcBorders>
              <w:top w:val="nil"/>
              <w:left w:val="nil"/>
              <w:bottom w:val="single" w:color="000000" w:sz="12" w:space="0"/>
              <w:right w:val="nil"/>
            </w:tcBorders>
            <w:shd w:val="clear" w:color="auto" w:fill="FFFFFF"/>
            <w:vAlign w:val="center"/>
          </w:tcPr>
          <w:p w14:paraId="2FAD8C65">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Pre-retirement occupational rank (1-5)</w:t>
            </w:r>
          </w:p>
        </w:tc>
        <w:tc>
          <w:tcPr>
            <w:tcW w:w="2340" w:type="dxa"/>
            <w:tcBorders>
              <w:top w:val="nil"/>
              <w:left w:val="nil"/>
              <w:bottom w:val="single" w:color="000000" w:sz="12" w:space="0"/>
              <w:right w:val="nil"/>
            </w:tcBorders>
            <w:shd w:val="clear" w:color="auto" w:fill="FFFFFF"/>
            <w:vAlign w:val="center"/>
          </w:tcPr>
          <w:p w14:paraId="4B71614D">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c>
          <w:tcPr>
            <w:tcW w:w="2340" w:type="dxa"/>
            <w:tcBorders>
              <w:top w:val="nil"/>
              <w:left w:val="nil"/>
              <w:bottom w:val="single" w:color="000000" w:sz="12" w:space="0"/>
              <w:right w:val="nil"/>
            </w:tcBorders>
            <w:shd w:val="clear" w:color="auto" w:fill="FFFFFF"/>
            <w:vAlign w:val="center"/>
          </w:tcPr>
          <w:p w14:paraId="22FE38F6">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c>
          <w:tcPr>
            <w:tcW w:w="2340" w:type="dxa"/>
            <w:tcBorders>
              <w:top w:val="nil"/>
              <w:left w:val="nil"/>
              <w:bottom w:val="single" w:color="000000" w:sz="12" w:space="0"/>
              <w:right w:val="nil"/>
            </w:tcBorders>
            <w:shd w:val="clear" w:color="auto" w:fill="FFFFFF"/>
            <w:vAlign w:val="center"/>
          </w:tcPr>
          <w:p w14:paraId="1EE20E75">
            <w:pPr>
              <w:spacing w:after="0" w:line="480" w:lineRule="auto"/>
              <w:jc w:val="left"/>
              <w:rPr>
                <w:rFonts w:hint="default" w:ascii="Times New Roman Regular" w:hAnsi="Times New Roman Regular" w:cs="Times New Roman Regular"/>
                <w:b w:val="0"/>
                <w:bCs w:val="0"/>
                <w:color w:val="000000"/>
                <w:highlight w:val="none"/>
              </w:rPr>
            </w:pPr>
            <w:r>
              <w:rPr>
                <w:rFonts w:hint="default" w:ascii="Times New Roman Regular" w:hAnsi="Times New Roman Regular" w:cs="Times New Roman Regular"/>
                <w:b w:val="0"/>
                <w:bCs w:val="0"/>
                <w:color w:val="000000"/>
                <w:sz w:val="17"/>
                <w:highlight w:val="none"/>
              </w:rPr>
              <w:t>0 (0.0%)</w:t>
            </w:r>
          </w:p>
        </w:tc>
      </w:tr>
    </w:tbl>
    <w:p w14:paraId="515F9378">
      <w:pPr>
        <w:spacing w:line="480" w:lineRule="auto"/>
        <w:rPr>
          <w:rFonts w:hint="default" w:ascii="Times New Roman Italic" w:hAnsi="Times New Roman Italic" w:cs="Times New Roman Italic"/>
          <w:b w:val="0"/>
          <w:bCs w:val="0"/>
          <w:i/>
          <w:iCs/>
          <w:sz w:val="18"/>
          <w:szCs w:val="18"/>
          <w:highlight w:val="none"/>
        </w:rPr>
      </w:pPr>
      <w:r>
        <w:rPr>
          <w:rFonts w:hint="default" w:ascii="Times New Roman Bold Italic" w:hAnsi="Times New Roman Bold Italic" w:cs="Times New Roman Bold Italic"/>
          <w:b/>
          <w:bCs/>
          <w:i/>
          <w:iCs/>
          <w:sz w:val="18"/>
          <w:szCs w:val="18"/>
          <w:highlight w:val="none"/>
        </w:rPr>
        <w:t>Note.</w:t>
      </w:r>
      <w:r>
        <w:rPr>
          <w:rFonts w:hint="default" w:ascii="Times New Roman Italic" w:hAnsi="Times New Roman Italic" w:cs="Times New Roman Italic"/>
          <w:b w:val="0"/>
          <w:bCs w:val="0"/>
          <w:i/>
          <w:iCs/>
          <w:sz w:val="18"/>
          <w:szCs w:val="18"/>
          <w:highlight w:val="none"/>
        </w:rPr>
        <w:t xml:space="preserve"> Urban and rural denominators are 25,553 and 16,306 source records, respectively. The complete-case network sample has no missing values on these variables by definition.</w:t>
      </w:r>
    </w:p>
    <w:p w14:paraId="6E135D23">
      <w:pPr>
        <w:pStyle w:val="3"/>
        <w:spacing w:line="480" w:lineRule="auto"/>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t>Reproducibility</w:t>
      </w:r>
    </w:p>
    <w:p w14:paraId="0A635489">
      <w:pPr>
        <w:spacing w:line="480" w:lineRule="auto"/>
        <w:rPr>
          <w:rFonts w:hint="default" w:ascii="Times New Roman Regular" w:hAnsi="Times New Roman Regular" w:cs="Times New Roman Regular"/>
          <w:b w:val="0"/>
          <w:bCs w:val="0"/>
          <w:highlight w:val="none"/>
        </w:rPr>
      </w:pPr>
      <w:r>
        <w:rPr>
          <w:rFonts w:hint="default" w:ascii="Times New Roman Regular" w:hAnsi="Times New Roman Regular" w:cs="Times New Roman Regular"/>
          <w:b w:val="0"/>
          <w:bCs w:val="0"/>
          <w:highlight w:val="none"/>
        </w:rPr>
        <w:t>The accompanying R scripts read the de-identified analytic CSV, enforce the primary complete-case definition, produce the full baseline and missingness tables, apply BH correction to the primary node tests, reproduce the bridge-strength permutation analysis, hold the sample constant after SF exclusion, reproduce all no-SF tables and figures, save fitted objects or permutation results, and record session information. They do not install packages or alter the source CSV.</w:t>
      </w:r>
    </w:p>
    <w:sectPr>
      <w:footerReference r:id="rId5" w:type="default"/>
      <w:pgSz w:w="12240" w:h="15840"/>
      <w:pgMar w:top="1440" w:right="1440" w:bottom="1440" w:left="1440" w:header="708" w:footer="70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Times New Roman Regular">
    <w:panose1 w:val="020205030504050903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Times New Roman Bold">
    <w:panose1 w:val="02020503050405090304"/>
    <w:charset w:val="00"/>
    <w:family w:val="auto"/>
    <w:pitch w:val="default"/>
    <w:sig w:usb0="E0000AFF" w:usb1="00007843" w:usb2="00000001" w:usb3="00000000" w:csb0="400001BF" w:csb1="DFF70000"/>
  </w:font>
  <w:font w:name="Times New Roman Italic">
    <w:panose1 w:val="02020503050405090304"/>
    <w:charset w:val="00"/>
    <w:family w:val="auto"/>
    <w:pitch w:val="default"/>
    <w:sig w:usb0="E0000AFF" w:usb1="00007843" w:usb2="00000001" w:usb3="00000000" w:csb0="400001BF" w:csb1="DFF70000"/>
  </w:font>
  <w:font w:name="Times New Roman Bold Italic">
    <w:panose1 w:val="02020503050405090304"/>
    <w:charset w:val="00"/>
    <w:family w:val="auto"/>
    <w:pitch w:val="default"/>
    <w:sig w:usb0="E0000AFF" w:usb1="00007843"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7A9E1">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E91C1F7">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1E91C1F7">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footnotePr>
    <w:footnote w:id="0"/>
    <w:footnote w:id="1"/>
  </w:footnotePr>
  <w:endnotePr>
    <w:endnote w:id="0"/>
    <w:endnote w:id="1"/>
  </w:endnotePr>
  <w:compat>
    <w:balanceSingleByteDoubleByteWidth/>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95D"/>
    <w:rsid w:val="00AE560C"/>
    <w:rsid w:val="00AF695D"/>
    <w:rsid w:val="00E158EF"/>
    <w:rsid w:val="00FC7281"/>
    <w:rsid w:val="06F34E3B"/>
    <w:rsid w:val="075FF650"/>
    <w:rsid w:val="0BCC3ECD"/>
    <w:rsid w:val="0CB53AFE"/>
    <w:rsid w:val="0FDB386F"/>
    <w:rsid w:val="0FE80F6E"/>
    <w:rsid w:val="11DD1F0F"/>
    <w:rsid w:val="125A93DB"/>
    <w:rsid w:val="13FEEC5A"/>
    <w:rsid w:val="14D8A397"/>
    <w:rsid w:val="15DF9402"/>
    <w:rsid w:val="15FF0157"/>
    <w:rsid w:val="16F59943"/>
    <w:rsid w:val="1774CCFD"/>
    <w:rsid w:val="177F0618"/>
    <w:rsid w:val="17F710D1"/>
    <w:rsid w:val="17FF0D5C"/>
    <w:rsid w:val="19BCA45A"/>
    <w:rsid w:val="1BFC454E"/>
    <w:rsid w:val="1C7E4E0C"/>
    <w:rsid w:val="1CDF3CB7"/>
    <w:rsid w:val="1D5F2546"/>
    <w:rsid w:val="1F6E476C"/>
    <w:rsid w:val="1F7DCDA9"/>
    <w:rsid w:val="1FB39251"/>
    <w:rsid w:val="1FD7C728"/>
    <w:rsid w:val="1FDF6432"/>
    <w:rsid w:val="1FEF463C"/>
    <w:rsid w:val="27DE5DB1"/>
    <w:rsid w:val="27EB59B3"/>
    <w:rsid w:val="29279610"/>
    <w:rsid w:val="29FBA831"/>
    <w:rsid w:val="2B67D82F"/>
    <w:rsid w:val="2BFEFBD0"/>
    <w:rsid w:val="2CBB085D"/>
    <w:rsid w:val="2D5DF7A0"/>
    <w:rsid w:val="2DFF4CAA"/>
    <w:rsid w:val="2F6DB0D0"/>
    <w:rsid w:val="2F9EEADC"/>
    <w:rsid w:val="2FB588D8"/>
    <w:rsid w:val="2FFF9A41"/>
    <w:rsid w:val="335D3C59"/>
    <w:rsid w:val="33D70E13"/>
    <w:rsid w:val="36CF45DA"/>
    <w:rsid w:val="36FF55EC"/>
    <w:rsid w:val="37BA1E8B"/>
    <w:rsid w:val="37BF6C96"/>
    <w:rsid w:val="37D90CD0"/>
    <w:rsid w:val="37E7724D"/>
    <w:rsid w:val="37F3B957"/>
    <w:rsid w:val="37F7514F"/>
    <w:rsid w:val="37FF6EDC"/>
    <w:rsid w:val="3973FB18"/>
    <w:rsid w:val="3A5FFABF"/>
    <w:rsid w:val="3AA6E698"/>
    <w:rsid w:val="3B5C968D"/>
    <w:rsid w:val="3B5D5900"/>
    <w:rsid w:val="3B9B9E10"/>
    <w:rsid w:val="3BDF7A39"/>
    <w:rsid w:val="3BF5A4DF"/>
    <w:rsid w:val="3BFF658D"/>
    <w:rsid w:val="3BFFA4DB"/>
    <w:rsid w:val="3CAF4C4C"/>
    <w:rsid w:val="3D7F4677"/>
    <w:rsid w:val="3DB9E30B"/>
    <w:rsid w:val="3DFF91AD"/>
    <w:rsid w:val="3DFFB0A1"/>
    <w:rsid w:val="3E21E98C"/>
    <w:rsid w:val="3E79AB68"/>
    <w:rsid w:val="3EB51EA5"/>
    <w:rsid w:val="3EBF38D1"/>
    <w:rsid w:val="3EEB995B"/>
    <w:rsid w:val="3EEF895D"/>
    <w:rsid w:val="3EF749E0"/>
    <w:rsid w:val="3EF834BF"/>
    <w:rsid w:val="3F5DBAC6"/>
    <w:rsid w:val="3F798C22"/>
    <w:rsid w:val="3F7F0B59"/>
    <w:rsid w:val="3FBC7555"/>
    <w:rsid w:val="3FD724AA"/>
    <w:rsid w:val="3FDCA9F5"/>
    <w:rsid w:val="3FDED599"/>
    <w:rsid w:val="3FDF1B44"/>
    <w:rsid w:val="3FE2899F"/>
    <w:rsid w:val="3FE5B7C6"/>
    <w:rsid w:val="3FEDBB33"/>
    <w:rsid w:val="3FFDCFF6"/>
    <w:rsid w:val="3FFF7597"/>
    <w:rsid w:val="3FFF91D1"/>
    <w:rsid w:val="3FFFAE83"/>
    <w:rsid w:val="43CFA026"/>
    <w:rsid w:val="469E7ADD"/>
    <w:rsid w:val="47FC5119"/>
    <w:rsid w:val="47FF2182"/>
    <w:rsid w:val="47FF55A3"/>
    <w:rsid w:val="4AEFFD24"/>
    <w:rsid w:val="4B759EB4"/>
    <w:rsid w:val="4BFF31B7"/>
    <w:rsid w:val="4BFFEF5B"/>
    <w:rsid w:val="4C63DD81"/>
    <w:rsid w:val="4CFC0AF4"/>
    <w:rsid w:val="4CFFBB99"/>
    <w:rsid w:val="4DB7350E"/>
    <w:rsid w:val="4DE5C01B"/>
    <w:rsid w:val="4DEAD048"/>
    <w:rsid w:val="4E6BC709"/>
    <w:rsid w:val="4ED34F0E"/>
    <w:rsid w:val="4EEBE747"/>
    <w:rsid w:val="4F6F161B"/>
    <w:rsid w:val="4FDB0CDC"/>
    <w:rsid w:val="4FEF814D"/>
    <w:rsid w:val="4FF79D29"/>
    <w:rsid w:val="50EF00B3"/>
    <w:rsid w:val="51B61FAE"/>
    <w:rsid w:val="53BA0BE9"/>
    <w:rsid w:val="567B4894"/>
    <w:rsid w:val="569F5239"/>
    <w:rsid w:val="57DF0812"/>
    <w:rsid w:val="57F15E07"/>
    <w:rsid w:val="5AE105CB"/>
    <w:rsid w:val="5B287CEF"/>
    <w:rsid w:val="5BCAE108"/>
    <w:rsid w:val="5BCF7E78"/>
    <w:rsid w:val="5BEF2FA1"/>
    <w:rsid w:val="5BFEFCF4"/>
    <w:rsid w:val="5CE92271"/>
    <w:rsid w:val="5D2C13CA"/>
    <w:rsid w:val="5DCDED76"/>
    <w:rsid w:val="5DD35402"/>
    <w:rsid w:val="5DD74E34"/>
    <w:rsid w:val="5DDD43C9"/>
    <w:rsid w:val="5DFAD6F0"/>
    <w:rsid w:val="5E93AF55"/>
    <w:rsid w:val="5E9A6358"/>
    <w:rsid w:val="5EB869C2"/>
    <w:rsid w:val="5EBF89CE"/>
    <w:rsid w:val="5ED67AD9"/>
    <w:rsid w:val="5EEAC888"/>
    <w:rsid w:val="5EFE25C2"/>
    <w:rsid w:val="5EFF47FD"/>
    <w:rsid w:val="5EFFB6D5"/>
    <w:rsid w:val="5F36C4A8"/>
    <w:rsid w:val="5F3D36E2"/>
    <w:rsid w:val="5F45F339"/>
    <w:rsid w:val="5FBE9C37"/>
    <w:rsid w:val="5FCEB0AD"/>
    <w:rsid w:val="5FD64CD0"/>
    <w:rsid w:val="5FDFBE98"/>
    <w:rsid w:val="5FEC4993"/>
    <w:rsid w:val="5FEF209D"/>
    <w:rsid w:val="5FFFD154"/>
    <w:rsid w:val="667EB6D1"/>
    <w:rsid w:val="66FE4D0C"/>
    <w:rsid w:val="674B6DB3"/>
    <w:rsid w:val="674F7FAD"/>
    <w:rsid w:val="6779D993"/>
    <w:rsid w:val="67B13C56"/>
    <w:rsid w:val="67EF37E8"/>
    <w:rsid w:val="67FB6562"/>
    <w:rsid w:val="67FE0482"/>
    <w:rsid w:val="68FE9581"/>
    <w:rsid w:val="693E0690"/>
    <w:rsid w:val="6ABEBBDE"/>
    <w:rsid w:val="6AFB7545"/>
    <w:rsid w:val="6AFF3A3C"/>
    <w:rsid w:val="6B7D0CB1"/>
    <w:rsid w:val="6BB59B5A"/>
    <w:rsid w:val="6BE240E4"/>
    <w:rsid w:val="6BFB5F01"/>
    <w:rsid w:val="6BFB9DA6"/>
    <w:rsid w:val="6BFBB929"/>
    <w:rsid w:val="6BFF3F62"/>
    <w:rsid w:val="6BFFEBC6"/>
    <w:rsid w:val="6C1AF206"/>
    <w:rsid w:val="6C3B7382"/>
    <w:rsid w:val="6CB7B7B7"/>
    <w:rsid w:val="6D3F827B"/>
    <w:rsid w:val="6D7F7D0A"/>
    <w:rsid w:val="6DAF5F37"/>
    <w:rsid w:val="6DE7DD72"/>
    <w:rsid w:val="6E7E5D09"/>
    <w:rsid w:val="6EEE0B00"/>
    <w:rsid w:val="6F371803"/>
    <w:rsid w:val="6F7FE4C1"/>
    <w:rsid w:val="6FC7518A"/>
    <w:rsid w:val="6FD6636B"/>
    <w:rsid w:val="6FDB3861"/>
    <w:rsid w:val="6FDE2134"/>
    <w:rsid w:val="6FE32866"/>
    <w:rsid w:val="6FEB734A"/>
    <w:rsid w:val="6FF205ED"/>
    <w:rsid w:val="6FF7866B"/>
    <w:rsid w:val="6FFBAE9F"/>
    <w:rsid w:val="6FFF53BC"/>
    <w:rsid w:val="6FFF5F2B"/>
    <w:rsid w:val="72ADEC28"/>
    <w:rsid w:val="72BECE52"/>
    <w:rsid w:val="72EFAB92"/>
    <w:rsid w:val="73BBE6BC"/>
    <w:rsid w:val="73C7073D"/>
    <w:rsid w:val="73D9B07D"/>
    <w:rsid w:val="73FEECDB"/>
    <w:rsid w:val="73FF052B"/>
    <w:rsid w:val="73FF113A"/>
    <w:rsid w:val="73FF4DBE"/>
    <w:rsid w:val="75711ACE"/>
    <w:rsid w:val="75DD8193"/>
    <w:rsid w:val="75E292B2"/>
    <w:rsid w:val="75F7A5AA"/>
    <w:rsid w:val="76F6BD9B"/>
    <w:rsid w:val="76FA409D"/>
    <w:rsid w:val="76FFC322"/>
    <w:rsid w:val="76FFD116"/>
    <w:rsid w:val="77570DFC"/>
    <w:rsid w:val="775FD7BA"/>
    <w:rsid w:val="777F2D13"/>
    <w:rsid w:val="777FEB22"/>
    <w:rsid w:val="77BBC994"/>
    <w:rsid w:val="77BD5118"/>
    <w:rsid w:val="77BE7B36"/>
    <w:rsid w:val="77BFF72B"/>
    <w:rsid w:val="77D85BF1"/>
    <w:rsid w:val="77DF03F7"/>
    <w:rsid w:val="77DF3568"/>
    <w:rsid w:val="77EFBB7D"/>
    <w:rsid w:val="77EFF238"/>
    <w:rsid w:val="77F24C5D"/>
    <w:rsid w:val="77FBD955"/>
    <w:rsid w:val="77FEEC57"/>
    <w:rsid w:val="77FFA9DF"/>
    <w:rsid w:val="78EE5A06"/>
    <w:rsid w:val="78FFA677"/>
    <w:rsid w:val="79F75D5F"/>
    <w:rsid w:val="7A1F898B"/>
    <w:rsid w:val="7A8F8956"/>
    <w:rsid w:val="7B37AC84"/>
    <w:rsid w:val="7B68D80D"/>
    <w:rsid w:val="7B7B8997"/>
    <w:rsid w:val="7B7DC8B6"/>
    <w:rsid w:val="7BB7DFA7"/>
    <w:rsid w:val="7BBBE772"/>
    <w:rsid w:val="7BCF624F"/>
    <w:rsid w:val="7BD69F8E"/>
    <w:rsid w:val="7BDBA287"/>
    <w:rsid w:val="7BDF3379"/>
    <w:rsid w:val="7BDF3DD0"/>
    <w:rsid w:val="7BE556F9"/>
    <w:rsid w:val="7BE5AA37"/>
    <w:rsid w:val="7BE7C7C5"/>
    <w:rsid w:val="7BEE47D6"/>
    <w:rsid w:val="7BEF1602"/>
    <w:rsid w:val="7BFCEF76"/>
    <w:rsid w:val="7BFDAC75"/>
    <w:rsid w:val="7BFF8282"/>
    <w:rsid w:val="7BFFDC86"/>
    <w:rsid w:val="7C7303E4"/>
    <w:rsid w:val="7C798CCB"/>
    <w:rsid w:val="7D1FBB99"/>
    <w:rsid w:val="7D294964"/>
    <w:rsid w:val="7D7EA195"/>
    <w:rsid w:val="7D7F61DE"/>
    <w:rsid w:val="7D8AA2B9"/>
    <w:rsid w:val="7D8B026D"/>
    <w:rsid w:val="7DDBC90C"/>
    <w:rsid w:val="7DDEFA66"/>
    <w:rsid w:val="7DDFB259"/>
    <w:rsid w:val="7DF7DE67"/>
    <w:rsid w:val="7DFB6DDE"/>
    <w:rsid w:val="7DFBE519"/>
    <w:rsid w:val="7DFE0B6D"/>
    <w:rsid w:val="7DFEDB72"/>
    <w:rsid w:val="7DFF988D"/>
    <w:rsid w:val="7DFFFA0B"/>
    <w:rsid w:val="7E263874"/>
    <w:rsid w:val="7E6E68F3"/>
    <w:rsid w:val="7E7F5385"/>
    <w:rsid w:val="7EB6297F"/>
    <w:rsid w:val="7ED5D863"/>
    <w:rsid w:val="7ED5F1CB"/>
    <w:rsid w:val="7EDEF753"/>
    <w:rsid w:val="7EE73F23"/>
    <w:rsid w:val="7EE745D4"/>
    <w:rsid w:val="7EED45C0"/>
    <w:rsid w:val="7EEF5685"/>
    <w:rsid w:val="7EEFCF30"/>
    <w:rsid w:val="7EF1A717"/>
    <w:rsid w:val="7EF7A642"/>
    <w:rsid w:val="7EFEA829"/>
    <w:rsid w:val="7EFED82C"/>
    <w:rsid w:val="7F3E0E97"/>
    <w:rsid w:val="7F4EDB63"/>
    <w:rsid w:val="7F52144F"/>
    <w:rsid w:val="7F5F1380"/>
    <w:rsid w:val="7F5FFC98"/>
    <w:rsid w:val="7F6BA959"/>
    <w:rsid w:val="7F7B5DFB"/>
    <w:rsid w:val="7F7EA41C"/>
    <w:rsid w:val="7F7EA99C"/>
    <w:rsid w:val="7F7F3B60"/>
    <w:rsid w:val="7F8F3FB0"/>
    <w:rsid w:val="7F9E9AC5"/>
    <w:rsid w:val="7F9FF8B9"/>
    <w:rsid w:val="7FAE294F"/>
    <w:rsid w:val="7FAF2EAD"/>
    <w:rsid w:val="7FAF33AE"/>
    <w:rsid w:val="7FB7C14F"/>
    <w:rsid w:val="7FBE9ACE"/>
    <w:rsid w:val="7FBF34FE"/>
    <w:rsid w:val="7FBF6A87"/>
    <w:rsid w:val="7FBFE94F"/>
    <w:rsid w:val="7FC2D726"/>
    <w:rsid w:val="7FCEBEEE"/>
    <w:rsid w:val="7FCF539C"/>
    <w:rsid w:val="7FDD3BD4"/>
    <w:rsid w:val="7FDFFA51"/>
    <w:rsid w:val="7FEB5390"/>
    <w:rsid w:val="7FEDE279"/>
    <w:rsid w:val="7FEF09E7"/>
    <w:rsid w:val="7FEF29D7"/>
    <w:rsid w:val="7FEFFABF"/>
    <w:rsid w:val="7FF0DB91"/>
    <w:rsid w:val="7FF541F8"/>
    <w:rsid w:val="7FF7214D"/>
    <w:rsid w:val="7FF7ED1A"/>
    <w:rsid w:val="7FF7F2EB"/>
    <w:rsid w:val="7FFBDFAA"/>
    <w:rsid w:val="7FFDA49D"/>
    <w:rsid w:val="7FFEAB8F"/>
    <w:rsid w:val="7FFED68E"/>
    <w:rsid w:val="7FFF20AD"/>
    <w:rsid w:val="7FFF8B9E"/>
    <w:rsid w:val="7FFFA5FB"/>
    <w:rsid w:val="7FFFCFEA"/>
    <w:rsid w:val="81D93154"/>
    <w:rsid w:val="87F177F9"/>
    <w:rsid w:val="8ADF0941"/>
    <w:rsid w:val="8D727958"/>
    <w:rsid w:val="8F7F40ED"/>
    <w:rsid w:val="8FAF3C19"/>
    <w:rsid w:val="8FB7CD2E"/>
    <w:rsid w:val="917FA2D6"/>
    <w:rsid w:val="943FB5E4"/>
    <w:rsid w:val="95FFF7DC"/>
    <w:rsid w:val="97BF596F"/>
    <w:rsid w:val="97FE6F1C"/>
    <w:rsid w:val="97FF721C"/>
    <w:rsid w:val="97FFEEE3"/>
    <w:rsid w:val="994E4B35"/>
    <w:rsid w:val="99EF096C"/>
    <w:rsid w:val="9B77D4BC"/>
    <w:rsid w:val="9BDA10A8"/>
    <w:rsid w:val="9BFA87B1"/>
    <w:rsid w:val="9DEB7987"/>
    <w:rsid w:val="9DF7A129"/>
    <w:rsid w:val="9F3718F5"/>
    <w:rsid w:val="9F7776D1"/>
    <w:rsid w:val="9FEFEA1B"/>
    <w:rsid w:val="9FF9A9CC"/>
    <w:rsid w:val="A77155EA"/>
    <w:rsid w:val="A77A4C08"/>
    <w:rsid w:val="A77E8FEF"/>
    <w:rsid w:val="A7AF3624"/>
    <w:rsid w:val="A97B4540"/>
    <w:rsid w:val="A9ED00AA"/>
    <w:rsid w:val="AB70971F"/>
    <w:rsid w:val="ABF02664"/>
    <w:rsid w:val="ABFF3E2B"/>
    <w:rsid w:val="ADE2EBA1"/>
    <w:rsid w:val="ADFF586A"/>
    <w:rsid w:val="AECBF1E3"/>
    <w:rsid w:val="AECF8411"/>
    <w:rsid w:val="AEFB1D45"/>
    <w:rsid w:val="AF5FC741"/>
    <w:rsid w:val="AF8F3F63"/>
    <w:rsid w:val="AFBF60B7"/>
    <w:rsid w:val="AFBFFFE7"/>
    <w:rsid w:val="AFFBE6CD"/>
    <w:rsid w:val="AFFF6FA0"/>
    <w:rsid w:val="B3B5BC78"/>
    <w:rsid w:val="B3FFB35D"/>
    <w:rsid w:val="B4FF2B64"/>
    <w:rsid w:val="B5B91BE6"/>
    <w:rsid w:val="B6E9892C"/>
    <w:rsid w:val="B77F16D7"/>
    <w:rsid w:val="B7BF78E7"/>
    <w:rsid w:val="B7EE1A7B"/>
    <w:rsid w:val="B7EEC527"/>
    <w:rsid w:val="B8FFC9D8"/>
    <w:rsid w:val="B9A3878E"/>
    <w:rsid w:val="B9B99A20"/>
    <w:rsid w:val="B9EDB61F"/>
    <w:rsid w:val="BBFD07A4"/>
    <w:rsid w:val="BBFFDC89"/>
    <w:rsid w:val="BC3E1770"/>
    <w:rsid w:val="BCFDD971"/>
    <w:rsid w:val="BD37C11A"/>
    <w:rsid w:val="BD7B10BB"/>
    <w:rsid w:val="BD7FFA11"/>
    <w:rsid w:val="BDDB3FAD"/>
    <w:rsid w:val="BDDBAC7A"/>
    <w:rsid w:val="BDFE4BF8"/>
    <w:rsid w:val="BE87CC0E"/>
    <w:rsid w:val="BEDB7F31"/>
    <w:rsid w:val="BEF50ED8"/>
    <w:rsid w:val="BF3FE8EF"/>
    <w:rsid w:val="BF519A98"/>
    <w:rsid w:val="BF755663"/>
    <w:rsid w:val="BF7B5497"/>
    <w:rsid w:val="BFAEC6E0"/>
    <w:rsid w:val="BFB6C41A"/>
    <w:rsid w:val="BFDFBEE1"/>
    <w:rsid w:val="BFE45D0F"/>
    <w:rsid w:val="BFE55096"/>
    <w:rsid w:val="BFEBDF56"/>
    <w:rsid w:val="BFF77837"/>
    <w:rsid w:val="BFF7C451"/>
    <w:rsid w:val="BFFC108D"/>
    <w:rsid w:val="BFFD3CC5"/>
    <w:rsid w:val="BFFF9806"/>
    <w:rsid w:val="C31BF229"/>
    <w:rsid w:val="C3DF33AD"/>
    <w:rsid w:val="C6CB39DF"/>
    <w:rsid w:val="C6EFADEC"/>
    <w:rsid w:val="C7AB3DBB"/>
    <w:rsid w:val="C7FF6917"/>
    <w:rsid w:val="CBD67B66"/>
    <w:rsid w:val="CBFED689"/>
    <w:rsid w:val="CE7DFBD2"/>
    <w:rsid w:val="CEA7A8EE"/>
    <w:rsid w:val="CEEFFA22"/>
    <w:rsid w:val="CEF2C407"/>
    <w:rsid w:val="CF692564"/>
    <w:rsid w:val="CFEE80EB"/>
    <w:rsid w:val="CFF3DC5E"/>
    <w:rsid w:val="CFF3EF93"/>
    <w:rsid w:val="CFFF7829"/>
    <w:rsid w:val="D1FE4C47"/>
    <w:rsid w:val="D5FF36BC"/>
    <w:rsid w:val="D6776F1C"/>
    <w:rsid w:val="D6C91D3E"/>
    <w:rsid w:val="D6D84EBD"/>
    <w:rsid w:val="D6E6A666"/>
    <w:rsid w:val="D7BFBB92"/>
    <w:rsid w:val="D7D7C948"/>
    <w:rsid w:val="D7EEE2F7"/>
    <w:rsid w:val="D8DF36B4"/>
    <w:rsid w:val="D8FE9F26"/>
    <w:rsid w:val="D9FD7016"/>
    <w:rsid w:val="DAF7B63D"/>
    <w:rsid w:val="DAFCF96E"/>
    <w:rsid w:val="DBAF171E"/>
    <w:rsid w:val="DBBFE1F8"/>
    <w:rsid w:val="DBC3D337"/>
    <w:rsid w:val="DBFF73F5"/>
    <w:rsid w:val="DCFE7126"/>
    <w:rsid w:val="DDCFFD34"/>
    <w:rsid w:val="DDDC22D5"/>
    <w:rsid w:val="DDFB96AB"/>
    <w:rsid w:val="DDFE1075"/>
    <w:rsid w:val="DDFFE3C9"/>
    <w:rsid w:val="DEAF1D74"/>
    <w:rsid w:val="DEBFD7CF"/>
    <w:rsid w:val="DECFAD22"/>
    <w:rsid w:val="DEF573D9"/>
    <w:rsid w:val="DEFFA96B"/>
    <w:rsid w:val="DF373A58"/>
    <w:rsid w:val="DF6815C2"/>
    <w:rsid w:val="DF6F79D6"/>
    <w:rsid w:val="DF7D6584"/>
    <w:rsid w:val="DFBF2D37"/>
    <w:rsid w:val="DFBF98DD"/>
    <w:rsid w:val="DFCF9E77"/>
    <w:rsid w:val="DFCFAB7C"/>
    <w:rsid w:val="DFDFDC8D"/>
    <w:rsid w:val="DFF771A4"/>
    <w:rsid w:val="DFFB674C"/>
    <w:rsid w:val="DFFE44F2"/>
    <w:rsid w:val="DFFF2EE1"/>
    <w:rsid w:val="E0FFB463"/>
    <w:rsid w:val="E1EFCC4B"/>
    <w:rsid w:val="E3BF0E12"/>
    <w:rsid w:val="E3EF738F"/>
    <w:rsid w:val="E3F506EC"/>
    <w:rsid w:val="E5BB1AF1"/>
    <w:rsid w:val="E5FF1ABD"/>
    <w:rsid w:val="E6DF0BAA"/>
    <w:rsid w:val="E7ADF561"/>
    <w:rsid w:val="E7EFB093"/>
    <w:rsid w:val="E7FDC08B"/>
    <w:rsid w:val="E8DF2219"/>
    <w:rsid w:val="EB2E3356"/>
    <w:rsid w:val="EB3C7A89"/>
    <w:rsid w:val="EB72A252"/>
    <w:rsid w:val="EB7F33B9"/>
    <w:rsid w:val="EBDDB4D3"/>
    <w:rsid w:val="EBFFBAFF"/>
    <w:rsid w:val="ED7E265A"/>
    <w:rsid w:val="EDEC7D24"/>
    <w:rsid w:val="EDED6A57"/>
    <w:rsid w:val="EDF6E177"/>
    <w:rsid w:val="EDF94E46"/>
    <w:rsid w:val="EE7D4395"/>
    <w:rsid w:val="EEDB18F2"/>
    <w:rsid w:val="EEFD8B03"/>
    <w:rsid w:val="EEFDB05D"/>
    <w:rsid w:val="EEFF0581"/>
    <w:rsid w:val="EF1D6B25"/>
    <w:rsid w:val="EF3F0D38"/>
    <w:rsid w:val="EF7E5A95"/>
    <w:rsid w:val="EF7F33C8"/>
    <w:rsid w:val="EF7F53C8"/>
    <w:rsid w:val="EF7FC1D5"/>
    <w:rsid w:val="EF9B9260"/>
    <w:rsid w:val="EFA550C9"/>
    <w:rsid w:val="EFAE44B9"/>
    <w:rsid w:val="EFBF4150"/>
    <w:rsid w:val="EFF78279"/>
    <w:rsid w:val="EFF79F4E"/>
    <w:rsid w:val="EFF7CF26"/>
    <w:rsid w:val="EFFBA5A4"/>
    <w:rsid w:val="EFFC136D"/>
    <w:rsid w:val="EFFD012B"/>
    <w:rsid w:val="EFFDF1C9"/>
    <w:rsid w:val="EFFEE432"/>
    <w:rsid w:val="EFFFD324"/>
    <w:rsid w:val="F1BEE205"/>
    <w:rsid w:val="F1FFC1E4"/>
    <w:rsid w:val="F27F4D4C"/>
    <w:rsid w:val="F2F44E21"/>
    <w:rsid w:val="F2F7E3EF"/>
    <w:rsid w:val="F33D531D"/>
    <w:rsid w:val="F3CF0484"/>
    <w:rsid w:val="F3F78D26"/>
    <w:rsid w:val="F3FF0921"/>
    <w:rsid w:val="F4C72C6D"/>
    <w:rsid w:val="F57B9EBE"/>
    <w:rsid w:val="F5DBC30A"/>
    <w:rsid w:val="F5EFD812"/>
    <w:rsid w:val="F5F74138"/>
    <w:rsid w:val="F6BFDFD3"/>
    <w:rsid w:val="F74FD41C"/>
    <w:rsid w:val="F76707E7"/>
    <w:rsid w:val="F77736F4"/>
    <w:rsid w:val="F77B4B42"/>
    <w:rsid w:val="F77F008F"/>
    <w:rsid w:val="F7A75D26"/>
    <w:rsid w:val="F7B27380"/>
    <w:rsid w:val="F7B9CF82"/>
    <w:rsid w:val="F7BF03D1"/>
    <w:rsid w:val="F7BF68F0"/>
    <w:rsid w:val="F7DCFA51"/>
    <w:rsid w:val="F7DFF585"/>
    <w:rsid w:val="F7EBDD60"/>
    <w:rsid w:val="F7ED5A69"/>
    <w:rsid w:val="F7EF4540"/>
    <w:rsid w:val="F7FBB59E"/>
    <w:rsid w:val="F7FBE693"/>
    <w:rsid w:val="F7FDA2A3"/>
    <w:rsid w:val="F7FFD322"/>
    <w:rsid w:val="F7FFEBF7"/>
    <w:rsid w:val="F8679A40"/>
    <w:rsid w:val="F8BF0AE2"/>
    <w:rsid w:val="F8DF5824"/>
    <w:rsid w:val="F95FC916"/>
    <w:rsid w:val="F9BF9A69"/>
    <w:rsid w:val="F9DD82A3"/>
    <w:rsid w:val="F9EF7A49"/>
    <w:rsid w:val="F9F948A1"/>
    <w:rsid w:val="F9FF0896"/>
    <w:rsid w:val="F9FFF6CC"/>
    <w:rsid w:val="FA3FDECB"/>
    <w:rsid w:val="FA6A4951"/>
    <w:rsid w:val="FAA9FDCC"/>
    <w:rsid w:val="FAB7B414"/>
    <w:rsid w:val="FAFF4E5D"/>
    <w:rsid w:val="FB3C4E1A"/>
    <w:rsid w:val="FBCD5A28"/>
    <w:rsid w:val="FBD34869"/>
    <w:rsid w:val="FBE0748D"/>
    <w:rsid w:val="FBE79DF2"/>
    <w:rsid w:val="FBEB729A"/>
    <w:rsid w:val="FBEE59B2"/>
    <w:rsid w:val="FBF5CD3A"/>
    <w:rsid w:val="FBFD9908"/>
    <w:rsid w:val="FBFDD71A"/>
    <w:rsid w:val="FBFE4AC5"/>
    <w:rsid w:val="FBFE8962"/>
    <w:rsid w:val="FBFF00CE"/>
    <w:rsid w:val="FC963906"/>
    <w:rsid w:val="FCAB7519"/>
    <w:rsid w:val="FCC7DF2F"/>
    <w:rsid w:val="FCF3FB14"/>
    <w:rsid w:val="FD3D16A1"/>
    <w:rsid w:val="FD3F8814"/>
    <w:rsid w:val="FD76FF39"/>
    <w:rsid w:val="FD7BD75F"/>
    <w:rsid w:val="FD87F099"/>
    <w:rsid w:val="FD8B60CA"/>
    <w:rsid w:val="FDA7214F"/>
    <w:rsid w:val="FDAC243A"/>
    <w:rsid w:val="FDB396FE"/>
    <w:rsid w:val="FDBF4832"/>
    <w:rsid w:val="FDBFD65E"/>
    <w:rsid w:val="FDC61507"/>
    <w:rsid w:val="FDD7DD58"/>
    <w:rsid w:val="FDDD944E"/>
    <w:rsid w:val="FDEF94A4"/>
    <w:rsid w:val="FDF3D959"/>
    <w:rsid w:val="FDF50539"/>
    <w:rsid w:val="FDF7B53A"/>
    <w:rsid w:val="FDF7B840"/>
    <w:rsid w:val="FDF9C205"/>
    <w:rsid w:val="FDFAD6A5"/>
    <w:rsid w:val="FDFDA03B"/>
    <w:rsid w:val="FDFDE5DE"/>
    <w:rsid w:val="FDFE078D"/>
    <w:rsid w:val="FE3A1B5F"/>
    <w:rsid w:val="FE3F8AC2"/>
    <w:rsid w:val="FE6FDF3B"/>
    <w:rsid w:val="FE7ADE0A"/>
    <w:rsid w:val="FE7BF342"/>
    <w:rsid w:val="FE9C72FE"/>
    <w:rsid w:val="FEB54F1F"/>
    <w:rsid w:val="FEB59C23"/>
    <w:rsid w:val="FECA5CA1"/>
    <w:rsid w:val="FED7887D"/>
    <w:rsid w:val="FEDA92A5"/>
    <w:rsid w:val="FEE9E23B"/>
    <w:rsid w:val="FEEDF298"/>
    <w:rsid w:val="FEF43F55"/>
    <w:rsid w:val="FEF66D3D"/>
    <w:rsid w:val="FEF792EB"/>
    <w:rsid w:val="FEF9AA16"/>
    <w:rsid w:val="FEFCE12A"/>
    <w:rsid w:val="FEFDC4BB"/>
    <w:rsid w:val="FF29DC21"/>
    <w:rsid w:val="FF363099"/>
    <w:rsid w:val="FF47E45E"/>
    <w:rsid w:val="FF5FF715"/>
    <w:rsid w:val="FF7153F3"/>
    <w:rsid w:val="FF73E267"/>
    <w:rsid w:val="FF7DFC4B"/>
    <w:rsid w:val="FF7FFD40"/>
    <w:rsid w:val="FFA4AFA6"/>
    <w:rsid w:val="FFA53BD3"/>
    <w:rsid w:val="FFA6B897"/>
    <w:rsid w:val="FFAEF98C"/>
    <w:rsid w:val="FFB7A048"/>
    <w:rsid w:val="FFB7F241"/>
    <w:rsid w:val="FFBB6AFE"/>
    <w:rsid w:val="FFBDF7E8"/>
    <w:rsid w:val="FFBEC919"/>
    <w:rsid w:val="FFC3C276"/>
    <w:rsid w:val="FFC67C79"/>
    <w:rsid w:val="FFCBB03B"/>
    <w:rsid w:val="FFCC96ED"/>
    <w:rsid w:val="FFD0B52A"/>
    <w:rsid w:val="FFD75DD3"/>
    <w:rsid w:val="FFDB4121"/>
    <w:rsid w:val="FFDB9644"/>
    <w:rsid w:val="FFDD3EB8"/>
    <w:rsid w:val="FFDDD5C5"/>
    <w:rsid w:val="FFDE54AA"/>
    <w:rsid w:val="FFDFC9EC"/>
    <w:rsid w:val="FFE701DB"/>
    <w:rsid w:val="FFED5B63"/>
    <w:rsid w:val="FFEF8005"/>
    <w:rsid w:val="FFEFFC76"/>
    <w:rsid w:val="FFF2A857"/>
    <w:rsid w:val="FFF3C8D8"/>
    <w:rsid w:val="FFF5A0B9"/>
    <w:rsid w:val="FFF752EE"/>
    <w:rsid w:val="FFF75469"/>
    <w:rsid w:val="FFF79215"/>
    <w:rsid w:val="FFF7C0B5"/>
    <w:rsid w:val="FFFBB706"/>
    <w:rsid w:val="FFFF0494"/>
    <w:rsid w:val="FFFF0F94"/>
    <w:rsid w:val="FFFF39E4"/>
    <w:rsid w:val="FFFF731B"/>
    <w:rsid w:val="FFFF756B"/>
    <w:rsid w:val="FFFFA454"/>
    <w:rsid w:val="FFFFB8BE"/>
    <w:rsid w:val="FFFFC05C"/>
    <w:rsid w:val="FFFFEB50"/>
    <w:rsid w:val="FFFFED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iPriority="99" w:name="endnote reference"/>
    <w:lsdException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80" w:line="276" w:lineRule="auto"/>
      <w:jc w:val="both"/>
    </w:pPr>
    <w:rPr>
      <w:rFonts w:ascii="Times New Roman" w:hAnsi="Times New Roman" w:eastAsia="Times New Roman" w:cs="Times New Roman"/>
      <w:sz w:val="21"/>
      <w:szCs w:val="24"/>
      <w:lang w:val="en-US" w:eastAsia="zh-CN" w:bidi="ar-SA"/>
    </w:rPr>
  </w:style>
  <w:style w:type="paragraph" w:styleId="2">
    <w:name w:val="heading 1"/>
    <w:next w:val="1"/>
    <w:qFormat/>
    <w:uiPriority w:val="0"/>
    <w:pPr>
      <w:keepNext/>
      <w:spacing w:before="320" w:after="160"/>
      <w:outlineLvl w:val="0"/>
    </w:pPr>
    <w:rPr>
      <w:rFonts w:ascii="Arial" w:hAnsi="Arial" w:eastAsia="Times New Roman" w:cs="Times New Roman"/>
      <w:b/>
      <w:bCs/>
      <w:color w:val="000000"/>
      <w:sz w:val="26"/>
      <w:szCs w:val="28"/>
      <w:lang w:val="en-US" w:eastAsia="zh-CN" w:bidi="ar-SA"/>
    </w:rPr>
  </w:style>
  <w:style w:type="paragraph" w:styleId="3">
    <w:name w:val="heading 2"/>
    <w:next w:val="1"/>
    <w:qFormat/>
    <w:uiPriority w:val="0"/>
    <w:pPr>
      <w:keepNext/>
      <w:spacing w:before="240" w:after="120"/>
      <w:outlineLvl w:val="1"/>
    </w:pPr>
    <w:rPr>
      <w:rFonts w:ascii="Arial" w:hAnsi="Arial" w:eastAsia="Times New Roman" w:cs="Times New Roman"/>
      <w:b/>
      <w:bCs/>
      <w:iCs/>
      <w:color w:val="000000"/>
      <w:sz w:val="22"/>
      <w:szCs w:val="26"/>
      <w:lang w:val="en-US" w:eastAsia="zh-CN" w:bidi="ar-SA"/>
    </w:rPr>
  </w:style>
  <w:style w:type="paragraph" w:styleId="4">
    <w:name w:val="heading 3"/>
    <w:next w:val="1"/>
    <w:qFormat/>
    <w:uiPriority w:val="0"/>
    <w:pPr>
      <w:outlineLvl w:val="2"/>
    </w:pPr>
    <w:rPr>
      <w:rFonts w:ascii="Times New Roman" w:hAnsi="Times New Roman" w:eastAsia="Times New Roman" w:cs="Times New Roman"/>
      <w:color w:val="1F4D78"/>
      <w:sz w:val="24"/>
      <w:szCs w:val="24"/>
      <w:lang w:val="en-US" w:eastAsia="zh-CN" w:bidi="ar-SA"/>
    </w:rPr>
  </w:style>
  <w:style w:type="paragraph" w:styleId="5">
    <w:name w:val="heading 4"/>
    <w:next w:val="1"/>
    <w:qFormat/>
    <w:uiPriority w:val="0"/>
    <w:pPr>
      <w:outlineLvl w:val="3"/>
    </w:pPr>
    <w:rPr>
      <w:rFonts w:ascii="Times New Roman" w:hAnsi="Times New Roman" w:eastAsia="Times New Roman" w:cs="Times New Roman"/>
      <w:i/>
      <w:iCs/>
      <w:color w:val="2E74B5"/>
      <w:sz w:val="24"/>
      <w:szCs w:val="24"/>
      <w:lang w:val="en-US" w:eastAsia="zh-CN" w:bidi="ar-SA"/>
    </w:rPr>
  </w:style>
  <w:style w:type="paragraph" w:styleId="6">
    <w:name w:val="heading 5"/>
    <w:next w:val="1"/>
    <w:qFormat/>
    <w:uiPriority w:val="0"/>
    <w:pPr>
      <w:outlineLvl w:val="4"/>
    </w:pPr>
    <w:rPr>
      <w:rFonts w:ascii="Times New Roman" w:hAnsi="Times New Roman" w:eastAsia="Times New Roman" w:cs="Times New Roman"/>
      <w:color w:val="2E74B5"/>
      <w:sz w:val="24"/>
      <w:szCs w:val="24"/>
      <w:lang w:val="en-US" w:eastAsia="zh-CN" w:bidi="ar-SA"/>
    </w:rPr>
  </w:style>
  <w:style w:type="paragraph" w:styleId="7">
    <w:name w:val="heading 6"/>
    <w:next w:val="1"/>
    <w:qFormat/>
    <w:uiPriority w:val="0"/>
    <w:pPr>
      <w:outlineLvl w:val="5"/>
    </w:pPr>
    <w:rPr>
      <w:rFonts w:ascii="Times New Roman" w:hAnsi="Times New Roman" w:eastAsia="Times New Roman" w:cs="Times New Roman"/>
      <w:color w:val="1F4D78"/>
      <w:sz w:val="24"/>
      <w:szCs w:val="24"/>
      <w:lang w:val="en-US" w:eastAsia="zh-CN" w:bidi="ar-SA"/>
    </w:rPr>
  </w:style>
  <w:style w:type="character" w:default="1" w:styleId="17">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8">
    <w:name w:val="annotation text"/>
    <w:basedOn w:val="1"/>
    <w:link w:val="29"/>
    <w:uiPriority w:val="0"/>
    <w:pPr>
      <w:keepNext w:val="0"/>
      <w:keepLines w:val="0"/>
      <w:widowControl w:val="0"/>
      <w:suppressLineNumbers w:val="0"/>
      <w:spacing w:before="0" w:beforeAutospacing="0" w:after="0" w:afterAutospacing="0"/>
      <w:ind w:left="0" w:right="0"/>
      <w:jc w:val="left"/>
    </w:pPr>
    <w:rPr>
      <w:rFonts w:hint="default" w:ascii="Times New Roman" w:hAnsi="Times New Roman" w:cs="Times New Roman"/>
      <w:kern w:val="0"/>
      <w:sz w:val="24"/>
      <w:szCs w:val="24"/>
      <w:lang w:val="en-US" w:eastAsia="zh-CN" w:bidi="ar"/>
    </w:rPr>
  </w:style>
  <w:style w:type="paragraph" w:styleId="9">
    <w:name w:val="endnote text"/>
    <w:link w:val="28"/>
    <w:semiHidden/>
    <w:unhideWhenUsed/>
    <w:uiPriority w:val="99"/>
    <w:rPr>
      <w:rFonts w:ascii="Times New Roman" w:hAnsi="Times New Roman" w:eastAsia="Times New Roman" w:cs="Times New Roman"/>
      <w:lang w:val="en-US" w:eastAsia="zh-CN" w:bidi="ar-SA"/>
    </w:rPr>
  </w:style>
  <w:style w:type="paragraph" w:styleId="10">
    <w:name w:val="footer"/>
    <w:basedOn w:val="1"/>
    <w:uiPriority w:val="0"/>
    <w:pPr>
      <w:tabs>
        <w:tab w:val="center" w:pos="4153"/>
        <w:tab w:val="right" w:pos="8306"/>
      </w:tabs>
      <w:snapToGrid w:val="0"/>
      <w:jc w:val="left"/>
    </w:pPr>
    <w:rPr>
      <w:sz w:val="18"/>
    </w:rPr>
  </w:style>
  <w:style w:type="paragraph" w:styleId="11">
    <w:name w:val="footnote text"/>
    <w:link w:val="27"/>
    <w:semiHidden/>
    <w:unhideWhenUsed/>
    <w:uiPriority w:val="99"/>
    <w:rPr>
      <w:rFonts w:ascii="Times New Roman" w:hAnsi="Times New Roman" w:eastAsia="Times New Roman" w:cs="Times New Roman"/>
      <w:lang w:val="en-US" w:eastAsia="zh-CN" w:bidi="ar-SA"/>
    </w:rPr>
  </w:style>
  <w:style w:type="paragraph" w:styleId="1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rPr>
  </w:style>
  <w:style w:type="paragraph" w:styleId="13">
    <w:name w:val="Normal (Web)"/>
    <w:basedOn w:val="1"/>
    <w:uiPriority w:val="0"/>
  </w:style>
  <w:style w:type="paragraph" w:styleId="14">
    <w:name w:val="Title"/>
    <w:qFormat/>
    <w:uiPriority w:val="0"/>
    <w:rPr>
      <w:rFonts w:ascii="Times New Roman" w:hAnsi="Times New Roman" w:eastAsia="Times New Roman" w:cs="Times New Roman"/>
      <w:sz w:val="56"/>
      <w:szCs w:val="56"/>
      <w:lang w:val="en-US" w:eastAsia="zh-CN" w:bidi="ar-SA"/>
    </w:rPr>
  </w:style>
  <w:style w:type="paragraph" w:styleId="15">
    <w:name w:val="annotation subject"/>
    <w:basedOn w:val="8"/>
    <w:next w:val="8"/>
    <w:link w:val="30"/>
    <w:uiPriority w:val="0"/>
    <w:rPr>
      <w:b/>
      <w:bCs/>
    </w:rPr>
  </w:style>
  <w:style w:type="character" w:styleId="18">
    <w:name w:val="Strong"/>
    <w:basedOn w:val="17"/>
    <w:qFormat/>
    <w:uiPriority w:val="0"/>
    <w:rPr>
      <w:b/>
    </w:rPr>
  </w:style>
  <w:style w:type="character" w:styleId="19">
    <w:name w:val="endnote reference"/>
    <w:semiHidden/>
    <w:unhideWhenUsed/>
    <w:uiPriority w:val="99"/>
    <w:rPr>
      <w:vertAlign w:val="superscript"/>
    </w:rPr>
  </w:style>
  <w:style w:type="character" w:styleId="20">
    <w:name w:val="FollowedHyperlink"/>
    <w:basedOn w:val="17"/>
    <w:uiPriority w:val="0"/>
    <w:rPr>
      <w:color w:val="0000FF"/>
      <w:u w:val="single"/>
    </w:rPr>
  </w:style>
  <w:style w:type="character" w:styleId="21">
    <w:name w:val="Emphasis"/>
    <w:basedOn w:val="17"/>
    <w:qFormat/>
    <w:uiPriority w:val="0"/>
    <w:rPr>
      <w:i/>
    </w:rPr>
  </w:style>
  <w:style w:type="character" w:styleId="22">
    <w:name w:val="Hyperlink"/>
    <w:unhideWhenUsed/>
    <w:uiPriority w:val="99"/>
    <w:rPr>
      <w:color w:val="0563C1"/>
      <w:u w:val="single"/>
    </w:rPr>
  </w:style>
  <w:style w:type="character" w:styleId="23">
    <w:name w:val="HTML Code"/>
    <w:basedOn w:val="17"/>
    <w:uiPriority w:val="0"/>
    <w:rPr>
      <w:rFonts w:ascii="Courier New" w:hAnsi="Courier New"/>
      <w:sz w:val="20"/>
    </w:rPr>
  </w:style>
  <w:style w:type="character" w:styleId="24">
    <w:name w:val="annotation reference"/>
    <w:basedOn w:val="17"/>
    <w:uiPriority w:val="0"/>
    <w:rPr>
      <w:sz w:val="21"/>
      <w:szCs w:val="21"/>
    </w:rPr>
  </w:style>
  <w:style w:type="character" w:styleId="25">
    <w:name w:val="footnote reference"/>
    <w:semiHidden/>
    <w:unhideWhenUsed/>
    <w:uiPriority w:val="99"/>
    <w:rPr>
      <w:vertAlign w:val="superscript"/>
    </w:rPr>
  </w:style>
  <w:style w:type="paragraph" w:styleId="26">
    <w:name w:val="List Paragraph"/>
    <w:qFormat/>
    <w:uiPriority w:val="0"/>
    <w:rPr>
      <w:rFonts w:ascii="Times New Roman" w:hAnsi="Times New Roman" w:eastAsia="Times New Roman" w:cs="Times New Roman"/>
      <w:sz w:val="24"/>
      <w:szCs w:val="24"/>
      <w:lang w:val="en-US" w:eastAsia="zh-CN" w:bidi="ar-SA"/>
    </w:rPr>
  </w:style>
  <w:style w:type="character" w:customStyle="1" w:styleId="27">
    <w:name w:val="脚注文本 字符"/>
    <w:link w:val="11"/>
    <w:semiHidden/>
    <w:unhideWhenUsed/>
    <w:uiPriority w:val="99"/>
    <w:rPr>
      <w:sz w:val="20"/>
      <w:szCs w:val="20"/>
    </w:rPr>
  </w:style>
  <w:style w:type="character" w:customStyle="1" w:styleId="28">
    <w:name w:val="尾注文本 字符"/>
    <w:link w:val="9"/>
    <w:semiHidden/>
    <w:unhideWhenUsed/>
    <w:uiPriority w:val="99"/>
    <w:rPr>
      <w:sz w:val="20"/>
      <w:szCs w:val="20"/>
    </w:rPr>
  </w:style>
  <w:style w:type="character" w:customStyle="1" w:styleId="29">
    <w:name w:val="批注文字 字符"/>
    <w:basedOn w:val="17"/>
    <w:link w:val="8"/>
    <w:uiPriority w:val="0"/>
    <w:rPr>
      <w:rFonts w:eastAsia="Times New Roman"/>
      <w:sz w:val="24"/>
      <w:szCs w:val="24"/>
    </w:rPr>
  </w:style>
  <w:style w:type="character" w:customStyle="1" w:styleId="30">
    <w:name w:val="批注主题 字符"/>
    <w:basedOn w:val="29"/>
    <w:link w:val="15"/>
    <w:uiPriority w:val="0"/>
    <w:rPr>
      <w:rFonts w:eastAsia="Times New Roman"/>
      <w:b/>
      <w:bCs/>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33769</Words>
  <Characters>192487</Characters>
  <Lines>1</Lines>
  <Paragraphs>1</Paragraphs>
  <TotalTime>2</TotalTime>
  <ScaleCrop>false</ScaleCrop>
  <LinksUpToDate>false</LinksUpToDate>
  <CharactersWithSpaces>225805</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2026-05-15T14:15:00Z</dcterms:created>
  <dc:creator>Un-named</dc:creator>
  <dc:description>Yellow highlighting marks revised or newly inserted content.</dc:description>
  <cp:lastModifiedBy>周乐陶</cp:lastModifiedBy>
  <dcterms:modified xsi:type="dcterms:W3CDTF">2026-08-17T17:04:52Z</dcterms:modified>
  <dc:title>Supplementary Materials: annotated revision</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BC873D0DEF4DEAF65F55D6690A37FE1E_42</vt:lpwstr>
  </property>
  <property fmtid="{D5CDD505-2E9C-101B-9397-08002B2CF9AE}" pid="4" name="_ZOTERO_BIBSTYLE_1">
    <vt:lpwstr>{"firstLineIndent":-384,"indent":384,"lineSpacing":240,"entrySpacing":240,"tabStops":[384],"tabStopsCount":1}</vt:lpwstr>
  </property>
  <property fmtid="{D5CDD505-2E9C-101B-9397-08002B2CF9AE}" pid="5" name="ZOTERO_PREF_1">
    <vt:lpwstr>&lt;data data-version="3" zotero-version="9.0.4"&gt;&lt;session id="B723PvQO"/&gt;&lt;style id="http://www.zotero.org/styles/nlm-citation-sequence-brackets" locale="en-GB" hasBibliography="1" bibliographyStyleHasBeenSet="1"/&gt;&lt;prefs&gt;&lt;pref name="fieldType" value="Field"/&gt;</vt:lpwstr>
  </property>
  <property fmtid="{D5CDD505-2E9C-101B-9397-08002B2CF9AE}" pid="6" name="ZOTERO_PREF_2">
    <vt:lpwstr>&lt;/prefs&gt;&lt;/data&gt;</vt:lpwstr>
  </property>
</Properties>
</file>