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C8C3D" w14:textId="24BAF4D6" w:rsidR="0045704C" w:rsidRPr="00FF1DE1" w:rsidRDefault="00F06E94">
      <w:pPr>
        <w:rPr>
          <w:b/>
          <w:bCs/>
        </w:rPr>
      </w:pPr>
      <w:bookmarkStart w:id="0" w:name="OLE_LINK36"/>
      <w:r w:rsidRPr="00FF1DE1">
        <w:rPr>
          <w:rFonts w:ascii="Times New Roman" w:hAnsi="Times New Roman" w:cs="Times New Roman"/>
          <w:b/>
          <w:bCs/>
          <w:sz w:val="24"/>
          <w:szCs w:val="24"/>
        </w:rPr>
        <w:t>Figure S1</w:t>
      </w:r>
    </w:p>
    <w:bookmarkEnd w:id="0"/>
    <w:p w14:paraId="153FBEBF" w14:textId="3193CD02" w:rsidR="003474AA" w:rsidRDefault="0045704C">
      <w:r w:rsidRPr="00197B6C">
        <w:rPr>
          <w:noProof/>
        </w:rPr>
        <w:drawing>
          <wp:inline distT="0" distB="0" distL="0" distR="0" wp14:anchorId="22138836" wp14:editId="39A00C10">
            <wp:extent cx="5274310" cy="2795905"/>
            <wp:effectExtent l="0" t="0" r="2540" b="4445"/>
            <wp:docPr id="3722436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795905"/>
                    </a:xfrm>
                    <a:prstGeom prst="rect">
                      <a:avLst/>
                    </a:prstGeom>
                    <a:noFill/>
                    <a:ln>
                      <a:noFill/>
                    </a:ln>
                  </pic:spPr>
                </pic:pic>
              </a:graphicData>
            </a:graphic>
          </wp:inline>
        </w:drawing>
      </w:r>
    </w:p>
    <w:p w14:paraId="1F154CE9" w14:textId="77777777" w:rsidR="0045704C" w:rsidRPr="00E61DF9" w:rsidRDefault="0045704C" w:rsidP="0045704C">
      <w:pPr>
        <w:jc w:val="left"/>
        <w:rPr>
          <w:rFonts w:ascii="Times New Roman" w:hAnsi="Times New Roman" w:cs="Times New Roman"/>
          <w:sz w:val="24"/>
          <w:szCs w:val="24"/>
        </w:rPr>
      </w:pPr>
      <w:r w:rsidRPr="00E61DF9">
        <w:rPr>
          <w:rFonts w:ascii="Times New Roman" w:hAnsi="Times New Roman" w:cs="Times New Roman"/>
          <w:b/>
          <w:bCs/>
          <w:sz w:val="24"/>
          <w:szCs w:val="24"/>
        </w:rPr>
        <w:t>Fig. 2A.</w:t>
      </w:r>
      <w:r w:rsidRPr="00E61DF9">
        <w:rPr>
          <w:rFonts w:ascii="Times New Roman" w:hAnsi="Times New Roman" w:cs="Times New Roman"/>
          <w:sz w:val="24"/>
          <w:szCs w:val="24"/>
        </w:rPr>
        <w:t> Statistical graph of Hülsmann scores for smear layer removal in the coronal, middle, and apical thirds of root canals after irrigation with the three test solutions combined with EDTA and PUI.</w:t>
      </w:r>
    </w:p>
    <w:p w14:paraId="0F34412A" w14:textId="77777777" w:rsidR="0045704C" w:rsidRPr="00E61DF9" w:rsidRDefault="0045704C" w:rsidP="0045704C">
      <w:pPr>
        <w:rPr>
          <w:rFonts w:ascii="Times New Roman" w:hAnsi="Times New Roman" w:cs="Times New Roman"/>
          <w:sz w:val="24"/>
          <w:szCs w:val="24"/>
        </w:rPr>
      </w:pPr>
      <w:r w:rsidRPr="00E61DF9">
        <w:rPr>
          <w:rFonts w:ascii="Times New Roman" w:hAnsi="Times New Roman" w:cs="Times New Roman"/>
          <w:b/>
          <w:bCs/>
          <w:sz w:val="24"/>
          <w:szCs w:val="24"/>
        </w:rPr>
        <w:t>Fig. 2B.</w:t>
      </w:r>
      <w:r w:rsidRPr="00E61DF9">
        <w:rPr>
          <w:rFonts w:ascii="Times New Roman" w:hAnsi="Times New Roman" w:cs="Times New Roman"/>
          <w:sz w:val="24"/>
          <w:szCs w:val="24"/>
        </w:rPr>
        <w:t xml:space="preserve"> Statistical graph of </w:t>
      </w:r>
      <w:bookmarkStart w:id="1" w:name="OLE_LINK13"/>
      <w:r w:rsidRPr="00E61DF9">
        <w:rPr>
          <w:rFonts w:ascii="Times New Roman" w:hAnsi="Times New Roman" w:cs="Times New Roman"/>
          <w:sz w:val="24"/>
          <w:szCs w:val="24"/>
        </w:rPr>
        <w:t xml:space="preserve">dentinal tubule opening rates </w:t>
      </w:r>
      <w:bookmarkEnd w:id="1"/>
      <w:r w:rsidRPr="00E61DF9">
        <w:rPr>
          <w:rFonts w:ascii="Times New Roman" w:hAnsi="Times New Roman" w:cs="Times New Roman"/>
          <w:sz w:val="24"/>
          <w:szCs w:val="24"/>
        </w:rPr>
        <w:t>(%) in the coronal, middle, and apical thirds of root canals after irrigation with the three test solutions combined with EDTA and PUI.</w:t>
      </w:r>
    </w:p>
    <w:p w14:paraId="62B48EC5" w14:textId="77777777" w:rsidR="0045704C" w:rsidRPr="00E61DF9" w:rsidRDefault="0045704C" w:rsidP="0045704C">
      <w:pPr>
        <w:rPr>
          <w:rFonts w:ascii="Times New Roman" w:hAnsi="Times New Roman" w:cs="Times New Roman"/>
          <w:sz w:val="24"/>
          <w:szCs w:val="24"/>
        </w:rPr>
      </w:pPr>
      <w:r w:rsidRPr="00E61DF9">
        <w:rPr>
          <w:rFonts w:ascii="Times New Roman" w:hAnsi="Times New Roman" w:cs="Times New Roman"/>
          <w:b/>
          <w:bCs/>
          <w:sz w:val="24"/>
          <w:szCs w:val="24"/>
        </w:rPr>
        <w:t>Fig. 2C.</w:t>
      </w:r>
      <w:r w:rsidRPr="00E61DF9">
        <w:rPr>
          <w:rFonts w:ascii="Times New Roman" w:hAnsi="Times New Roman" w:cs="Times New Roman"/>
          <w:sz w:val="24"/>
          <w:szCs w:val="24"/>
        </w:rPr>
        <w:t xml:space="preserve"> Statistical graph of </w:t>
      </w:r>
      <w:bookmarkStart w:id="2" w:name="OLE_LINK15"/>
      <w:r w:rsidRPr="00E61DF9">
        <w:rPr>
          <w:rFonts w:ascii="Times New Roman" w:hAnsi="Times New Roman" w:cs="Times New Roman"/>
          <w:sz w:val="24"/>
          <w:szCs w:val="24"/>
        </w:rPr>
        <w:t>the percentage of exposed dentinal tubule area</w:t>
      </w:r>
      <w:bookmarkEnd w:id="2"/>
      <w:r w:rsidRPr="00E61DF9">
        <w:rPr>
          <w:rFonts w:ascii="Times New Roman" w:hAnsi="Times New Roman" w:cs="Times New Roman"/>
          <w:sz w:val="24"/>
          <w:szCs w:val="24"/>
        </w:rPr>
        <w:t xml:space="preserve"> in the coronal, middle, and apical thirds of root canals after irrigation with the three test solutions combined with EDTA and PUI.</w:t>
      </w:r>
    </w:p>
    <w:p w14:paraId="43D60358" w14:textId="77777777" w:rsidR="0045704C" w:rsidRDefault="0045704C" w:rsidP="0045704C">
      <w:pPr>
        <w:rPr>
          <w:rFonts w:ascii="Times New Roman" w:hAnsi="Times New Roman" w:cs="Times New Roman"/>
          <w:sz w:val="24"/>
          <w:szCs w:val="24"/>
        </w:rPr>
      </w:pPr>
      <w:r w:rsidRPr="00E61DF9">
        <w:rPr>
          <w:rFonts w:ascii="Times New Roman" w:hAnsi="Times New Roman" w:cs="Times New Roman"/>
          <w:b/>
          <w:bCs/>
          <w:sz w:val="24"/>
          <w:szCs w:val="24"/>
        </w:rPr>
        <w:t>Notes:</w:t>
      </w:r>
      <w:r w:rsidRPr="00E61DF9">
        <w:rPr>
          <w:rFonts w:ascii="Times New Roman" w:hAnsi="Times New Roman" w:cs="Times New Roman"/>
          <w:sz w:val="24"/>
          <w:szCs w:val="24"/>
        </w:rPr>
        <w:t> ns: </w:t>
      </w:r>
      <w:r w:rsidRPr="00E61DF9">
        <w:rPr>
          <w:rFonts w:ascii="Times New Roman" w:hAnsi="Times New Roman" w:cs="Times New Roman"/>
          <w:i/>
          <w:iCs/>
          <w:sz w:val="24"/>
          <w:szCs w:val="24"/>
        </w:rPr>
        <w:t>P</w:t>
      </w:r>
      <w:r w:rsidRPr="00E61DF9">
        <w:rPr>
          <w:rFonts w:ascii="Times New Roman" w:hAnsi="Times New Roman" w:cs="Times New Roman"/>
          <w:sz w:val="24"/>
          <w:szCs w:val="24"/>
        </w:rPr>
        <w:t> &gt; 0.05; *: </w:t>
      </w:r>
      <w:r w:rsidRPr="00E61DF9">
        <w:rPr>
          <w:rFonts w:ascii="Times New Roman" w:hAnsi="Times New Roman" w:cs="Times New Roman"/>
          <w:i/>
          <w:iCs/>
          <w:sz w:val="24"/>
          <w:szCs w:val="24"/>
        </w:rPr>
        <w:t>P</w:t>
      </w:r>
      <w:r w:rsidRPr="00E61DF9">
        <w:rPr>
          <w:rFonts w:ascii="Times New Roman" w:hAnsi="Times New Roman" w:cs="Times New Roman"/>
          <w:sz w:val="24"/>
          <w:szCs w:val="24"/>
        </w:rPr>
        <w:t> &lt; 0.05; **: </w:t>
      </w:r>
      <w:r w:rsidRPr="00E61DF9">
        <w:rPr>
          <w:rFonts w:ascii="Times New Roman" w:hAnsi="Times New Roman" w:cs="Times New Roman"/>
          <w:i/>
          <w:iCs/>
          <w:sz w:val="24"/>
          <w:szCs w:val="24"/>
        </w:rPr>
        <w:t>P</w:t>
      </w:r>
      <w:r w:rsidRPr="00E61DF9">
        <w:rPr>
          <w:rFonts w:ascii="Times New Roman" w:hAnsi="Times New Roman" w:cs="Times New Roman"/>
          <w:sz w:val="24"/>
          <w:szCs w:val="24"/>
        </w:rPr>
        <w:t> &lt; 0.01; ***: </w:t>
      </w:r>
      <w:r w:rsidRPr="00E61DF9">
        <w:rPr>
          <w:rFonts w:ascii="Times New Roman" w:hAnsi="Times New Roman" w:cs="Times New Roman"/>
          <w:i/>
          <w:iCs/>
          <w:sz w:val="24"/>
          <w:szCs w:val="24"/>
        </w:rPr>
        <w:t>P</w:t>
      </w:r>
      <w:r w:rsidRPr="00E61DF9">
        <w:rPr>
          <w:rFonts w:ascii="Times New Roman" w:hAnsi="Times New Roman" w:cs="Times New Roman"/>
          <w:sz w:val="24"/>
          <w:szCs w:val="24"/>
        </w:rPr>
        <w:t> &lt; 0.001; ****: </w:t>
      </w:r>
      <w:r w:rsidRPr="00E61DF9">
        <w:rPr>
          <w:rFonts w:ascii="Times New Roman" w:hAnsi="Times New Roman" w:cs="Times New Roman"/>
          <w:i/>
          <w:iCs/>
          <w:sz w:val="24"/>
          <w:szCs w:val="24"/>
        </w:rPr>
        <w:t>P</w:t>
      </w:r>
      <w:r w:rsidRPr="00E61DF9">
        <w:rPr>
          <w:rFonts w:ascii="Times New Roman" w:hAnsi="Times New Roman" w:cs="Times New Roman"/>
          <w:sz w:val="24"/>
          <w:szCs w:val="24"/>
        </w:rPr>
        <w:t> &lt; 0.0001. The same notation applies to the subsequent figures.</w:t>
      </w:r>
    </w:p>
    <w:p w14:paraId="6AC3DEC2" w14:textId="77777777" w:rsidR="00FF1DE1" w:rsidRDefault="00FF1DE1" w:rsidP="0045704C">
      <w:pPr>
        <w:rPr>
          <w:rFonts w:ascii="Times New Roman" w:hAnsi="Times New Roman" w:cs="Times New Roman"/>
          <w:sz w:val="24"/>
          <w:szCs w:val="24"/>
        </w:rPr>
      </w:pPr>
    </w:p>
    <w:p w14:paraId="482F83DE" w14:textId="77777777" w:rsidR="00FF1DE1" w:rsidRDefault="00FF1DE1" w:rsidP="0045704C">
      <w:pPr>
        <w:rPr>
          <w:rFonts w:ascii="Times New Roman" w:hAnsi="Times New Roman" w:cs="Times New Roman" w:hint="eastAsia"/>
          <w:sz w:val="24"/>
          <w:szCs w:val="24"/>
        </w:rPr>
      </w:pPr>
    </w:p>
    <w:p w14:paraId="51E1FC56" w14:textId="69EFC7F0" w:rsidR="00FF1DE1" w:rsidRPr="00FF1DE1" w:rsidRDefault="00FF1DE1" w:rsidP="00FF1DE1">
      <w:pPr>
        <w:rPr>
          <w:rFonts w:hint="eastAsia"/>
          <w:b/>
          <w:bCs/>
        </w:rPr>
      </w:pPr>
      <w:r w:rsidRPr="00FF1DE1">
        <w:rPr>
          <w:rFonts w:ascii="Times New Roman" w:hAnsi="Times New Roman" w:cs="Times New Roman"/>
          <w:b/>
          <w:bCs/>
          <w:sz w:val="24"/>
          <w:szCs w:val="24"/>
        </w:rPr>
        <w:t>Figure S</w:t>
      </w:r>
      <w:r w:rsidRPr="00FF1DE1">
        <w:rPr>
          <w:rFonts w:ascii="Times New Roman" w:hAnsi="Times New Roman" w:cs="Times New Roman" w:hint="eastAsia"/>
          <w:b/>
          <w:bCs/>
          <w:sz w:val="24"/>
          <w:szCs w:val="24"/>
        </w:rPr>
        <w:t>2</w:t>
      </w:r>
    </w:p>
    <w:p w14:paraId="3E11993B" w14:textId="77777777" w:rsidR="00F06E94" w:rsidRPr="00E61DF9" w:rsidRDefault="00F06E94" w:rsidP="0045704C">
      <w:pPr>
        <w:rPr>
          <w:rFonts w:ascii="Times New Roman" w:hAnsi="Times New Roman" w:cs="Times New Roman"/>
          <w:sz w:val="24"/>
          <w:szCs w:val="24"/>
        </w:rPr>
      </w:pPr>
    </w:p>
    <w:p w14:paraId="0352EB30" w14:textId="6F345800" w:rsidR="0045704C" w:rsidRDefault="00F06E94">
      <w:r w:rsidRPr="00F06E94">
        <w:rPr>
          <w:noProof/>
        </w:rPr>
        <w:drawing>
          <wp:inline distT="0" distB="0" distL="0" distR="0" wp14:anchorId="5401CA99" wp14:editId="0B2A1A3F">
            <wp:extent cx="5274310" cy="2265680"/>
            <wp:effectExtent l="0" t="0" r="2540" b="1270"/>
            <wp:docPr id="7522536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2265680"/>
                    </a:xfrm>
                    <a:prstGeom prst="rect">
                      <a:avLst/>
                    </a:prstGeom>
                    <a:noFill/>
                    <a:ln>
                      <a:noFill/>
                    </a:ln>
                  </pic:spPr>
                </pic:pic>
              </a:graphicData>
            </a:graphic>
          </wp:inline>
        </w:drawing>
      </w:r>
    </w:p>
    <w:p w14:paraId="2692F171" w14:textId="61B88A7C" w:rsidR="00B202BD" w:rsidRPr="004B0B63" w:rsidRDefault="00DD443E" w:rsidP="00B202BD">
      <w:pPr>
        <w:rPr>
          <w:rFonts w:ascii="Times New Roman" w:hAnsi="Times New Roman" w:cs="Times New Roman"/>
          <w:sz w:val="24"/>
          <w:szCs w:val="24"/>
        </w:rPr>
      </w:pPr>
      <w:r w:rsidRPr="00DD443E">
        <w:rPr>
          <w:rFonts w:ascii="Times New Roman" w:hAnsi="Times New Roman" w:cs="Times New Roman"/>
          <w:sz w:val="24"/>
          <w:szCs w:val="24"/>
        </w:rPr>
        <w:t xml:space="preserve">Figure </w:t>
      </w:r>
      <w:r>
        <w:rPr>
          <w:rFonts w:ascii="Times New Roman" w:hAnsi="Times New Roman" w:cs="Times New Roman" w:hint="eastAsia"/>
          <w:sz w:val="24"/>
          <w:szCs w:val="24"/>
        </w:rPr>
        <w:t>.</w:t>
      </w:r>
      <w:r w:rsidRPr="00DD443E">
        <w:rPr>
          <w:rFonts w:ascii="Times New Roman" w:hAnsi="Times New Roman" w:cs="Times New Roman"/>
          <w:sz w:val="24"/>
          <w:szCs w:val="24"/>
        </w:rPr>
        <w:t>S</w:t>
      </w:r>
      <w:r>
        <w:rPr>
          <w:rFonts w:ascii="Times New Roman" w:hAnsi="Times New Roman" w:cs="Times New Roman" w:hint="eastAsia"/>
          <w:sz w:val="24"/>
          <w:szCs w:val="24"/>
        </w:rPr>
        <w:t>2.</w:t>
      </w:r>
      <w:r w:rsidR="00B202BD" w:rsidRPr="004B0B63">
        <w:rPr>
          <w:rFonts w:ascii="Times New Roman" w:hAnsi="Times New Roman" w:cs="Times New Roman"/>
          <w:sz w:val="24"/>
          <w:szCs w:val="24"/>
        </w:rPr>
        <w:t xml:space="preserve"> OD values of L929 cells after exposure to 3% NaOCl, SRS, and 0.9% NaCl </w:t>
      </w:r>
      <w:r w:rsidR="00B202BD" w:rsidRPr="004B0B63">
        <w:rPr>
          <w:rFonts w:ascii="Times New Roman" w:hAnsi="Times New Roman" w:cs="Times New Roman"/>
          <w:sz w:val="24"/>
          <w:szCs w:val="24"/>
        </w:rPr>
        <w:lastRenderedPageBreak/>
        <w:t xml:space="preserve">at different time points. </w:t>
      </w:r>
    </w:p>
    <w:p w14:paraId="3D476D03" w14:textId="77777777" w:rsidR="00B202BD" w:rsidRDefault="00B202BD" w:rsidP="007D3A43">
      <w:pPr>
        <w:rPr>
          <w:rFonts w:ascii="Segoe UI" w:hAnsi="Segoe UI" w:cs="Segoe UI"/>
          <w:b/>
          <w:bCs/>
          <w:color w:val="0F1115"/>
          <w:shd w:val="clear" w:color="auto" w:fill="FFFFFF"/>
        </w:rPr>
      </w:pPr>
      <w:r w:rsidRPr="00764B05">
        <w:rPr>
          <w:rFonts w:ascii="Times New Roman" w:hAnsi="Times New Roman" w:cs="Times New Roman"/>
          <w:sz w:val="24"/>
          <w:szCs w:val="24"/>
        </w:rPr>
        <w:t>The figure shows that at 1, 3, 5, 15, 30, 60, and 120 minutes, the OD values of the 3% NaOCl group were significantly lower than those of the SRS and 0.9% NaCl groups, with statistically significant differences (</w:t>
      </w:r>
      <w:r w:rsidRPr="00764B05">
        <w:rPr>
          <w:rFonts w:ascii="Times New Roman" w:hAnsi="Times New Roman" w:cs="Times New Roman"/>
          <w:i/>
          <w:iCs/>
          <w:sz w:val="24"/>
          <w:szCs w:val="24"/>
        </w:rPr>
        <w:t>P</w:t>
      </w:r>
      <w:r w:rsidRPr="00764B05">
        <w:rPr>
          <w:rFonts w:ascii="Times New Roman" w:hAnsi="Times New Roman" w:cs="Times New Roman"/>
          <w:sz w:val="24"/>
          <w:szCs w:val="24"/>
        </w:rPr>
        <w:t> &lt; 0.05). In contrast, the OD values of the SRS and 0.9% NaCl groups were comparable, with no statistically significant difference observed between them (</w:t>
      </w:r>
      <w:r w:rsidRPr="00764B05">
        <w:rPr>
          <w:rFonts w:ascii="Times New Roman" w:hAnsi="Times New Roman" w:cs="Times New Roman"/>
          <w:i/>
          <w:iCs/>
          <w:sz w:val="24"/>
          <w:szCs w:val="24"/>
        </w:rPr>
        <w:t>P</w:t>
      </w:r>
      <w:r w:rsidRPr="00764B05">
        <w:rPr>
          <w:rFonts w:ascii="Times New Roman" w:hAnsi="Times New Roman" w:cs="Times New Roman"/>
          <w:sz w:val="24"/>
          <w:szCs w:val="24"/>
        </w:rPr>
        <w:t> &gt; 0.05).</w:t>
      </w:r>
      <w:r w:rsidRPr="002E7AE1">
        <w:rPr>
          <w:rFonts w:ascii="Segoe UI" w:hAnsi="Segoe UI" w:cs="Segoe UI"/>
          <w:b/>
          <w:bCs/>
          <w:color w:val="0F1115"/>
          <w:shd w:val="clear" w:color="auto" w:fill="FFFFFF"/>
        </w:rPr>
        <w:t xml:space="preserve"> </w:t>
      </w:r>
    </w:p>
    <w:p w14:paraId="2421E9EB" w14:textId="77777777" w:rsidR="00007E83" w:rsidRDefault="00007E83" w:rsidP="007D3A43">
      <w:pPr>
        <w:rPr>
          <w:rFonts w:ascii="Segoe UI" w:hAnsi="Segoe UI" w:cs="Segoe UI"/>
          <w:b/>
          <w:bCs/>
          <w:color w:val="0F1115"/>
          <w:shd w:val="clear" w:color="auto" w:fill="FFFFFF"/>
        </w:rPr>
      </w:pPr>
    </w:p>
    <w:p w14:paraId="581E5C2F" w14:textId="416C43FD" w:rsidR="00007E83" w:rsidRDefault="00007E83" w:rsidP="007D3A43">
      <w:pPr>
        <w:rPr>
          <w:rFonts w:ascii="Segoe UI" w:hAnsi="Segoe UI" w:cs="Segoe UI" w:hint="eastAsia"/>
          <w:b/>
          <w:bCs/>
          <w:color w:val="0F1115"/>
          <w:shd w:val="clear" w:color="auto" w:fill="FFFFFF"/>
        </w:rPr>
      </w:pPr>
      <w:r>
        <w:rPr>
          <w:rFonts w:ascii="Segoe UI" w:hAnsi="Segoe UI" w:cs="Segoe UI" w:hint="eastAsia"/>
          <w:b/>
          <w:bCs/>
          <w:color w:val="0F1115"/>
          <w:shd w:val="clear" w:color="auto" w:fill="FFFFFF"/>
        </w:rPr>
        <w:t>Figure S3</w:t>
      </w:r>
    </w:p>
    <w:p w14:paraId="36C7B5B7" w14:textId="11AC99DF" w:rsidR="00B202BD" w:rsidRDefault="00BA70AC">
      <w:r w:rsidRPr="003B606C">
        <w:rPr>
          <w:noProof/>
        </w:rPr>
        <w:drawing>
          <wp:inline distT="0" distB="0" distL="0" distR="0" wp14:anchorId="2597AB9F" wp14:editId="45CE75AF">
            <wp:extent cx="5274310" cy="1674737"/>
            <wp:effectExtent l="0" t="0" r="2540" b="1905"/>
            <wp:docPr id="1436011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1674737"/>
                    </a:xfrm>
                    <a:prstGeom prst="rect">
                      <a:avLst/>
                    </a:prstGeom>
                    <a:noFill/>
                    <a:ln>
                      <a:noFill/>
                    </a:ln>
                  </pic:spPr>
                </pic:pic>
              </a:graphicData>
            </a:graphic>
          </wp:inline>
        </w:drawing>
      </w:r>
    </w:p>
    <w:p w14:paraId="2D0BE458" w14:textId="77777777" w:rsidR="00BA70AC" w:rsidRPr="005D00EB" w:rsidRDefault="00BA70AC" w:rsidP="00BA70AC">
      <w:pPr>
        <w:rPr>
          <w:rFonts w:ascii="Times New Roman" w:hAnsi="Times New Roman" w:cs="Times New Roman"/>
          <w:sz w:val="24"/>
          <w:szCs w:val="24"/>
        </w:rPr>
      </w:pPr>
      <w:r w:rsidRPr="005D00EB">
        <w:rPr>
          <w:rFonts w:ascii="Times New Roman" w:hAnsi="Times New Roman" w:cs="Times New Roman"/>
          <w:b/>
          <w:bCs/>
          <w:sz w:val="24"/>
          <w:szCs w:val="24"/>
        </w:rPr>
        <w:t>Fig. 6A.</w:t>
      </w:r>
      <w:r w:rsidRPr="005D00EB">
        <w:rPr>
          <w:rFonts w:ascii="Times New Roman" w:hAnsi="Times New Roman" w:cs="Times New Roman"/>
          <w:sz w:val="24"/>
          <w:szCs w:val="24"/>
        </w:rPr>
        <w:t> Mean penetration depth into dentinal tubules after irrigation with 3% NaOCl, SRS, and 0.9% NaCl combined with EDTA and PUI at different distances from the apex (3 mm, 6 mm, and 9 mm). Data are presented as mean ± standard deviation. </w:t>
      </w:r>
    </w:p>
    <w:p w14:paraId="3C43BDBD" w14:textId="77777777" w:rsidR="00BA70AC" w:rsidRPr="005D00EB" w:rsidRDefault="00BA70AC" w:rsidP="00BA70AC">
      <w:pPr>
        <w:rPr>
          <w:rFonts w:ascii="Times New Roman" w:hAnsi="Times New Roman" w:cs="Times New Roman"/>
          <w:sz w:val="24"/>
          <w:szCs w:val="24"/>
        </w:rPr>
      </w:pPr>
      <w:r w:rsidRPr="005D00EB">
        <w:rPr>
          <w:rFonts w:ascii="Times New Roman" w:hAnsi="Times New Roman" w:cs="Times New Roman"/>
          <w:b/>
          <w:bCs/>
          <w:sz w:val="24"/>
          <w:szCs w:val="24"/>
        </w:rPr>
        <w:t>Fig. 7A.</w:t>
      </w:r>
      <w:r w:rsidRPr="005D00EB">
        <w:rPr>
          <w:rFonts w:ascii="Times New Roman" w:hAnsi="Times New Roman" w:cs="Times New Roman"/>
          <w:sz w:val="24"/>
          <w:szCs w:val="24"/>
        </w:rPr>
        <w:t> Penetration range into dentinal tubules after irrigation with 3% NaOCl, SRS, and 0.9% NaCl combined with EDTA and PUI at different distances from the apex (3 mm, 6 mm, and 9 mm). Data are presented as mean ± standard deviation.</w:t>
      </w:r>
    </w:p>
    <w:p w14:paraId="550D3916" w14:textId="77777777" w:rsidR="00BA70AC" w:rsidRPr="00B202BD" w:rsidRDefault="00BA70AC">
      <w:pPr>
        <w:rPr>
          <w:rFonts w:hint="eastAsia"/>
        </w:rPr>
      </w:pPr>
    </w:p>
    <w:sectPr w:rsidR="00BA70AC" w:rsidRPr="00B202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C04"/>
    <w:rsid w:val="00007E83"/>
    <w:rsid w:val="00046B47"/>
    <w:rsid w:val="00093F86"/>
    <w:rsid w:val="00245173"/>
    <w:rsid w:val="003474AA"/>
    <w:rsid w:val="0045704C"/>
    <w:rsid w:val="004C685F"/>
    <w:rsid w:val="00590EEC"/>
    <w:rsid w:val="00672F7F"/>
    <w:rsid w:val="00683232"/>
    <w:rsid w:val="00754BED"/>
    <w:rsid w:val="007D3A43"/>
    <w:rsid w:val="00841C04"/>
    <w:rsid w:val="008A34EB"/>
    <w:rsid w:val="00A81609"/>
    <w:rsid w:val="00AB698A"/>
    <w:rsid w:val="00B202BD"/>
    <w:rsid w:val="00BA70AC"/>
    <w:rsid w:val="00CF3737"/>
    <w:rsid w:val="00DD443E"/>
    <w:rsid w:val="00DF7337"/>
    <w:rsid w:val="00E7012C"/>
    <w:rsid w:val="00F06E94"/>
    <w:rsid w:val="00F87CFB"/>
    <w:rsid w:val="00FC09CE"/>
    <w:rsid w:val="00FE756C"/>
    <w:rsid w:val="00FF1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49C0F"/>
  <w15:chartTrackingRefBased/>
  <w15:docId w15:val="{52DAFC9A-26F2-427A-A111-1BF8F163A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41C0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41C0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41C0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41C0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41C0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841C0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41C0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41C0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841C04"/>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1C0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41C0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41C0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41C04"/>
    <w:rPr>
      <w:rFonts w:cstheme="majorBidi"/>
      <w:color w:val="0F4761" w:themeColor="accent1" w:themeShade="BF"/>
      <w:sz w:val="28"/>
      <w:szCs w:val="28"/>
    </w:rPr>
  </w:style>
  <w:style w:type="character" w:customStyle="1" w:styleId="50">
    <w:name w:val="标题 5 字符"/>
    <w:basedOn w:val="a0"/>
    <w:link w:val="5"/>
    <w:uiPriority w:val="9"/>
    <w:semiHidden/>
    <w:rsid w:val="00841C04"/>
    <w:rPr>
      <w:rFonts w:cstheme="majorBidi"/>
      <w:color w:val="0F4761" w:themeColor="accent1" w:themeShade="BF"/>
      <w:sz w:val="24"/>
      <w:szCs w:val="24"/>
    </w:rPr>
  </w:style>
  <w:style w:type="character" w:customStyle="1" w:styleId="60">
    <w:name w:val="标题 6 字符"/>
    <w:basedOn w:val="a0"/>
    <w:link w:val="6"/>
    <w:uiPriority w:val="9"/>
    <w:semiHidden/>
    <w:rsid w:val="00841C04"/>
    <w:rPr>
      <w:rFonts w:cstheme="majorBidi"/>
      <w:b/>
      <w:bCs/>
      <w:color w:val="0F4761" w:themeColor="accent1" w:themeShade="BF"/>
    </w:rPr>
  </w:style>
  <w:style w:type="character" w:customStyle="1" w:styleId="70">
    <w:name w:val="标题 7 字符"/>
    <w:basedOn w:val="a0"/>
    <w:link w:val="7"/>
    <w:uiPriority w:val="9"/>
    <w:semiHidden/>
    <w:rsid w:val="00841C04"/>
    <w:rPr>
      <w:rFonts w:cstheme="majorBidi"/>
      <w:b/>
      <w:bCs/>
      <w:color w:val="595959" w:themeColor="text1" w:themeTint="A6"/>
    </w:rPr>
  </w:style>
  <w:style w:type="character" w:customStyle="1" w:styleId="80">
    <w:name w:val="标题 8 字符"/>
    <w:basedOn w:val="a0"/>
    <w:link w:val="8"/>
    <w:uiPriority w:val="9"/>
    <w:semiHidden/>
    <w:rsid w:val="00841C04"/>
    <w:rPr>
      <w:rFonts w:cstheme="majorBidi"/>
      <w:color w:val="595959" w:themeColor="text1" w:themeTint="A6"/>
    </w:rPr>
  </w:style>
  <w:style w:type="character" w:customStyle="1" w:styleId="90">
    <w:name w:val="标题 9 字符"/>
    <w:basedOn w:val="a0"/>
    <w:link w:val="9"/>
    <w:uiPriority w:val="9"/>
    <w:semiHidden/>
    <w:rsid w:val="00841C04"/>
    <w:rPr>
      <w:rFonts w:eastAsiaTheme="majorEastAsia" w:cstheme="majorBidi"/>
      <w:color w:val="595959" w:themeColor="text1" w:themeTint="A6"/>
    </w:rPr>
  </w:style>
  <w:style w:type="paragraph" w:styleId="a3">
    <w:name w:val="Title"/>
    <w:basedOn w:val="a"/>
    <w:next w:val="a"/>
    <w:link w:val="a4"/>
    <w:uiPriority w:val="10"/>
    <w:qFormat/>
    <w:rsid w:val="00841C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41C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1C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41C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1C04"/>
    <w:pPr>
      <w:spacing w:before="160" w:after="160"/>
      <w:jc w:val="center"/>
    </w:pPr>
    <w:rPr>
      <w:i/>
      <w:iCs/>
      <w:color w:val="404040" w:themeColor="text1" w:themeTint="BF"/>
    </w:rPr>
  </w:style>
  <w:style w:type="character" w:customStyle="1" w:styleId="a8">
    <w:name w:val="引用 字符"/>
    <w:basedOn w:val="a0"/>
    <w:link w:val="a7"/>
    <w:uiPriority w:val="29"/>
    <w:rsid w:val="00841C04"/>
    <w:rPr>
      <w:i/>
      <w:iCs/>
      <w:color w:val="404040" w:themeColor="text1" w:themeTint="BF"/>
    </w:rPr>
  </w:style>
  <w:style w:type="paragraph" w:styleId="a9">
    <w:name w:val="List Paragraph"/>
    <w:basedOn w:val="a"/>
    <w:uiPriority w:val="34"/>
    <w:qFormat/>
    <w:rsid w:val="00841C04"/>
    <w:pPr>
      <w:ind w:left="720"/>
      <w:contextualSpacing/>
    </w:pPr>
  </w:style>
  <w:style w:type="character" w:styleId="aa">
    <w:name w:val="Intense Emphasis"/>
    <w:basedOn w:val="a0"/>
    <w:uiPriority w:val="21"/>
    <w:qFormat/>
    <w:rsid w:val="00841C04"/>
    <w:rPr>
      <w:i/>
      <w:iCs/>
      <w:color w:val="0F4761" w:themeColor="accent1" w:themeShade="BF"/>
    </w:rPr>
  </w:style>
  <w:style w:type="paragraph" w:styleId="ab">
    <w:name w:val="Intense Quote"/>
    <w:basedOn w:val="a"/>
    <w:next w:val="a"/>
    <w:link w:val="ac"/>
    <w:uiPriority w:val="30"/>
    <w:qFormat/>
    <w:rsid w:val="00841C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41C04"/>
    <w:rPr>
      <w:i/>
      <w:iCs/>
      <w:color w:val="0F4761" w:themeColor="accent1" w:themeShade="BF"/>
    </w:rPr>
  </w:style>
  <w:style w:type="character" w:styleId="ad">
    <w:name w:val="Intense Reference"/>
    <w:basedOn w:val="a0"/>
    <w:uiPriority w:val="32"/>
    <w:qFormat/>
    <w:rsid w:val="00841C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297</Words>
  <Characters>1455</Characters>
  <Application>Microsoft Office Word</Application>
  <DocSecurity>0</DocSecurity>
  <Lines>39</Lines>
  <Paragraphs>26</Paragraphs>
  <ScaleCrop>false</ScaleCrop>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若彤 王</dc:creator>
  <cp:keywords/>
  <dc:description/>
  <cp:lastModifiedBy>若彤 王</cp:lastModifiedBy>
  <cp:revision>12</cp:revision>
  <dcterms:created xsi:type="dcterms:W3CDTF">2026-08-17T03:14:00Z</dcterms:created>
  <dcterms:modified xsi:type="dcterms:W3CDTF">2026-08-17T08:21:00Z</dcterms:modified>
</cp:coreProperties>
</file>