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eastAsia="Arial Unicode MS" w:cs="Times New Roman"/>
          <w:b/>
          <w:sz w:val="36"/>
          <w:szCs w:val="36"/>
        </w:rPr>
      </w:pPr>
      <w:r>
        <w:rPr>
          <w:rFonts w:hint="default" w:ascii="Times New Roman" w:hAnsi="Times New Roman" w:eastAsia="Arial Unicode MS" w:cs="Times New Roman"/>
          <w:b/>
          <w:sz w:val="36"/>
          <w:szCs w:val="36"/>
        </w:rPr>
        <w:t>Supplementary Information</w:t>
      </w:r>
    </w:p>
    <w:p>
      <w:pPr>
        <w:spacing w:line="360" w:lineRule="auto"/>
        <w:jc w:val="center"/>
        <w:rPr>
          <w:rFonts w:hint="default" w:ascii="Times New Roman" w:hAnsi="Times New Roman" w:eastAsia="Arial Unicode MS" w:cs="Times New Roman"/>
          <w:b/>
          <w:sz w:val="28"/>
          <w:szCs w:val="24"/>
        </w:rPr>
      </w:pPr>
      <w:r>
        <w:rPr>
          <w:rFonts w:hint="default" w:ascii="Times New Roman" w:hAnsi="Times New Roman" w:eastAsia="Arial Unicode MS" w:cs="Times New Roman"/>
          <w:b/>
          <w:sz w:val="36"/>
          <w:szCs w:val="36"/>
        </w:rPr>
        <w:t>fo</w:t>
      </w:r>
      <w:r>
        <w:rPr>
          <w:rFonts w:hint="default" w:ascii="Times New Roman" w:hAnsi="Times New Roman" w:eastAsia="Arial Unicode MS" w:cs="Times New Roman"/>
          <w:b/>
          <w:sz w:val="28"/>
          <w:szCs w:val="24"/>
        </w:rPr>
        <w:t>r</w:t>
      </w:r>
    </w:p>
    <w:p>
      <w:pPr>
        <w:spacing w:line="360" w:lineRule="auto"/>
        <w:jc w:val="center"/>
        <w:rPr>
          <w:rFonts w:hint="default" w:ascii="Times New Roman" w:hAnsi="Times New Roman" w:eastAsia="Arial Unicode MS" w:cs="Times New Roman"/>
          <w:b/>
          <w:sz w:val="36"/>
          <w:szCs w:val="36"/>
          <w:lang w:val="pt-BR"/>
        </w:rPr>
      </w:pPr>
      <w:r>
        <w:rPr>
          <w:rFonts w:hint="default" w:ascii="Times New Roman" w:hAnsi="Times New Roman" w:eastAsia="Arial Unicode MS" w:cs="Times New Roman"/>
          <w:b/>
          <w:sz w:val="36"/>
          <w:szCs w:val="36"/>
          <w:lang w:val="pt-BR"/>
        </w:rPr>
        <w:t>Enhancing Property Prediction of OLED Materials under Data Scarcity via Cognitive Eye-Tracking-Informed Attention Mechanism Models</w:t>
      </w:r>
      <w:bookmarkStart w:id="3" w:name="_GoBack"/>
      <w:bookmarkEnd w:id="3"/>
    </w:p>
    <w:p>
      <w:pPr>
        <w:pStyle w:val="35"/>
        <w:shd w:val="clear" w:color="auto" w:fill="FFFFFF"/>
        <w:spacing w:before="0"/>
        <w:ind w:left="0" w:leftChars="0" w:firstLine="0" w:firstLineChars="0"/>
        <w:jc w:val="left"/>
        <w:rPr>
          <w:rFonts w:hint="default" w:ascii="Times New Roman" w:hAnsi="Times New Roman" w:eastAsia="宋体" w:cs="Times New Roman"/>
          <w:sz w:val="24"/>
          <w:szCs w:val="24"/>
          <w:lang w:val="en-US" w:eastAsia="zh-CN"/>
        </w:rPr>
      </w:pPr>
    </w:p>
    <w:p>
      <w:pPr>
        <w:rPr>
          <w:rFonts w:hint="default" w:ascii="Times New Roman" w:hAnsi="Times New Roman" w:cs="Times New Roman"/>
        </w:rPr>
      </w:pPr>
      <w:r>
        <w:rPr>
          <w:rFonts w:hint="default" w:ascii="Times New Roman" w:hAnsi="Times New Roman" w:cs="Times New Roman"/>
          <w:b/>
        </w:rPr>
        <w:t>This file includes:</w:t>
      </w:r>
    </w:p>
    <w:p>
      <w:pPr>
        <w:ind w:left="720"/>
        <w:rPr>
          <w:rFonts w:hint="default" w:ascii="Times New Roman" w:hAnsi="Times New Roman" w:cs="Times New Roman"/>
        </w:rPr>
      </w:pPr>
      <w:r>
        <w:rPr>
          <w:rFonts w:hint="default" w:ascii="Times New Roman" w:hAnsi="Times New Roman" w:cs="Times New Roman"/>
        </w:rPr>
        <w:t>Supplementary Results</w:t>
      </w:r>
    </w:p>
    <w:p>
      <w:pPr>
        <w:ind w:left="720"/>
        <w:rPr>
          <w:rFonts w:hint="default" w:ascii="Times New Roman" w:hAnsi="Times New Roman" w:cs="Times New Roman"/>
        </w:rPr>
      </w:pPr>
      <w:r>
        <w:rPr>
          <w:rFonts w:hint="default" w:ascii="Times New Roman" w:hAnsi="Times New Roman" w:cs="Times New Roman"/>
        </w:rPr>
        <w:t>Figs. S1 to S</w:t>
      </w:r>
      <w:r>
        <w:rPr>
          <w:rFonts w:hint="default" w:ascii="Times New Roman" w:hAnsi="Times New Roman" w:eastAsia="宋体" w:cs="Times New Roman"/>
          <w:lang w:val="en-US" w:eastAsia="zh-CN"/>
        </w:rPr>
        <w:t>8</w:t>
      </w:r>
    </w:p>
    <w:p>
      <w:pPr>
        <w:ind w:left="720"/>
        <w:rPr>
          <w:rFonts w:hint="default" w:ascii="Times New Roman" w:hAnsi="Times New Roman" w:eastAsia="宋体" w:cs="Times New Roman"/>
          <w:sz w:val="24"/>
          <w:szCs w:val="24"/>
          <w:lang w:val="en-US" w:eastAsia="zh-CN"/>
        </w:rPr>
      </w:pPr>
      <w:r>
        <w:rPr>
          <w:rFonts w:hint="default" w:ascii="Times New Roman" w:hAnsi="Times New Roman" w:cs="Times New Roman"/>
        </w:rPr>
        <w:t>Tables S1 to S</w:t>
      </w:r>
      <w:r>
        <w:rPr>
          <w:rFonts w:hint="default" w:ascii="Times New Roman" w:hAnsi="Times New Roman" w:eastAsia="宋体" w:cs="Times New Roman"/>
          <w:lang w:val="en-US" w:eastAsia="zh-CN"/>
        </w:rPr>
        <w:t>5</w:t>
      </w:r>
    </w:p>
    <w:p>
      <w:pPr>
        <w:spacing w:line="360" w:lineRule="auto"/>
        <w:rPr>
          <w:rFonts w:hint="default" w:ascii="Times New Roman" w:hAnsi="Times New Roman" w:eastAsia="Arial Unicode MS" w:cs="Times New Roman"/>
          <w:b/>
          <w:sz w:val="28"/>
          <w:szCs w:val="24"/>
        </w:rPr>
      </w:pPr>
      <w:r>
        <w:rPr>
          <w:rFonts w:hint="default" w:ascii="Times New Roman" w:hAnsi="Times New Roman" w:eastAsia="Arial Unicode MS" w:cs="Times New Roman"/>
          <w:b/>
          <w:sz w:val="28"/>
          <w:szCs w:val="24"/>
        </w:rPr>
        <w:br w:type="page"/>
      </w:r>
    </w:p>
    <w:p>
      <w:pPr>
        <w:spacing w:line="360" w:lineRule="auto"/>
        <w:rPr>
          <w:rFonts w:hint="default" w:ascii="Times New Roman" w:hAnsi="Times New Roman" w:eastAsia="Arial Unicode MS" w:cs="Times New Roman"/>
          <w:b/>
          <w:sz w:val="28"/>
          <w:szCs w:val="24"/>
        </w:rPr>
      </w:pPr>
    </w:p>
    <w:p>
      <w:pPr>
        <w:spacing w:line="360" w:lineRule="auto"/>
        <w:jc w:val="center"/>
        <w:rPr>
          <w:rFonts w:hint="default" w:ascii="Times New Roman" w:hAnsi="Times New Roman" w:eastAsia="Arial Unicode MS" w:cs="Times New Roman"/>
          <w:b/>
          <w:sz w:val="28"/>
          <w:szCs w:val="28"/>
        </w:rPr>
      </w:pPr>
      <w:r>
        <w:rPr>
          <w:rFonts w:hint="default" w:ascii="Times New Roman" w:hAnsi="Times New Roman" w:eastAsia="Arial Unicode MS" w:cs="Times New Roman"/>
          <w:b/>
          <w:sz w:val="28"/>
          <w:szCs w:val="28"/>
        </w:rPr>
        <w:t>Contents</w:t>
      </w:r>
    </w:p>
    <w:p>
      <w:pPr>
        <w:spacing w:line="360" w:lineRule="auto"/>
        <w:jc w:val="center"/>
        <w:rPr>
          <w:rFonts w:hint="default" w:ascii="Times New Roman" w:hAnsi="Times New Roman" w:eastAsia="Arial Unicode MS" w:cs="Times New Roman"/>
          <w:sz w:val="24"/>
          <w:szCs w:val="24"/>
        </w:rPr>
      </w:pPr>
    </w:p>
    <w:p>
      <w:pPr>
        <w:spacing w:line="360" w:lineRule="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 xml:space="preserve">S1. </w:t>
      </w:r>
      <w:r>
        <w:rPr>
          <w:rFonts w:hint="default" w:ascii="Times New Roman" w:hAnsi="Times New Roman" w:cs="Times New Roman"/>
          <w:color w:val="000000"/>
          <w:sz w:val="21"/>
          <w:szCs w:val="21"/>
        </w:rPr>
        <w:t>Example</w:t>
      </w:r>
      <w:r>
        <w:rPr>
          <w:rFonts w:hint="eastAsia" w:ascii="Times New Roman" w:hAnsi="Times New Roman" w:cs="Times New Roman"/>
          <w:color w:val="000000"/>
          <w:sz w:val="21"/>
          <w:szCs w:val="21"/>
          <w:lang w:val="en-US" w:eastAsia="zh-CN"/>
        </w:rPr>
        <w:t>s</w:t>
      </w:r>
      <w:r>
        <w:rPr>
          <w:rFonts w:hint="default" w:ascii="Times New Roman" w:hAnsi="Times New Roman" w:cs="Times New Roman"/>
          <w:color w:val="000000"/>
          <w:sz w:val="21"/>
          <w:szCs w:val="21"/>
        </w:rPr>
        <w:t xml:space="preserve"> Gaze Trajectories for One Subject Responding to Diverse Molecular Stimuli</w:t>
      </w:r>
    </w:p>
    <w:p>
      <w:pPr>
        <w:spacing w:line="360" w:lineRule="auto"/>
        <w:rPr>
          <w:rFonts w:hint="default" w:ascii="Times New Roman" w:hAnsi="Times New Roman" w:cs="Times New Roman"/>
          <w:color w:val="000000"/>
          <w:sz w:val="21"/>
          <w:szCs w:val="21"/>
        </w:rPr>
      </w:pPr>
      <w:bookmarkStart w:id="0" w:name="OLE_LINK18"/>
      <w:bookmarkStart w:id="1" w:name="OLE_LINK17"/>
      <w:r>
        <w:rPr>
          <w:rFonts w:hint="default" w:ascii="Times New Roman" w:hAnsi="Times New Roman" w:cs="Times New Roman"/>
          <w:b/>
          <w:bCs/>
          <w:color w:val="000000"/>
          <w:sz w:val="21"/>
          <w:szCs w:val="21"/>
        </w:rPr>
        <w:t>S2.</w:t>
      </w:r>
      <w:r>
        <w:rPr>
          <w:rFonts w:hint="default" w:ascii="Times New Roman" w:hAnsi="Times New Roman" w:cs="Times New Roman"/>
          <w:color w:val="000000"/>
          <w:sz w:val="21"/>
          <w:szCs w:val="21"/>
        </w:rPr>
        <w:t xml:space="preserve"> Gaze Patterns for Two Representative Molecules During Viewing Sessions</w:t>
      </w:r>
    </w:p>
    <w:bookmarkEnd w:id="0"/>
    <w:bookmarkEnd w:id="1"/>
    <w:p>
      <w:pPr>
        <w:spacing w:line="360" w:lineRule="auto"/>
        <w:rPr>
          <w:rFonts w:hint="default" w:ascii="Times New Roman" w:hAnsi="Times New Roman" w:cs="Times New Roman"/>
          <w:color w:val="000000"/>
          <w:sz w:val="21"/>
          <w:szCs w:val="21"/>
        </w:rPr>
      </w:pPr>
      <w:r>
        <w:rPr>
          <w:rFonts w:hint="default" w:ascii="Times New Roman" w:hAnsi="Times New Roman" w:cs="Times New Roman"/>
          <w:b/>
          <w:bCs/>
          <w:color w:val="000000"/>
          <w:sz w:val="21"/>
          <w:szCs w:val="21"/>
        </w:rPr>
        <w:t>S3.</w:t>
      </w:r>
      <w:r>
        <w:rPr>
          <w:rFonts w:hint="default" w:ascii="Times New Roman" w:hAnsi="Times New Roman" w:cs="Times New Roman"/>
          <w:color w:val="000000"/>
          <w:sz w:val="21"/>
          <w:szCs w:val="21"/>
        </w:rPr>
        <w:t xml:space="preserve"> </w:t>
      </w:r>
      <w:r>
        <w:rPr>
          <w:rFonts w:hint="default" w:ascii="Times New Roman" w:hAnsi="Times New Roman" w:cs="Times New Roman"/>
          <w:color w:val="000000"/>
          <w:sz w:val="21"/>
          <w:szCs w:val="21"/>
          <w:lang w:val="en-US" w:eastAsia="zh-CN"/>
        </w:rPr>
        <w:t xml:space="preserve">Distribution of Fixations and DSZs in </w:t>
      </w:r>
      <w:r>
        <w:rPr>
          <w:rFonts w:hint="eastAsia" w:ascii="Times New Roman" w:hAnsi="Times New Roman" w:cs="Times New Roman"/>
          <w:color w:val="000000"/>
          <w:sz w:val="21"/>
          <w:szCs w:val="21"/>
          <w:lang w:val="en-US" w:eastAsia="zh-CN"/>
        </w:rPr>
        <w:t>S</w:t>
      </w:r>
      <w:r>
        <w:rPr>
          <w:rFonts w:hint="default" w:ascii="Times New Roman" w:hAnsi="Times New Roman" w:cs="Times New Roman"/>
          <w:color w:val="000000"/>
          <w:sz w:val="21"/>
          <w:szCs w:val="21"/>
          <w:lang w:val="en-US" w:eastAsia="zh-CN"/>
        </w:rPr>
        <w:t xml:space="preserve">taged </w:t>
      </w:r>
      <w:r>
        <w:rPr>
          <w:rFonts w:hint="eastAsia" w:ascii="Times New Roman" w:hAnsi="Times New Roman" w:cs="Times New Roman"/>
          <w:color w:val="000000"/>
          <w:sz w:val="21"/>
          <w:szCs w:val="21"/>
          <w:lang w:val="en-US" w:eastAsia="zh-CN"/>
        </w:rPr>
        <w:t>A</w:t>
      </w:r>
      <w:r>
        <w:rPr>
          <w:rFonts w:hint="default" w:ascii="Times New Roman" w:hAnsi="Times New Roman" w:cs="Times New Roman"/>
          <w:color w:val="000000"/>
          <w:sz w:val="21"/>
          <w:szCs w:val="21"/>
          <w:lang w:val="en-US" w:eastAsia="zh-CN"/>
        </w:rPr>
        <w:t>ttention</w:t>
      </w:r>
      <w:r>
        <w:rPr>
          <w:rFonts w:hint="eastAsia" w:ascii="Times New Roman" w:hAnsi="Times New Roman" w:cs="Times New Roman"/>
          <w:color w:val="000000"/>
          <w:sz w:val="21"/>
          <w:szCs w:val="21"/>
          <w:lang w:val="en-US" w:eastAsia="zh-CN"/>
        </w:rPr>
        <w:t>s</w:t>
      </w:r>
      <w:r>
        <w:rPr>
          <w:rFonts w:hint="default" w:ascii="Times New Roman" w:hAnsi="Times New Roman" w:cs="Times New Roman"/>
          <w:color w:val="000000"/>
          <w:sz w:val="21"/>
          <w:szCs w:val="21"/>
          <w:lang w:val="en-US" w:eastAsia="zh-CN"/>
        </w:rPr>
        <w:t xml:space="preserve"> </w:t>
      </w:r>
      <w:r>
        <w:rPr>
          <w:rFonts w:hint="eastAsia" w:ascii="Times New Roman" w:hAnsi="Times New Roman" w:cs="Times New Roman"/>
          <w:color w:val="000000"/>
          <w:sz w:val="21"/>
          <w:szCs w:val="21"/>
          <w:lang w:val="en-US" w:eastAsia="zh-CN"/>
        </w:rPr>
        <w:t>a</w:t>
      </w:r>
      <w:r>
        <w:rPr>
          <w:rFonts w:hint="default" w:ascii="Times New Roman" w:hAnsi="Times New Roman" w:cs="Times New Roman"/>
          <w:color w:val="000000"/>
          <w:sz w:val="21"/>
          <w:szCs w:val="21"/>
          <w:lang w:val="en-US" w:eastAsia="zh-CN"/>
        </w:rPr>
        <w:t>cross All Experimental Trials</w:t>
      </w:r>
    </w:p>
    <w:p>
      <w:pPr>
        <w:spacing w:line="360" w:lineRule="auto"/>
        <w:rPr>
          <w:rFonts w:hint="default" w:ascii="Times New Roman" w:hAnsi="Times New Roman" w:cs="Times New Roman"/>
          <w:color w:val="000000"/>
          <w:sz w:val="21"/>
          <w:szCs w:val="21"/>
        </w:rPr>
      </w:pPr>
      <w:r>
        <w:rPr>
          <w:rFonts w:hint="default" w:ascii="Times New Roman" w:hAnsi="Times New Roman" w:cs="Times New Roman"/>
          <w:b/>
          <w:bCs/>
          <w:color w:val="000000"/>
          <w:sz w:val="21"/>
          <w:szCs w:val="21"/>
        </w:rPr>
        <w:t>S4.</w:t>
      </w:r>
      <w:r>
        <w:rPr>
          <w:rFonts w:hint="default" w:ascii="Times New Roman" w:hAnsi="Times New Roman" w:cs="Times New Roman"/>
          <w:color w:val="000000"/>
          <w:sz w:val="21"/>
          <w:szCs w:val="21"/>
        </w:rPr>
        <w:t xml:space="preserve"> </w:t>
      </w:r>
      <w:r>
        <w:rPr>
          <w:rFonts w:hint="default" w:ascii="Times New Roman" w:hAnsi="Times New Roman" w:cs="Times New Roman"/>
          <w:color w:val="000000"/>
          <w:sz w:val="21"/>
          <w:szCs w:val="21"/>
          <w:lang w:val="en-US" w:eastAsia="zh-CN"/>
        </w:rPr>
        <w:t>Temporal Evolution of Fixation Duration</w:t>
      </w:r>
    </w:p>
    <w:p>
      <w:pPr>
        <w:spacing w:line="360" w:lineRule="auto"/>
        <w:rPr>
          <w:rFonts w:hint="default" w:ascii="Times New Roman" w:hAnsi="Times New Roman" w:cs="Times New Roman"/>
          <w:color w:val="000000"/>
          <w:sz w:val="21"/>
          <w:szCs w:val="21"/>
        </w:rPr>
      </w:pPr>
      <w:r>
        <w:rPr>
          <w:rFonts w:hint="default" w:ascii="Times New Roman" w:hAnsi="Times New Roman" w:cs="Times New Roman"/>
          <w:b/>
          <w:bCs/>
          <w:color w:val="000000"/>
          <w:sz w:val="21"/>
          <w:szCs w:val="21"/>
        </w:rPr>
        <w:t>S5.</w:t>
      </w:r>
      <w:r>
        <w:rPr>
          <w:rFonts w:hint="default" w:ascii="Times New Roman" w:hAnsi="Times New Roman" w:cs="Times New Roman"/>
          <w:color w:val="000000"/>
          <w:sz w:val="21"/>
          <w:szCs w:val="21"/>
        </w:rPr>
        <w:t xml:space="preserve"> Gaze Transition Velocity in Expert </w:t>
      </w:r>
      <w:r>
        <w:rPr>
          <w:rFonts w:hint="eastAsia" w:ascii="Times New Roman" w:hAnsi="Times New Roman" w:cs="Times New Roman"/>
          <w:color w:val="000000"/>
          <w:sz w:val="21"/>
          <w:szCs w:val="21"/>
          <w:lang w:val="en-US" w:eastAsia="zh-CN"/>
        </w:rPr>
        <w:t>S</w:t>
      </w:r>
      <w:r>
        <w:rPr>
          <w:rFonts w:hint="default" w:ascii="Times New Roman" w:hAnsi="Times New Roman" w:cs="Times New Roman"/>
          <w:color w:val="000000"/>
          <w:sz w:val="21"/>
          <w:szCs w:val="21"/>
        </w:rPr>
        <w:t xml:space="preserve">taged </w:t>
      </w:r>
      <w:r>
        <w:rPr>
          <w:rFonts w:hint="eastAsia" w:ascii="Times New Roman" w:hAnsi="Times New Roman" w:cs="Times New Roman"/>
          <w:color w:val="000000"/>
          <w:sz w:val="21"/>
          <w:szCs w:val="21"/>
          <w:lang w:val="en-US" w:eastAsia="zh-CN"/>
        </w:rPr>
        <w:t>A</w:t>
      </w:r>
      <w:r>
        <w:rPr>
          <w:rFonts w:hint="default" w:ascii="Times New Roman" w:hAnsi="Times New Roman" w:cs="Times New Roman"/>
          <w:color w:val="000000"/>
          <w:sz w:val="21"/>
          <w:szCs w:val="21"/>
        </w:rPr>
        <w:t xml:space="preserve">ttention </w:t>
      </w:r>
      <w:r>
        <w:rPr>
          <w:rFonts w:hint="eastAsia" w:ascii="Times New Roman" w:hAnsi="Times New Roman" w:cs="Times New Roman"/>
          <w:color w:val="000000"/>
          <w:sz w:val="21"/>
          <w:szCs w:val="21"/>
          <w:lang w:val="en-US" w:eastAsia="zh-CN"/>
        </w:rPr>
        <w:t>M</w:t>
      </w:r>
      <w:r>
        <w:rPr>
          <w:rFonts w:hint="default" w:ascii="Times New Roman" w:hAnsi="Times New Roman" w:cs="Times New Roman"/>
          <w:color w:val="000000"/>
          <w:sz w:val="21"/>
          <w:szCs w:val="21"/>
        </w:rPr>
        <w:t>echanisms</w:t>
      </w:r>
    </w:p>
    <w:p>
      <w:pPr>
        <w:spacing w:line="360" w:lineRule="auto"/>
        <w:rPr>
          <w:rFonts w:hint="default" w:ascii="Times New Roman" w:hAnsi="Times New Roman" w:cs="Times New Roman"/>
          <w:color w:val="000000"/>
          <w:sz w:val="21"/>
          <w:szCs w:val="21"/>
        </w:rPr>
      </w:pPr>
      <w:r>
        <w:rPr>
          <w:rFonts w:hint="default" w:ascii="Times New Roman" w:hAnsi="Times New Roman" w:cs="Times New Roman"/>
          <w:b/>
          <w:bCs/>
          <w:color w:val="000000"/>
          <w:sz w:val="21"/>
          <w:szCs w:val="21"/>
        </w:rPr>
        <w:t>S6.</w:t>
      </w:r>
      <w:r>
        <w:rPr>
          <w:rFonts w:hint="default" w:ascii="Times New Roman" w:hAnsi="Times New Roman" w:cs="Times New Roman"/>
          <w:color w:val="000000"/>
          <w:sz w:val="21"/>
          <w:szCs w:val="21"/>
        </w:rPr>
        <w:t xml:space="preserve"> </w:t>
      </w:r>
      <w:r>
        <w:rPr>
          <w:rFonts w:hint="default" w:ascii="Times New Roman" w:hAnsi="Times New Roman" w:cs="Times New Roman"/>
          <w:color w:val="000000"/>
          <w:sz w:val="21"/>
          <w:szCs w:val="21"/>
          <w:lang w:val="en-US" w:eastAsia="zh-CN"/>
        </w:rPr>
        <w:t>Prediction Results of Atomic Contributions to Molecular Orbitals for Typical D-A Molecules in the Test Set</w:t>
      </w:r>
    </w:p>
    <w:p>
      <w:pPr>
        <w:spacing w:line="360" w:lineRule="auto"/>
        <w:rPr>
          <w:rFonts w:hint="default" w:ascii="Times New Roman" w:hAnsi="Times New Roman" w:cs="Times New Roman"/>
          <w:color w:val="000000"/>
          <w:sz w:val="21"/>
          <w:szCs w:val="21"/>
        </w:rPr>
      </w:pPr>
      <w:r>
        <w:rPr>
          <w:rFonts w:hint="default" w:ascii="Times New Roman" w:hAnsi="Times New Roman" w:cs="Times New Roman"/>
          <w:b/>
          <w:bCs/>
          <w:color w:val="000000"/>
          <w:sz w:val="21"/>
          <w:szCs w:val="21"/>
        </w:rPr>
        <w:t>S7.</w:t>
      </w:r>
      <w:r>
        <w:rPr>
          <w:rFonts w:hint="default" w:ascii="Times New Roman" w:hAnsi="Times New Roman" w:cs="Times New Roman"/>
          <w:color w:val="000000"/>
          <w:sz w:val="21"/>
          <w:szCs w:val="21"/>
        </w:rPr>
        <w:t xml:space="preserve"> </w:t>
      </w:r>
      <w:r>
        <w:rPr>
          <w:rFonts w:hint="default" w:ascii="Times New Roman" w:hAnsi="Times New Roman" w:cs="Times New Roman"/>
          <w:color w:val="000000"/>
          <w:sz w:val="21"/>
          <w:szCs w:val="21"/>
          <w:lang w:val="en-US" w:eastAsia="zh-CN"/>
        </w:rPr>
        <w:t>Misassignment of Electronic Distributions in Sulfoxides</w:t>
      </w:r>
    </w:p>
    <w:p>
      <w:pPr>
        <w:spacing w:line="360" w:lineRule="auto"/>
        <w:rPr>
          <w:rFonts w:hint="default" w:ascii="Times New Roman" w:hAnsi="Times New Roman" w:cs="Times New Roman"/>
          <w:color w:val="000000"/>
          <w:sz w:val="21"/>
          <w:szCs w:val="21"/>
        </w:rPr>
      </w:pPr>
      <w:r>
        <w:rPr>
          <w:rFonts w:hint="default" w:ascii="Times New Roman" w:hAnsi="Times New Roman" w:cs="Times New Roman"/>
          <w:b/>
          <w:bCs/>
          <w:color w:val="000000"/>
          <w:sz w:val="21"/>
          <w:szCs w:val="21"/>
        </w:rPr>
        <w:t>S8.</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Impact of Cutoff Radius on Training Performance</w:t>
      </w:r>
    </w:p>
    <w:p>
      <w:pPr>
        <w:spacing w:line="360" w:lineRule="auto"/>
        <w:rPr>
          <w:rFonts w:hint="default" w:ascii="Times New Roman" w:hAnsi="Times New Roman" w:cs="Times New Roman"/>
          <w:color w:val="000000"/>
          <w:sz w:val="21"/>
          <w:szCs w:val="21"/>
        </w:rPr>
      </w:pPr>
      <w:r>
        <w:rPr>
          <w:rFonts w:hint="default" w:ascii="Times New Roman" w:hAnsi="Times New Roman" w:cs="Times New Roman"/>
          <w:b/>
          <w:bCs/>
          <w:color w:val="000000"/>
          <w:sz w:val="21"/>
          <w:szCs w:val="21"/>
        </w:rPr>
        <w:t>S9.</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Impact of Batch Size on Training Performance</w:t>
      </w:r>
    </w:p>
    <w:p>
      <w:pPr>
        <w:spacing w:line="360" w:lineRule="auto"/>
        <w:rPr>
          <w:rFonts w:hint="default" w:ascii="Times New Roman" w:hAnsi="Times New Roman" w:cs="Times New Roman"/>
          <w:color w:val="000000"/>
          <w:sz w:val="21"/>
          <w:szCs w:val="21"/>
          <w:lang w:val="en-US" w:eastAsia="zh-CN"/>
        </w:rPr>
      </w:pPr>
      <w:bookmarkStart w:id="2" w:name="_Hlk176428748"/>
      <w:r>
        <w:rPr>
          <w:rFonts w:hint="default" w:ascii="Times New Roman" w:hAnsi="Times New Roman" w:cs="Times New Roman"/>
          <w:b/>
          <w:bCs/>
          <w:color w:val="000000"/>
          <w:sz w:val="21"/>
          <w:szCs w:val="21"/>
        </w:rPr>
        <w:t>S10.</w:t>
      </w:r>
      <w:r>
        <w:rPr>
          <w:rFonts w:hint="default" w:ascii="Times New Roman" w:hAnsi="Times New Roman" w:cs="Times New Roman"/>
          <w:color w:val="000000"/>
          <w:sz w:val="21"/>
          <w:szCs w:val="21"/>
        </w:rPr>
        <w:t xml:space="preserve"> </w:t>
      </w:r>
      <w:bookmarkEnd w:id="2"/>
      <w:r>
        <w:rPr>
          <w:rFonts w:hint="default" w:ascii="Times New Roman" w:hAnsi="Times New Roman" w:cs="Times New Roman"/>
          <w:color w:val="000000"/>
          <w:sz w:val="21"/>
          <w:szCs w:val="21"/>
        </w:rPr>
        <w:t>Impact</w:t>
      </w:r>
      <w:r>
        <w:rPr>
          <w:rFonts w:hint="default" w:ascii="Times New Roman" w:hAnsi="Times New Roman" w:cs="Times New Roman"/>
          <w:color w:val="000000"/>
          <w:sz w:val="21"/>
          <w:szCs w:val="21"/>
          <w:lang w:val="en-US" w:eastAsia="zh-CN"/>
        </w:rPr>
        <w:t xml:space="preserve"> of the Forget Gate on Model Performance</w:t>
      </w:r>
    </w:p>
    <w:p>
      <w:pPr>
        <w:spacing w:line="360" w:lineRule="auto"/>
        <w:rPr>
          <w:rFonts w:hint="default" w:ascii="Times New Roman" w:hAnsi="Times New Roman" w:cs="Times New Roman"/>
          <w:color w:val="000000"/>
          <w:sz w:val="21"/>
          <w:szCs w:val="21"/>
          <w:lang w:val="en-US" w:eastAsia="zh-CN"/>
        </w:rPr>
      </w:pPr>
      <w:r>
        <w:rPr>
          <w:rFonts w:hint="eastAsia" w:ascii="Times New Roman" w:hAnsi="Times New Roman" w:cs="Times New Roman"/>
          <w:b/>
          <w:bCs/>
          <w:color w:val="000000"/>
          <w:sz w:val="21"/>
          <w:szCs w:val="21"/>
          <w:lang w:val="en-US" w:eastAsia="zh-CN"/>
        </w:rPr>
        <w:t>S11.</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Saliency Maps for Identification of Critical Internal FMO Interactions</w:t>
      </w:r>
    </w:p>
    <w:p>
      <w:pPr>
        <w:spacing w:line="360" w:lineRule="auto"/>
        <w:rPr>
          <w:rFonts w:hint="default" w:ascii="Times New Roman" w:hAnsi="Times New Roman" w:cs="Times New Roman"/>
          <w:b/>
          <w:sz w:val="21"/>
          <w:szCs w:val="21"/>
        </w:rPr>
      </w:pPr>
    </w:p>
    <w:p>
      <w:pPr>
        <w:pStyle w:val="31"/>
        <w:spacing w:before="360"/>
        <w:rPr>
          <w:rFonts w:hint="default" w:ascii="Times New Roman" w:hAnsi="Times New Roman" w:eastAsia="Arial Unicode MS" w:cs="Times New Roman"/>
          <w:b/>
          <w:color w:val="000000" w:themeColor="text1"/>
          <w:sz w:val="24"/>
          <w14:textFill>
            <w14:solidFill>
              <w14:schemeClr w14:val="tx1"/>
            </w14:solidFill>
          </w14:textFill>
        </w:rPr>
      </w:pPr>
      <w:r>
        <w:rPr>
          <w:rFonts w:hint="default" w:ascii="Times New Roman" w:hAnsi="Times New Roman" w:eastAsia="等线" w:cs="Times New Roman"/>
          <w:color w:val="000000"/>
          <w:sz w:val="24"/>
          <w:vertAlign w:val="superscript"/>
          <w:lang w:val="en-US" w:eastAsia="zh-CN"/>
        </w:rPr>
        <w:br w:type="page"/>
      </w:r>
    </w:p>
    <w:p>
      <w:pPr>
        <w:pStyle w:val="2"/>
        <w:keepNext w:val="0"/>
        <w:keepLines w:val="0"/>
        <w:pageBreakBefore w:val="0"/>
        <w:widowControl w:val="0"/>
        <w:kinsoku/>
        <w:wordWrap/>
        <w:overflowPunct/>
        <w:topLinePunct w:val="0"/>
        <w:autoSpaceDE/>
        <w:autoSpaceDN/>
        <w:bidi w:val="0"/>
        <w:adjustRightInd/>
        <w:snapToGrid/>
        <w:spacing w:before="469" w:beforeLines="150" w:after="157" w:afterLines="50" w:line="225" w:lineRule="exact"/>
        <w:ind w:left="0" w:leftChars="0" w:right="0" w:rightChars="0" w:firstLine="0" w:firstLineChars="0"/>
        <w:jc w:val="left"/>
        <w:textAlignment w:val="auto"/>
        <w:outlineLvl w:val="9"/>
        <w:rPr>
          <w:rFonts w:hint="default" w:ascii="Times New Roman" w:hAnsi="Times New Roman" w:cs="Times New Roman"/>
          <w:sz w:val="28"/>
          <w:szCs w:val="28"/>
        </w:rPr>
      </w:pPr>
      <w:r>
        <w:rPr>
          <w:rFonts w:hint="default" w:ascii="Times New Roman" w:hAnsi="Times New Roman" w:eastAsia="等线" w:cs="Times New Roman"/>
          <w:b/>
          <w:bCs/>
          <w:sz w:val="28"/>
          <w:szCs w:val="28"/>
        </w:rPr>
        <w:t xml:space="preserve">Supplementary </w:t>
      </w:r>
      <w:r>
        <w:rPr>
          <w:rFonts w:hint="default" w:ascii="Times New Roman" w:hAnsi="Times New Roman" w:eastAsia="宋体" w:cs="Times New Roman"/>
          <w:b/>
          <w:bCs/>
          <w:sz w:val="28"/>
          <w:szCs w:val="28"/>
          <w:lang w:val="en-US" w:eastAsia="zh-CN"/>
        </w:rPr>
        <w:t>R</w:t>
      </w:r>
      <w:r>
        <w:rPr>
          <w:rFonts w:hint="default" w:ascii="Times New Roman" w:hAnsi="Times New Roman" w:cs="Times New Roman"/>
          <w:b/>
          <w:bCs/>
          <w:sz w:val="28"/>
          <w:szCs w:val="28"/>
        </w:rPr>
        <w:t>esults</w:t>
      </w:r>
    </w:p>
    <w:p>
      <w:pPr>
        <w:pStyle w:val="38"/>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left="0" w:leftChars="0" w:right="0" w:rightChars="0" w:firstLine="0" w:firstLineChars="0"/>
        <w:jc w:val="both"/>
        <w:textAlignment w:val="auto"/>
        <w:outlineLvl w:val="9"/>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sz w:val="24"/>
          <w:szCs w:val="24"/>
          <w:u w:val="none"/>
          <w:lang w:val="en-US" w:eastAsia="zh-CN"/>
        </w:rPr>
        <w:t xml:space="preserve">S1. </w:t>
      </w:r>
      <w:r>
        <w:rPr>
          <w:rFonts w:hint="default" w:ascii="Times New Roman" w:hAnsi="Times New Roman" w:cs="Times New Roman"/>
          <w:b/>
          <w:bCs/>
          <w:sz w:val="24"/>
          <w:szCs w:val="24"/>
          <w:u w:val="none"/>
        </w:rPr>
        <w:t>Example Gaze Trajectories for One Subject Responding to Diverse Molecular Stimuli</w:t>
      </w:r>
    </w:p>
    <w:p>
      <w:pPr>
        <w:pStyle w:val="2"/>
        <w:spacing w:line="360" w:lineRule="auto"/>
        <w:ind w:firstLine="0" w:firstLineChars="0"/>
        <w:rPr>
          <w:rFonts w:hint="default" w:ascii="Times New Roman" w:hAnsi="Times New Roman" w:cs="Times New Roman"/>
          <w:color w:val="000000" w:themeColor="text1"/>
          <w:szCs w:val="2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5269865" cy="4623435"/>
            <wp:effectExtent l="0" t="0" r="6985" b="5715"/>
            <wp:docPr id="1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pic:cNvPicPr>
                      <a:picLocks noChangeAspect="1"/>
                    </pic:cNvPicPr>
                  </pic:nvPicPr>
                  <pic:blipFill>
                    <a:blip r:embed="rId5"/>
                    <a:stretch>
                      <a:fillRect/>
                    </a:stretch>
                  </pic:blipFill>
                  <pic:spPr>
                    <a:xfrm>
                      <a:off x="0" y="0"/>
                      <a:ext cx="5269865" cy="4623435"/>
                    </a:xfrm>
                    <a:prstGeom prst="rect">
                      <a:avLst/>
                    </a:prstGeom>
                    <a:noFill/>
                    <a:ln w="9525">
                      <a:noFill/>
                    </a:ln>
                  </pic:spPr>
                </pic:pic>
              </a:graphicData>
            </a:graphic>
          </wp:inline>
        </w:drawing>
      </w:r>
    </w:p>
    <w:p>
      <w:pPr>
        <w:pStyle w:val="2"/>
        <w:spacing w:line="360" w:lineRule="auto"/>
        <w:ind w:firstLine="0" w:firstLineChars="0"/>
        <w:jc w:val="both"/>
        <w:rPr>
          <w:rFonts w:hint="default" w:ascii="Times New Roman" w:hAnsi="Times New Roman" w:cs="Times New Roman"/>
          <w:b w:val="0"/>
          <w:bCs w:val="0"/>
          <w:color w:val="000000" w:themeColor="text1"/>
          <w:szCs w:val="22"/>
          <w:lang w:val="en-US" w:eastAsia="zh-CN"/>
          <w14:textFill>
            <w14:solidFill>
              <w14:schemeClr w14:val="tx1"/>
            </w14:solidFill>
          </w14:textFill>
        </w:rPr>
      </w:pPr>
      <w:r>
        <w:rPr>
          <w:rFonts w:hint="default" w:ascii="Times New Roman" w:hAnsi="Times New Roman" w:cs="Times New Roman"/>
          <w:b/>
          <w:bCs/>
          <w:color w:val="000000" w:themeColor="text1"/>
          <w:szCs w:val="22"/>
          <w:lang w:val="en-US" w:eastAsia="zh-CN"/>
          <w14:textFill>
            <w14:solidFill>
              <w14:schemeClr w14:val="tx1"/>
            </w14:solidFill>
          </w14:textFill>
        </w:rPr>
        <w:t xml:space="preserve">Figure S1 : Gaze trajectories of the subject shown in Fig. 1 during HOMO distribution inference for other representative donor-acceptor (D-A) structural molecules. </w:t>
      </w:r>
      <w:r>
        <w:rPr>
          <w:rFonts w:hint="default" w:ascii="Times New Roman" w:hAnsi="Times New Roman" w:cs="Times New Roman"/>
          <w:b w:val="0"/>
          <w:bCs w:val="0"/>
          <w:color w:val="000000" w:themeColor="text1"/>
          <w:szCs w:val="22"/>
          <w:lang w:val="en-US" w:eastAsia="zh-CN"/>
          <w14:textFill>
            <w14:solidFill>
              <w14:schemeClr w14:val="tx1"/>
            </w14:solidFill>
          </w14:textFill>
        </w:rPr>
        <w:t>The presented gaze trajectories illustrate the subject’s staged attention mechanisms regarding the electronic structure of D-A structured TADF material molecules. They depict the subject’s visual information acquisition concerning the donor and acceptor moieties, the bridging groups connecting them, key modifying substituents, and the subsequent information synthesis within the HOMO distribution regions.</w:t>
      </w:r>
    </w:p>
    <w:p>
      <w:pPr>
        <w:pStyle w:val="2"/>
        <w:spacing w:line="360" w:lineRule="auto"/>
        <w:ind w:firstLine="0" w:firstLineChars="0"/>
        <w:jc w:val="both"/>
        <w:rPr>
          <w:rFonts w:hint="default" w:ascii="Times New Roman" w:hAnsi="Times New Roman" w:cs="Times New Roman"/>
          <w:b w:val="0"/>
          <w:bCs w:val="0"/>
          <w:color w:val="000000" w:themeColor="text1"/>
          <w:szCs w:val="22"/>
          <w:lang w:val="en-US" w:eastAsia="zh-CN"/>
          <w14:textFill>
            <w14:solidFill>
              <w14:schemeClr w14:val="tx1"/>
            </w14:solidFill>
          </w14:textFill>
        </w:rPr>
      </w:pPr>
      <w:r>
        <w:rPr>
          <w:rFonts w:hint="default" w:ascii="Times New Roman" w:hAnsi="Times New Roman" w:cs="Times New Roman"/>
          <w:b w:val="0"/>
          <w:bCs w:val="0"/>
          <w:color w:val="000000" w:themeColor="text1"/>
          <w:szCs w:val="22"/>
          <w:lang w:val="en-US" w:eastAsia="zh-CN"/>
          <w14:textFill>
            <w14:solidFill>
              <w14:schemeClr w14:val="tx1"/>
            </w14:solidFill>
          </w14:textFill>
        </w:rPr>
        <w:br w:type="page"/>
      </w:r>
    </w:p>
    <w:p>
      <w:pPr>
        <w:pStyle w:val="38"/>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left="0" w:leftChars="0" w:right="0" w:rightChars="0" w:firstLine="0" w:firstLineChars="0"/>
        <w:jc w:val="both"/>
        <w:textAlignment w:val="auto"/>
        <w:outlineLvl w:val="9"/>
        <w:rPr>
          <w:rFonts w:hint="default" w:ascii="Times New Roman" w:hAnsi="Times New Roman" w:cs="Times New Roman"/>
        </w:rPr>
      </w:pPr>
      <w:r>
        <w:rPr>
          <w:rFonts w:hint="eastAsia" w:ascii="Times New Roman" w:hAnsi="Times New Roman" w:cs="Times New Roman"/>
          <w:b/>
          <w:bCs/>
          <w:sz w:val="24"/>
          <w:szCs w:val="24"/>
          <w:u w:val="none"/>
          <w:lang w:val="en-US" w:eastAsia="zh-CN"/>
        </w:rPr>
        <w:t>S2. Gaze Patterns for Two Representative Molecules During Viewing Sessions</w:t>
      </w:r>
    </w:p>
    <w:p>
      <w:pPr>
        <w:pStyle w:val="2"/>
        <w:spacing w:line="360" w:lineRule="auto"/>
        <w:ind w:firstLine="0" w:firstLineChars="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3860165" cy="4306570"/>
            <wp:effectExtent l="0" t="0" r="6985" b="17780"/>
            <wp:docPr id="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pic:cNvPicPr>
                      <a:picLocks noChangeAspect="1"/>
                    </pic:cNvPicPr>
                  </pic:nvPicPr>
                  <pic:blipFill>
                    <a:blip r:embed="rId6"/>
                    <a:stretch>
                      <a:fillRect/>
                    </a:stretch>
                  </pic:blipFill>
                  <pic:spPr>
                    <a:xfrm>
                      <a:off x="0" y="0"/>
                      <a:ext cx="3860165" cy="4306570"/>
                    </a:xfrm>
                    <a:prstGeom prst="rect">
                      <a:avLst/>
                    </a:prstGeom>
                    <a:noFill/>
                    <a:ln w="9525">
                      <a:noFill/>
                    </a:ln>
                  </pic:spPr>
                </pic:pic>
              </a:graphicData>
            </a:graphic>
          </wp:inline>
        </w:drawing>
      </w:r>
    </w:p>
    <w:p>
      <w:pPr>
        <w:pStyle w:val="2"/>
        <w:spacing w:line="360" w:lineRule="auto"/>
        <w:ind w:firstLine="0" w:firstLineChars="0"/>
        <w:jc w:val="both"/>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Fig. S2 : Gaze Patterns Revealing Cognitive Processing of HOMO Electronic Structures in OLED Molecules ID-344 and ID-313. </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Fixations, saccades, and Decision-Specific Zones (DSZs) were consistently observed across experts during cognitive processing of the HOMO electronic structure distribution in OLED molecules. While gaze trajectories exhibited individual variations reflecting distinct observation habits, all experts employed similar cognitive strategies manifested by: (1) clustering of gaze points with prolonged fixations on donor and acceptor moieties, (2) DSZ formation at bridge structures connecting donor/acceptor moieties, and (3) DSZ engagement with peripheral modifying groups. These patterns demonstrate an efficient deployment of accumulated prior knowledge during electronic structure interpretation.</w:t>
      </w:r>
    </w:p>
    <w:p>
      <w:pPr>
        <w:pStyle w:val="2"/>
        <w:spacing w:line="360" w:lineRule="auto"/>
        <w:ind w:firstLine="0" w:firstLineChars="0"/>
        <w:jc w:val="both"/>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br w:type="page"/>
      </w:r>
    </w:p>
    <w:p>
      <w:pPr>
        <w:pStyle w:val="38"/>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left="0" w:leftChars="0" w:right="0" w:rightChars="0" w:firstLine="0" w:firstLineChars="0"/>
        <w:jc w:val="both"/>
        <w:textAlignment w:val="auto"/>
        <w:outlineLvl w:val="9"/>
        <w:rPr>
          <w:rFonts w:hint="default" w:ascii="Times New Roman" w:hAnsi="Times New Roman" w:eastAsia="Times New Roman" w:cs="Times New Roman"/>
          <w:szCs w:val="22"/>
        </w:rPr>
      </w:pPr>
      <w:r>
        <w:rPr>
          <w:rFonts w:hint="eastAsia" w:ascii="Times New Roman" w:hAnsi="Times New Roman" w:cs="Times New Roman"/>
          <w:b/>
          <w:bCs/>
          <w:sz w:val="24"/>
          <w:szCs w:val="24"/>
          <w:u w:val="none"/>
          <w:lang w:val="en-US" w:eastAsia="zh-CN"/>
        </w:rPr>
        <w:t>S3. Distribution of Fixations and DSZs in Staged Attentions across All Experimental Trials</w:t>
      </w:r>
    </w:p>
    <w:p>
      <w:pPr>
        <w:pStyle w:val="2"/>
        <w:spacing w:line="360" w:lineRule="auto"/>
        <w:ind w:firstLine="0" w:firstLineChars="0"/>
        <w:jc w:val="center"/>
        <w:rPr>
          <w:rFonts w:hint="default" w:ascii="Times New Roman" w:hAnsi="Times New Roman" w:cs="Times New Roman"/>
          <w:color w:val="000000" w:themeColor="text1"/>
          <w:szCs w:val="2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5116195" cy="5102225"/>
            <wp:effectExtent l="0" t="0" r="0" b="3175"/>
            <wp:docPr id="10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4"/>
                    <pic:cNvPicPr>
                      <a:picLocks noChangeAspect="1"/>
                    </pic:cNvPicPr>
                  </pic:nvPicPr>
                  <pic:blipFill>
                    <a:blip r:embed="rId7"/>
                    <a:stretch>
                      <a:fillRect/>
                    </a:stretch>
                  </pic:blipFill>
                  <pic:spPr>
                    <a:xfrm>
                      <a:off x="0" y="0"/>
                      <a:ext cx="5116195" cy="5102225"/>
                    </a:xfrm>
                    <a:prstGeom prst="rect">
                      <a:avLst/>
                    </a:prstGeom>
                    <a:noFill/>
                    <a:ln w="9525">
                      <a:noFill/>
                    </a:ln>
                  </pic:spPr>
                </pic:pic>
              </a:graphicData>
            </a:graphic>
          </wp:inline>
        </w:drawing>
      </w:r>
    </w:p>
    <w:p>
      <w:pPr>
        <w:pStyle w:val="2"/>
        <w:spacing w:line="360" w:lineRule="auto"/>
        <w:ind w:firstLine="0" w:firstLineChars="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Fig. </w:t>
      </w:r>
      <w:r>
        <w:rPr>
          <w:rFonts w:hint="default" w:ascii="Times New Roman" w:hAnsi="Times New Roman" w:eastAsia="宋体" w:cs="Times New Roman"/>
          <w:b/>
          <w:bCs/>
          <w:color w:val="000000" w:themeColor="text1"/>
          <w:lang w:val="en-US" w:eastAsia="zh-CN"/>
          <w14:textFill>
            <w14:solidFill>
              <w14:schemeClr w14:val="tx1"/>
            </w14:solidFill>
          </w14:textFill>
        </w:rPr>
        <w:t>S</w:t>
      </w:r>
      <w:r>
        <w:rPr>
          <w:rFonts w:hint="default" w:ascii="Times New Roman" w:hAnsi="Times New Roman" w:cs="Times New Roman"/>
          <w:b/>
          <w:bCs/>
          <w:color w:val="000000" w:themeColor="text1"/>
          <w:lang w:val="en-US" w:eastAsia="zh-CN"/>
          <w14:textFill>
            <w14:solidFill>
              <w14:schemeClr w14:val="tx1"/>
            </w14:solidFill>
          </w14:textFill>
        </w:rPr>
        <w:t>3 :</w:t>
      </w:r>
      <w:r>
        <w:rPr>
          <w:rFonts w:hint="default" w:ascii="Times New Roman" w:hAnsi="Times New Roman" w:cs="Times New Roman"/>
          <w:b/>
          <w:bCs/>
          <w:color w:val="000000" w:themeColor="text1"/>
          <w14:textFill>
            <w14:solidFill>
              <w14:schemeClr w14:val="tx1"/>
            </w14:solidFill>
          </w14:textFill>
        </w:rPr>
        <w:t xml:space="preserve"> Temporal distribution of DSZs versus fixations across six experts analyzing OLED electronic structures. </w:t>
      </w:r>
      <w:r>
        <w:rPr>
          <w:rFonts w:hint="default" w:ascii="Times New Roman" w:hAnsi="Times New Roman" w:cs="Times New Roman"/>
          <w:b w:val="0"/>
          <w:bCs w:val="0"/>
          <w:color w:val="000000" w:themeColor="text1"/>
          <w14:textFill>
            <w14:solidFill>
              <w14:schemeClr w14:val="tx1"/>
            </w14:solidFill>
          </w14:textFill>
        </w:rPr>
        <w:t>Stacked bars (1</w:t>
      </w:r>
      <w:r>
        <w:rPr>
          <w:rFonts w:hint="default" w:ascii="Times New Roman" w:hAnsi="Times New Roman" w:cs="Times New Roman"/>
          <w:b w:val="0"/>
          <w:bCs w:val="0"/>
          <w:color w:val="000000" w:themeColor="text1"/>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14:textFill>
            <w14:solidFill>
              <w14:schemeClr w14:val="tx1"/>
            </w14:solidFill>
          </w14:textFill>
        </w:rPr>
        <w:t>s</w:t>
      </w:r>
      <w:r>
        <w:rPr>
          <w:rFonts w:hint="default" w:ascii="Times New Roman" w:hAnsi="Times New Roman" w:cs="Times New Roman"/>
          <w:b w:val="0"/>
          <w:bCs w:val="0"/>
          <w:color w:val="000000" w:themeColor="text1"/>
          <w:lang w:val="en-US" w:eastAsia="zh-CN"/>
          <w14:textFill>
            <w14:solidFill>
              <w14:schemeClr w14:val="tx1"/>
            </w14:solidFill>
          </w14:textFill>
        </w:rPr>
        <w:t>econd</w:t>
      </w:r>
      <w:r>
        <w:rPr>
          <w:rFonts w:hint="default" w:ascii="Times New Roman" w:hAnsi="Times New Roman" w:cs="Times New Roman"/>
          <w:b w:val="0"/>
          <w:bCs w:val="0"/>
          <w:color w:val="000000" w:themeColor="text1"/>
          <w14:textFill>
            <w14:solidFill>
              <w14:schemeClr w14:val="tx1"/>
            </w14:solidFill>
          </w14:textFill>
        </w:rPr>
        <w:t xml:space="preserve"> bins) indicate dominant visual behavior per interval (DSZ: orange; Fixation: blue).</w:t>
      </w:r>
      <w:r>
        <w:rPr>
          <w:rFonts w:hint="default" w:ascii="Times New Roman" w:hAnsi="Times New Roman" w:eastAsia="宋体" w:cs="Times New Roman"/>
          <w:b w:val="0"/>
          <w:bCs w:val="0"/>
          <w:color w:val="000000" w:themeColor="text1"/>
          <w:lang w:val="en-US" w:eastAsia="zh-CN"/>
          <w14:textFill>
            <w14:solidFill>
              <w14:schemeClr w14:val="tx1"/>
            </w14:solidFill>
          </w14:textFill>
        </w:rPr>
        <w:t xml:space="preserve"> Phase 1 exhibited DSZ predominance, with DSZ occurrence frequency surpassing fixations in &gt;79% of 1 second bins (orange bars &gt; blue bars), often by twofold margins. This reflects experts’ strategy of leveraging DSZs for rapid overview acquisition. In Phase 2, fixation frequency  surpassed that of DSZs in &gt;89% of 1 second bins (blue &gt; orange), showing a clear dominance and suggesting continued global information integration for electronic structure synthesis.</w:t>
      </w:r>
    </w:p>
    <w:p>
      <w:pPr>
        <w:pStyle w:val="2"/>
        <w:spacing w:line="360" w:lineRule="auto"/>
        <w:ind w:firstLine="0" w:firstLineChars="0"/>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br w:type="page"/>
      </w:r>
    </w:p>
    <w:p>
      <w:pPr>
        <w:pStyle w:val="38"/>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left="0" w:leftChars="0" w:right="0" w:rightChars="0" w:firstLine="0" w:firstLineChars="0"/>
        <w:jc w:val="both"/>
        <w:textAlignment w:val="auto"/>
        <w:outlineLvl w:val="9"/>
        <w:rPr>
          <w:rFonts w:hint="default" w:ascii="Times New Roman" w:hAnsi="Times New Roman" w:eastAsia="Times New Roman" w:cs="Times New Roman"/>
          <w:szCs w:val="22"/>
          <w:lang w:val="en-US" w:eastAsia="zh-CN"/>
        </w:rPr>
      </w:pPr>
      <w:r>
        <w:rPr>
          <w:rFonts w:hint="eastAsia" w:ascii="Times New Roman" w:hAnsi="Times New Roman" w:cs="Times New Roman"/>
          <w:b/>
          <w:bCs/>
          <w:sz w:val="24"/>
          <w:szCs w:val="24"/>
          <w:u w:val="none"/>
          <w:lang w:val="en-US" w:eastAsia="zh-CN"/>
        </w:rPr>
        <w:t xml:space="preserve">S4. </w:t>
      </w:r>
      <w:r>
        <w:rPr>
          <w:rFonts w:hint="default" w:ascii="Times New Roman" w:hAnsi="Times New Roman" w:cs="Times New Roman"/>
          <w:b/>
          <w:bCs/>
          <w:sz w:val="24"/>
          <w:szCs w:val="24"/>
          <w:u w:val="none"/>
          <w:lang w:val="en-US" w:eastAsia="zh-CN"/>
        </w:rPr>
        <w:t>Temporal Evolution of Fixation Duration</w:t>
      </w:r>
    </w:p>
    <w:p>
      <w:pPr>
        <w:pStyle w:val="2"/>
        <w:spacing w:line="360" w:lineRule="auto"/>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5898515" cy="5963285"/>
            <wp:effectExtent l="0" t="0" r="0" b="18415"/>
            <wp:docPr id="10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3"/>
                    <pic:cNvPicPr>
                      <a:picLocks noChangeAspect="1"/>
                    </pic:cNvPicPr>
                  </pic:nvPicPr>
                  <pic:blipFill>
                    <a:blip r:embed="rId8"/>
                    <a:stretch>
                      <a:fillRect/>
                    </a:stretch>
                  </pic:blipFill>
                  <pic:spPr>
                    <a:xfrm>
                      <a:off x="0" y="0"/>
                      <a:ext cx="5898515" cy="5963285"/>
                    </a:xfrm>
                    <a:prstGeom prst="rect">
                      <a:avLst/>
                    </a:prstGeom>
                    <a:noFill/>
                    <a:ln w="9525">
                      <a:noFill/>
                    </a:ln>
                  </pic:spPr>
                </pic:pic>
              </a:graphicData>
            </a:graphic>
          </wp:inline>
        </w:drawing>
      </w:r>
    </w:p>
    <w:p>
      <w:pPr>
        <w:pStyle w:val="2"/>
        <w:spacing w:line="360" w:lineRule="auto"/>
        <w:ind w:firstLine="0" w:firstLineChars="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Fig. </w:t>
      </w:r>
      <w:r>
        <w:rPr>
          <w:rFonts w:hint="default" w:ascii="Times New Roman" w:hAnsi="Times New Roman" w:eastAsia="宋体" w:cs="Times New Roman"/>
          <w:b/>
          <w:bCs/>
          <w:color w:val="000000" w:themeColor="text1"/>
          <w:lang w:val="en-US" w:eastAsia="zh-CN"/>
          <w14:textFill>
            <w14:solidFill>
              <w14:schemeClr w14:val="tx1"/>
            </w14:solidFill>
          </w14:textFill>
        </w:rPr>
        <w:t>S</w:t>
      </w:r>
      <w:r>
        <w:rPr>
          <w:rFonts w:hint="default" w:ascii="Times New Roman" w:hAnsi="Times New Roman" w:cs="Times New Roman"/>
          <w:b/>
          <w:bCs/>
          <w:color w:val="000000" w:themeColor="text1"/>
          <w:lang w:val="en-US" w:eastAsia="zh-CN"/>
          <w14:textFill>
            <w14:solidFill>
              <w14:schemeClr w14:val="tx1"/>
            </w14:solidFill>
          </w14:textFill>
        </w:rPr>
        <w:t>4 :</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b/>
          <w:bCs/>
          <w:color w:val="000000" w:themeColor="text1"/>
          <w14:textFill>
            <w14:solidFill>
              <w14:schemeClr w14:val="tx1"/>
            </w14:solidFill>
          </w14:textFill>
        </w:rPr>
        <w:t>Evolution of single-fixation durations during analysis of OLED molecules</w:t>
      </w:r>
      <w:r>
        <w:rPr>
          <w:rFonts w:hint="default" w:ascii="Times New Roman" w:hAnsi="Times New Roman" w:cs="Times New Roman"/>
          <w:b/>
          <w:bCs/>
          <w:color w:val="000000" w:themeColor="text1"/>
          <w:lang w:val="en-US" w:eastAsia="zh-CN"/>
          <w14:textFill>
            <w14:solidFill>
              <w14:schemeClr w14:val="tx1"/>
            </w14:solidFill>
          </w14:textFill>
        </w:rPr>
        <w:t xml:space="preserve"> by 6 </w:t>
      </w:r>
      <w:r>
        <w:rPr>
          <w:rFonts w:hint="default" w:ascii="Times New Roman" w:hAnsi="Times New Roman" w:cs="Times New Roman"/>
          <w:b/>
          <w:bCs/>
          <w:color w:val="000000" w:themeColor="text1"/>
          <w14:textFill>
            <w14:solidFill>
              <w14:schemeClr w14:val="tx1"/>
            </w14:solidFill>
          </w14:textFill>
        </w:rPr>
        <w:t>expert</w:t>
      </w:r>
      <w:r>
        <w:rPr>
          <w:rFonts w:hint="default" w:ascii="Times New Roman" w:hAnsi="Times New Roman" w:cs="Times New Roman"/>
          <w:b/>
          <w:bCs/>
          <w:color w:val="000000" w:themeColor="text1"/>
          <w:lang w:val="en-US" w:eastAsia="zh-CN"/>
          <w14:textFill>
            <w14:solidFill>
              <w14:schemeClr w14:val="tx1"/>
            </w14:solidFill>
          </w14:textFill>
        </w:rPr>
        <w:t>s</w:t>
      </w:r>
      <w:r>
        <w:rPr>
          <w:rFonts w:hint="default" w:ascii="Times New Roman" w:hAnsi="Times New Roman" w:cs="Times New Roman"/>
          <w:b/>
          <w:bCs/>
          <w:color w:val="000000" w:themeColor="text1"/>
          <w14:textFill>
            <w14:solidFill>
              <w14:schemeClr w14:val="tx1"/>
            </w14:solidFill>
          </w14:textFill>
        </w:rPr>
        <w:t>.</w:t>
      </w:r>
      <w:r>
        <w:rPr>
          <w:rFonts w:hint="default" w:ascii="Times New Roman" w:hAnsi="Times New Roman" w:cs="Times New Roman"/>
          <w:b w:val="0"/>
          <w:bCs w:val="0"/>
          <w:color w:val="000000" w:themeColor="text1"/>
          <w14:textFill>
            <w14:solidFill>
              <w14:schemeClr w14:val="tx1"/>
            </w14:solidFill>
          </w14:textFill>
        </w:rPr>
        <w:t xml:space="preserve"> Box plots represent duration distributions per 1</w:t>
      </w:r>
      <w:r>
        <w:rPr>
          <w:rFonts w:hint="default" w:ascii="Times New Roman" w:hAnsi="Times New Roman" w:cs="Times New Roman"/>
          <w:b w:val="0"/>
          <w:bCs w:val="0"/>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s</w:t>
      </w:r>
      <w:r>
        <w:rPr>
          <w:rFonts w:hint="default" w:ascii="Times New Roman" w:hAnsi="Times New Roman" w:cs="Times New Roman"/>
          <w:color w:val="000000" w:themeColor="text1"/>
          <w:lang w:val="en-US" w:eastAsia="zh-CN"/>
          <w14:textFill>
            <w14:solidFill>
              <w14:schemeClr w14:val="tx1"/>
            </w14:solidFill>
          </w14:textFill>
        </w:rPr>
        <w:t>econd</w:t>
      </w:r>
      <w:r>
        <w:rPr>
          <w:rFonts w:hint="default" w:ascii="Times New Roman" w:hAnsi="Times New Roman" w:cs="Times New Roman"/>
          <w:b w:val="0"/>
          <w:bCs w:val="0"/>
          <w:color w:val="000000" w:themeColor="text1"/>
          <w14:textFill>
            <w14:solidFill>
              <w14:schemeClr w14:val="tx1"/>
            </w14:solidFill>
          </w14:textFill>
        </w:rPr>
        <w:t xml:space="preserve"> bin across six participants.</w:t>
      </w:r>
      <w:r>
        <w:rPr>
          <w:rFonts w:hint="default" w:ascii="Times New Roman" w:hAnsi="Times New Roman" w:eastAsia="宋体" w:cs="Times New Roman"/>
          <w:b w:val="0"/>
          <w:bCs w:val="0"/>
          <w:color w:val="000000" w:themeColor="text1"/>
          <w:lang w:val="en-US" w:eastAsia="zh-CN"/>
          <w14:textFill>
            <w14:solidFill>
              <w14:schemeClr w14:val="tx1"/>
            </w14:solidFill>
          </w14:textFill>
        </w:rPr>
        <w:t xml:space="preserve"> Under the eye-mind assumption, prolonged fixations signify deeper information processing. This demonstrates how materials science experts spontaneous refine their understanding during the later stages of cognitive.</w:t>
      </w:r>
    </w:p>
    <w:p>
      <w:pPr>
        <w:pStyle w:val="2"/>
        <w:spacing w:line="360" w:lineRule="auto"/>
        <w:ind w:firstLine="0" w:firstLineChars="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br w:type="page"/>
      </w:r>
    </w:p>
    <w:p>
      <w:pPr>
        <w:pStyle w:val="38"/>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left="0" w:leftChars="0" w:right="0" w:rightChars="0" w:firstLine="0" w:firstLineChars="0"/>
        <w:jc w:val="both"/>
        <w:textAlignment w:val="auto"/>
        <w:outlineLvl w:val="9"/>
        <w:rPr>
          <w:rFonts w:hint="default" w:ascii="Times New Roman" w:hAnsi="Times New Roman" w:eastAsia="Times New Roman" w:cs="Times New Roman"/>
          <w:szCs w:val="22"/>
          <w:lang w:val="en-US" w:eastAsia="zh-CN"/>
        </w:rPr>
      </w:pPr>
      <w:r>
        <w:rPr>
          <w:rFonts w:hint="eastAsia" w:ascii="Times New Roman" w:hAnsi="Times New Roman" w:cs="Times New Roman"/>
          <w:b/>
          <w:bCs/>
          <w:sz w:val="24"/>
          <w:szCs w:val="24"/>
          <w:u w:val="none"/>
          <w:lang w:val="en-US" w:eastAsia="zh-CN"/>
        </w:rPr>
        <w:t>S5. Gaze Transition Velocity in Expert Staged Attention Mechanisms</w:t>
      </w:r>
    </w:p>
    <w:p>
      <w:pPr>
        <w:pStyle w:val="2"/>
        <w:spacing w:line="360" w:lineRule="auto"/>
        <w:ind w:firstLine="0" w:firstLineChars="0"/>
        <w:rPr>
          <w:rFonts w:hint="default" w:ascii="Times New Roman" w:hAnsi="Times New Roman" w:cs="Times New Roman"/>
          <w:color w:val="000000" w:themeColor="text1"/>
          <w:szCs w:val="22"/>
          <w14:textFill>
            <w14:solidFill>
              <w14:schemeClr w14:val="tx1"/>
            </w14:solidFill>
          </w14:textFill>
        </w:rPr>
      </w:pPr>
      <w:r>
        <w:rPr>
          <w:rFonts w:hint="default" w:ascii="Times New Roman" w:hAnsi="Times New Roman" w:cs="Times New Roman"/>
          <w:color w:val="000000" w:themeColor="text1"/>
          <w:szCs w:val="22"/>
          <w14:textFill>
            <w14:solidFill>
              <w14:schemeClr w14:val="tx1"/>
            </w14:solidFill>
          </w14:textFill>
        </w:rPr>
        <w:drawing>
          <wp:inline distT="0" distB="0" distL="114300" distR="114300">
            <wp:extent cx="5948680" cy="2611120"/>
            <wp:effectExtent l="0" t="0" r="0" b="17780"/>
            <wp:docPr id="6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6"/>
                    <pic:cNvPicPr>
                      <a:picLocks noChangeAspect="1"/>
                    </pic:cNvPicPr>
                  </pic:nvPicPr>
                  <pic:blipFill>
                    <a:blip r:embed="rId9"/>
                    <a:stretch>
                      <a:fillRect/>
                    </a:stretch>
                  </pic:blipFill>
                  <pic:spPr>
                    <a:xfrm>
                      <a:off x="0" y="0"/>
                      <a:ext cx="5948680" cy="2611120"/>
                    </a:xfrm>
                    <a:prstGeom prst="rect">
                      <a:avLst/>
                    </a:prstGeom>
                    <a:noFill/>
                    <a:ln w="9525">
                      <a:noFill/>
                    </a:ln>
                  </pic:spPr>
                </pic:pic>
              </a:graphicData>
            </a:graphic>
          </wp:inline>
        </w:drawing>
      </w:r>
    </w:p>
    <w:p>
      <w:pPr>
        <w:pStyle w:val="2"/>
        <w:spacing w:line="360" w:lineRule="auto"/>
        <w:ind w:firstLine="0" w:firstLineChars="0"/>
        <w:jc w:val="both"/>
        <w:rPr>
          <w:rFonts w:hint="default" w:ascii="Times New Roman" w:hAnsi="Times New Roman" w:cs="Times New Roman"/>
          <w:b w:val="0"/>
          <w:bCs w:val="0"/>
          <w:color w:val="000000" w:themeColor="text1"/>
          <w:sz w:val="21"/>
          <w:szCs w:val="22"/>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Fig. </w:t>
      </w:r>
      <w:r>
        <w:rPr>
          <w:rFonts w:hint="default" w:ascii="Times New Roman" w:hAnsi="Times New Roman" w:eastAsia="宋体" w:cs="Times New Roman"/>
          <w:b/>
          <w:bCs/>
          <w:color w:val="000000" w:themeColor="text1"/>
          <w:lang w:val="en-US" w:eastAsia="zh-CN"/>
          <w14:textFill>
            <w14:solidFill>
              <w14:schemeClr w14:val="tx1"/>
            </w14:solidFill>
          </w14:textFill>
        </w:rPr>
        <w:t>S</w:t>
      </w:r>
      <w:r>
        <w:rPr>
          <w:rFonts w:hint="default" w:ascii="Times New Roman" w:hAnsi="Times New Roman" w:cs="Times New Roman"/>
          <w:b/>
          <w:bCs/>
          <w:color w:val="000000" w:themeColor="text1"/>
          <w:lang w:val="en-US" w:eastAsia="zh-CN"/>
          <w14:textFill>
            <w14:solidFill>
              <w14:schemeClr w14:val="tx1"/>
            </w14:solidFill>
          </w14:textFill>
        </w:rPr>
        <w:t>5 :</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b/>
          <w:bCs/>
          <w:color w:val="000000" w:themeColor="text1"/>
          <w14:textFill>
            <w14:solidFill>
              <w14:schemeClr w14:val="tx1"/>
            </w14:solidFill>
          </w14:textFill>
        </w:rPr>
        <w:t>Distribution of gaze shift velocity during cognitive processing.</w:t>
      </w:r>
      <w:r>
        <w:rPr>
          <w:rFonts w:hint="default" w:ascii="Times New Roman" w:hAnsi="Times New Roman" w:cs="Times New Roman"/>
          <w:b w:val="0"/>
          <w:bCs w:val="0"/>
          <w:color w:val="000000" w:themeColor="text1"/>
          <w14:textFill>
            <w14:solidFill>
              <w14:schemeClr w14:val="tx1"/>
            </w14:solidFill>
          </w14:textFill>
        </w:rPr>
        <w:t xml:space="preserve"> Background colors demarcate two cognitive phases (Phase 1: Exploration; Phase 2: Integration). Box plots show velocity distributions within sequential 1</w:t>
      </w:r>
      <w:r>
        <w:rPr>
          <w:rFonts w:hint="default" w:ascii="Times New Roman" w:hAnsi="Times New Roman" w:cs="Times New Roman"/>
          <w:b w:val="0"/>
          <w:bCs w:val="0"/>
          <w:color w:val="000000" w:themeColor="text1"/>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14:textFill>
            <w14:solidFill>
              <w14:schemeClr w14:val="tx1"/>
            </w14:solidFill>
          </w14:textFill>
        </w:rPr>
        <w:t>second</w:t>
      </w:r>
      <w:r>
        <w:rPr>
          <w:rFonts w:hint="default" w:ascii="Times New Roman" w:hAnsi="Times New Roman" w:cs="Times New Roman"/>
          <w:b w:val="0"/>
          <w:bCs w:val="0"/>
          <w:color w:val="000000" w:themeColor="text1"/>
          <w:sz w:val="21"/>
          <w:szCs w:val="22"/>
          <w14:textFill>
            <w14:solidFill>
              <w14:schemeClr w14:val="tx1"/>
            </w14:solidFill>
          </w14:textFill>
        </w:rPr>
        <w:t xml:space="preserve"> bins.</w:t>
      </w:r>
      <w:r>
        <w:rPr>
          <w:rFonts w:hint="default" w:ascii="Times New Roman" w:hAnsi="Times New Roman" w:cs="Times New Roman"/>
          <w:b w:val="0"/>
          <w:bCs w:val="0"/>
          <w:color w:val="000000" w:themeColor="text1"/>
          <w:sz w:val="21"/>
          <w:szCs w:val="22"/>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1"/>
          <w:szCs w:val="22"/>
          <w14:textFill>
            <w14:solidFill>
              <w14:schemeClr w14:val="tx1"/>
            </w14:solidFill>
          </w14:textFill>
        </w:rPr>
        <w:t>Box plots reveal a progressive deceleration in mean gaze point shift velocity during cognitive processing, accompanied by increasing fixation frequency. Notably, Phase 1 gaze velocity (~750 pixel/frame) nearly twice as high as that in Phase 2(~400 pixel/frame).</w:t>
      </w:r>
    </w:p>
    <w:p>
      <w:pPr>
        <w:pStyle w:val="2"/>
        <w:spacing w:line="360" w:lineRule="auto"/>
        <w:ind w:firstLine="0"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br w:type="page"/>
      </w:r>
    </w:p>
    <w:p>
      <w:pPr>
        <w:pStyle w:val="38"/>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left="0" w:leftChars="0" w:right="0" w:rightChars="0" w:firstLine="0" w:firstLineChars="0"/>
        <w:jc w:val="both"/>
        <w:textAlignment w:val="auto"/>
        <w:outlineLvl w:val="9"/>
        <w:rPr>
          <w:rFonts w:hint="default" w:ascii="Times New Roman" w:hAnsi="Times New Roman" w:eastAsia="Times New Roman" w:cs="Times New Roman"/>
          <w:szCs w:val="22"/>
          <w:lang w:val="en-US" w:eastAsia="zh-CN"/>
        </w:rPr>
      </w:pPr>
      <w:r>
        <w:rPr>
          <w:rFonts w:hint="eastAsia" w:ascii="Times New Roman" w:hAnsi="Times New Roman" w:cs="Times New Roman"/>
          <w:b/>
          <w:bCs/>
          <w:sz w:val="24"/>
          <w:szCs w:val="24"/>
          <w:u w:val="none"/>
          <w:lang w:val="en-US" w:eastAsia="zh-CN"/>
        </w:rPr>
        <w:t xml:space="preserve">S6. </w:t>
      </w:r>
      <w:r>
        <w:rPr>
          <w:rFonts w:hint="default" w:ascii="Times New Roman" w:hAnsi="Times New Roman" w:cs="Times New Roman"/>
          <w:b/>
          <w:bCs/>
          <w:sz w:val="24"/>
          <w:szCs w:val="24"/>
          <w:u w:val="none"/>
          <w:lang w:val="en-US" w:eastAsia="zh-CN"/>
        </w:rPr>
        <w:t>Prediction Results of Atomic Contributions to Molecular Orbitals for Typical D-A Molecules in the Test Set</w:t>
      </w:r>
    </w:p>
    <w:p>
      <w:pPr>
        <w:pStyle w:val="2"/>
        <w:spacing w:line="360" w:lineRule="auto"/>
        <w:ind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968240" cy="6666865"/>
            <wp:effectExtent l="0" t="0" r="0" b="63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4968240" cy="6666865"/>
                    </a:xfrm>
                    <a:prstGeom prst="rect">
                      <a:avLst/>
                    </a:prstGeom>
                    <a:noFill/>
                    <a:ln w="9525">
                      <a:noFill/>
                    </a:ln>
                  </pic:spPr>
                </pic:pic>
              </a:graphicData>
            </a:graphic>
          </wp:inline>
        </w:drawing>
      </w:r>
    </w:p>
    <w:p>
      <w:pPr>
        <w:pStyle w:val="2"/>
        <w:spacing w:line="360" w:lineRule="auto"/>
        <w:ind w:firstLine="0" w:firstLineChars="0"/>
        <w:rPr>
          <w:rFonts w:hint="default" w:ascii="Times New Roman" w:hAnsi="Times New Roman" w:cs="Times New Roman"/>
          <w:b w:val="0"/>
          <w:bCs w:val="0"/>
          <w:color w:val="000000" w:themeColor="text1"/>
          <w:szCs w:val="22"/>
          <w:lang w:val="en-US" w:eastAsia="zh-CN"/>
          <w14:textFill>
            <w14:solidFill>
              <w14:schemeClr w14:val="tx1"/>
            </w14:solidFill>
          </w14:textFill>
        </w:rPr>
      </w:pPr>
      <w:r>
        <w:rPr>
          <w:rFonts w:hint="default" w:ascii="Times New Roman" w:hAnsi="Times New Roman" w:cs="Times New Roman"/>
          <w:b/>
          <w:bCs/>
          <w:color w:val="000000" w:themeColor="text1"/>
          <w:szCs w:val="22"/>
          <w14:textFill>
            <w14:solidFill>
              <w14:schemeClr w14:val="tx1"/>
            </w14:solidFill>
          </w14:textFill>
        </w:rPr>
        <w:t xml:space="preserve">Fig. </w:t>
      </w:r>
      <w:r>
        <w:rPr>
          <w:rFonts w:hint="default" w:ascii="Times New Roman" w:hAnsi="Times New Roman" w:eastAsia="宋体" w:cs="Times New Roman"/>
          <w:b/>
          <w:bCs/>
          <w:color w:val="000000" w:themeColor="text1"/>
          <w:szCs w:val="22"/>
          <w:lang w:val="en-US" w:eastAsia="zh-CN"/>
          <w14:textFill>
            <w14:solidFill>
              <w14:schemeClr w14:val="tx1"/>
            </w14:solidFill>
          </w14:textFill>
        </w:rPr>
        <w:t>S</w:t>
      </w:r>
      <w:r>
        <w:rPr>
          <w:rFonts w:hint="default" w:ascii="Times New Roman" w:hAnsi="Times New Roman" w:cs="Times New Roman"/>
          <w:b/>
          <w:bCs/>
          <w:color w:val="000000" w:themeColor="text1"/>
          <w:szCs w:val="22"/>
          <w:lang w:val="en-US" w:eastAsia="zh-CN"/>
          <w14:textFill>
            <w14:solidFill>
              <w14:schemeClr w14:val="tx1"/>
            </w14:solidFill>
          </w14:textFill>
        </w:rPr>
        <w:t xml:space="preserve">6 : Comparison of predicted and DFT-calculated atomic contributions to the HOMO and LUMO of representative D-A molecules in the test set. </w:t>
      </w:r>
      <w:r>
        <w:rPr>
          <w:rFonts w:hint="default" w:ascii="Times New Roman" w:hAnsi="Times New Roman" w:cs="Times New Roman"/>
          <w:b w:val="0"/>
          <w:bCs w:val="0"/>
          <w:color w:val="000000" w:themeColor="text1"/>
          <w:szCs w:val="22"/>
          <w:lang w:val="en-US" w:eastAsia="zh-CN"/>
          <w14:textFill>
            <w14:solidFill>
              <w14:schemeClr w14:val="tx1"/>
            </w14:solidFill>
          </w14:textFill>
        </w:rPr>
        <w:t>From left to right: molecular structure, results of HOMO, results of LUMO.</w:t>
      </w:r>
    </w:p>
    <w:p>
      <w:pPr>
        <w:pStyle w:val="2"/>
        <w:spacing w:line="360" w:lineRule="auto"/>
        <w:ind w:firstLine="0" w:firstLineChars="0"/>
        <w:rPr>
          <w:rFonts w:hint="default" w:ascii="Times New Roman" w:hAnsi="Times New Roman" w:cs="Times New Roman"/>
          <w:b w:val="0"/>
          <w:bCs w:val="0"/>
          <w:color w:val="000000" w:themeColor="text1"/>
          <w:szCs w:val="22"/>
          <w:lang w:val="en-US" w:eastAsia="zh-CN"/>
          <w14:textFill>
            <w14:solidFill>
              <w14:schemeClr w14:val="tx1"/>
            </w14:solidFill>
          </w14:textFill>
        </w:rPr>
      </w:pPr>
      <w:r>
        <w:rPr>
          <w:rFonts w:hint="default" w:ascii="Times New Roman" w:hAnsi="Times New Roman" w:cs="Times New Roman"/>
          <w:b w:val="0"/>
          <w:bCs w:val="0"/>
          <w:color w:val="000000" w:themeColor="text1"/>
          <w:szCs w:val="22"/>
          <w:lang w:val="en-US" w:eastAsia="zh-CN"/>
          <w14:textFill>
            <w14:solidFill>
              <w14:schemeClr w14:val="tx1"/>
            </w14:solidFill>
          </w14:textFill>
        </w:rPr>
        <w:br w:type="page"/>
      </w:r>
    </w:p>
    <w:p>
      <w:pPr>
        <w:pStyle w:val="38"/>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left="0" w:leftChars="0" w:right="0" w:rightChars="0" w:firstLine="0" w:firstLineChars="0"/>
        <w:jc w:val="both"/>
        <w:textAlignment w:val="auto"/>
        <w:outlineLvl w:val="9"/>
        <w:rPr>
          <w:rFonts w:hint="default" w:ascii="Times New Roman" w:hAnsi="Times New Roman" w:eastAsia="Times New Roman" w:cs="Times New Roman"/>
          <w:szCs w:val="22"/>
          <w:lang w:val="en-US" w:eastAsia="zh-CN"/>
        </w:rPr>
      </w:pPr>
      <w:r>
        <w:rPr>
          <w:rFonts w:hint="eastAsia" w:ascii="Times New Roman" w:hAnsi="Times New Roman" w:cs="Times New Roman"/>
          <w:b/>
          <w:bCs/>
          <w:sz w:val="24"/>
          <w:szCs w:val="24"/>
          <w:u w:val="none"/>
          <w:lang w:val="en-US" w:eastAsia="zh-CN"/>
        </w:rPr>
        <w:t xml:space="preserve">S7. </w:t>
      </w:r>
      <w:r>
        <w:rPr>
          <w:rFonts w:hint="default" w:ascii="Times New Roman" w:hAnsi="Times New Roman" w:cs="Times New Roman"/>
          <w:b/>
          <w:bCs/>
          <w:sz w:val="24"/>
          <w:szCs w:val="24"/>
          <w:u w:val="none"/>
          <w:lang w:val="en-US" w:eastAsia="zh-CN"/>
        </w:rPr>
        <w:t>Misassignment of Electronic Distributions in Sulfoxides</w:t>
      </w:r>
    </w:p>
    <w:p>
      <w:pPr>
        <w:pStyle w:val="2"/>
        <w:spacing w:line="360" w:lineRule="auto"/>
        <w:ind w:firstLine="0" w:firstLineChars="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rPr>
        <w:drawing>
          <wp:inline distT="0" distB="0" distL="114300" distR="114300">
            <wp:extent cx="5810250" cy="3505835"/>
            <wp:effectExtent l="0" t="0" r="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810250" cy="3505835"/>
                    </a:xfrm>
                    <a:prstGeom prst="rect">
                      <a:avLst/>
                    </a:prstGeom>
                    <a:noFill/>
                    <a:ln w="9525">
                      <a:noFill/>
                    </a:ln>
                  </pic:spPr>
                </pic:pic>
              </a:graphicData>
            </a:graphic>
          </wp:inline>
        </w:drawing>
      </w:r>
    </w:p>
    <w:p>
      <w:pPr>
        <w:pStyle w:val="2"/>
        <w:spacing w:line="360" w:lineRule="auto"/>
        <w:ind w:firstLine="0" w:firstLineChars="0"/>
        <w:jc w:val="both"/>
        <w:rPr>
          <w:rFonts w:hint="default" w:ascii="Times New Roman" w:hAnsi="Times New Roman" w:eastAsia="宋体" w:cs="Times New Roman"/>
          <w:b w:val="0"/>
          <w:bCs w:val="0"/>
          <w:color w:val="000000" w:themeColor="text1"/>
          <w:szCs w:val="22"/>
          <w:lang w:val="en-US" w:eastAsia="zh-CN"/>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Fig. </w:t>
      </w:r>
      <w:r>
        <w:rPr>
          <w:rFonts w:hint="default" w:ascii="Times New Roman" w:hAnsi="Times New Roman" w:eastAsia="宋体" w:cs="Times New Roman"/>
          <w:b/>
          <w:bCs/>
          <w:color w:val="000000" w:themeColor="text1"/>
          <w:lang w:val="en-US" w:eastAsia="zh-CN"/>
          <w14:textFill>
            <w14:solidFill>
              <w14:schemeClr w14:val="tx1"/>
            </w14:solidFill>
          </w14:textFill>
        </w:rPr>
        <w:t>S</w:t>
      </w:r>
      <w:r>
        <w:rPr>
          <w:rFonts w:hint="default" w:ascii="Times New Roman" w:hAnsi="Times New Roman" w:cs="Times New Roman"/>
          <w:b/>
          <w:bCs/>
          <w:color w:val="000000" w:themeColor="text1"/>
          <w:lang w:val="en-US" w:eastAsia="zh-CN"/>
          <w14:textFill>
            <w14:solidFill>
              <w14:schemeClr w14:val="tx1"/>
            </w14:solidFill>
          </w14:textFill>
        </w:rPr>
        <w:t>7 :</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b/>
          <w:bCs/>
          <w:color w:val="000000" w:themeColor="text1"/>
          <w:szCs w:val="22"/>
          <w14:textFill>
            <w14:solidFill>
              <w14:schemeClr w14:val="tx1"/>
            </w14:solidFill>
          </w14:textFill>
        </w:rPr>
        <w:t xml:space="preserve">DFT-calculated HOMO distributions vs. DL models’ predictions of </w:t>
      </w:r>
      <w:r>
        <w:rPr>
          <w:rFonts w:hint="default" w:ascii="Times New Roman" w:hAnsi="Times New Roman" w:cs="Times New Roman"/>
          <w:b/>
          <w:bCs/>
          <w:color w:val="000000" w:themeColor="text1"/>
          <w14:textFill>
            <w14:solidFill>
              <w14:schemeClr w14:val="tx1"/>
            </w14:solidFill>
          </w14:textFill>
        </w:rPr>
        <w:t>DTMC-TXO2.</w:t>
      </w:r>
      <w:r>
        <w:rPr>
          <w:rFonts w:hint="default" w:ascii="Times New Roman" w:hAnsi="Times New Roman" w:cs="Times New Roman"/>
          <w:b w:val="0"/>
          <w:bCs w:val="0"/>
          <w:color w:val="000000" w:themeColor="text1"/>
          <w14:textFill>
            <w14:solidFill>
              <w14:schemeClr w14:val="tx1"/>
            </w14:solidFill>
          </w14:textFill>
        </w:rPr>
        <w:t xml:space="preserve"> </w:t>
      </w:r>
      <w:r>
        <w:rPr>
          <w:rFonts w:hint="default" w:ascii="Times New Roman" w:hAnsi="Times New Roman" w:cs="Times New Roman"/>
          <w:b/>
          <w:bCs/>
          <w:color w:val="000000" w:themeColor="text1"/>
          <w:lang w:val="en-US" w:eastAsia="zh-CN"/>
          <w14:textFill>
            <w14:solidFill>
              <w14:schemeClr w14:val="tx1"/>
            </w14:solidFill>
          </w14:textFill>
        </w:rPr>
        <w:t>a,</w:t>
      </w:r>
      <w:r>
        <w:rPr>
          <w:rFonts w:hint="default" w:ascii="Times New Roman" w:hAnsi="Times New Roman" w:cs="Times New Roman"/>
          <w:b w:val="0"/>
          <w:bCs w:val="0"/>
          <w:color w:val="000000" w:themeColor="text1"/>
          <w14:textFill>
            <w14:solidFill>
              <w14:schemeClr w14:val="tx1"/>
            </w14:solidFill>
          </w14:textFill>
        </w:rPr>
        <w:t xml:space="preserve"> Molecular structure and spatial HOMO distribution. </w:t>
      </w:r>
      <w:r>
        <w:rPr>
          <w:rFonts w:hint="default" w:ascii="Times New Roman" w:hAnsi="Times New Roman" w:cs="Times New Roman"/>
          <w:b/>
          <w:bCs/>
          <w:color w:val="000000" w:themeColor="text1"/>
          <w:lang w:val="en-US" w:eastAsia="zh-CN"/>
          <w14:textFill>
            <w14:solidFill>
              <w14:schemeClr w14:val="tx1"/>
            </w14:solidFill>
          </w14:textFill>
        </w:rPr>
        <w:t>b,</w:t>
      </w:r>
      <w:r>
        <w:rPr>
          <w:rFonts w:hint="default" w:ascii="Times New Roman" w:hAnsi="Times New Roman" w:cs="Times New Roman"/>
          <w:b w:val="0"/>
          <w:bCs w:val="0"/>
          <w:color w:val="000000" w:themeColor="text1"/>
          <w14:textFill>
            <w14:solidFill>
              <w14:schemeClr w14:val="tx1"/>
            </w14:solidFill>
          </w14:textFill>
        </w:rPr>
        <w:t xml:space="preserve"> Atomic-site resolved HOMO contributions (DFT ground truth) and</w:t>
      </w:r>
      <w:r>
        <w:rPr>
          <w:rFonts w:hint="default" w:ascii="Times New Roman" w:hAnsi="Times New Roman" w:cs="Times New Roman"/>
          <w:b w:val="0"/>
          <w:bCs w:val="0"/>
          <w:color w:val="000000" w:themeColor="text1"/>
          <w:szCs w:val="22"/>
          <w14:textFill>
            <w14:solidFill>
              <w14:schemeClr w14:val="tx1"/>
            </w14:solidFill>
          </w14:textFill>
        </w:rPr>
        <w:t xml:space="preserve"> predictions from DL models</w:t>
      </w:r>
      <w:r>
        <w:rPr>
          <w:rFonts w:hint="default" w:ascii="Times New Roman" w:hAnsi="Times New Roman" w:cs="Times New Roman"/>
          <w:b w:val="0"/>
          <w:bCs w:val="0"/>
          <w:color w:val="000000" w:themeColor="text1"/>
          <w:szCs w:val="22"/>
          <w:lang w:val="en-US" w:eastAsia="zh-CN"/>
          <w14:textFill>
            <w14:solidFill>
              <w14:schemeClr w14:val="tx1"/>
            </w14:solidFill>
          </w14:textFill>
        </w:rPr>
        <w:t>, ETINN achieved a state-of-the-art result with an MSE of 0.030</w:t>
      </w:r>
      <w:r>
        <w:rPr>
          <w:rFonts w:hint="default" w:ascii="Times New Roman" w:hAnsi="Times New Roman" w:cs="Times New Roman"/>
          <w:b w:val="0"/>
          <w:bCs w:val="0"/>
          <w:color w:val="000000" w:themeColor="text1"/>
          <w:szCs w:val="22"/>
          <w14:textFill>
            <w14:solidFill>
              <w14:schemeClr w14:val="tx1"/>
            </w14:solidFill>
          </w14:textFill>
        </w:rPr>
        <w:t>.</w:t>
      </w:r>
      <w:r>
        <w:rPr>
          <w:rFonts w:hint="default" w:ascii="Times New Roman" w:hAnsi="Times New Roman" w:eastAsia="宋体" w:cs="Times New Roman"/>
          <w:b w:val="0"/>
          <w:bCs w:val="0"/>
          <w:color w:val="000000" w:themeColor="text1"/>
          <w:szCs w:val="22"/>
          <w:lang w:val="en-US" w:eastAsia="zh-CN"/>
          <w14:textFill>
            <w14:solidFill>
              <w14:schemeClr w14:val="tx1"/>
            </w14:solidFill>
          </w14:textFill>
        </w:rPr>
        <w:t xml:space="preserve"> </w:t>
      </w:r>
    </w:p>
    <w:p>
      <w:pPr>
        <w:pStyle w:val="2"/>
        <w:spacing w:line="360" w:lineRule="auto"/>
        <w:ind w:firstLine="0" w:firstLineChars="0"/>
        <w:jc w:val="both"/>
        <w:rPr>
          <w:rFonts w:hint="default" w:ascii="Times New Roman" w:hAnsi="Times New Roman" w:eastAsia="宋体" w:cs="Times New Roman"/>
          <w:b w:val="0"/>
          <w:bCs w:val="0"/>
          <w:color w:val="000000" w:themeColor="text1"/>
          <w:szCs w:val="2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Cs w:val="22"/>
          <w:lang w:val="en-US" w:eastAsia="zh-CN"/>
          <w14:textFill>
            <w14:solidFill>
              <w14:schemeClr w14:val="tx1"/>
            </w14:solidFill>
          </w14:textFill>
        </w:rPr>
        <w:br w:type="page"/>
      </w:r>
    </w:p>
    <w:p>
      <w:pPr>
        <w:pStyle w:val="38"/>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left="0" w:leftChars="0" w:right="0" w:rightChars="0" w:firstLine="0" w:firstLineChars="0"/>
        <w:jc w:val="both"/>
        <w:textAlignment w:val="auto"/>
        <w:outlineLvl w:val="9"/>
        <w:rPr>
          <w:rFonts w:hint="default" w:ascii="Times New Roman" w:hAnsi="Times New Roman" w:eastAsia="Times New Roman" w:cs="Times New Roman"/>
          <w:szCs w:val="22"/>
          <w:lang w:val="en-US" w:eastAsia="zh-CN"/>
        </w:rPr>
      </w:pPr>
      <w:r>
        <w:rPr>
          <w:rFonts w:hint="eastAsia" w:ascii="Times New Roman" w:hAnsi="Times New Roman" w:cs="Times New Roman"/>
          <w:b/>
          <w:bCs/>
          <w:sz w:val="24"/>
          <w:szCs w:val="24"/>
          <w:u w:val="none"/>
          <w:lang w:val="en-US" w:eastAsia="zh-CN"/>
        </w:rPr>
        <w:t xml:space="preserve">S8. </w:t>
      </w:r>
      <w:r>
        <w:rPr>
          <w:rFonts w:hint="default" w:ascii="Times New Roman" w:hAnsi="Times New Roman" w:cs="Times New Roman"/>
          <w:b/>
          <w:bCs/>
          <w:sz w:val="24"/>
          <w:szCs w:val="24"/>
          <w:u w:val="none"/>
          <w:lang w:val="en-US" w:eastAsia="zh-CN"/>
        </w:rPr>
        <w:t>Impact of Cutoff Radius on Training Performance</w:t>
      </w:r>
    </w:p>
    <w:p>
      <w:pPr>
        <w:pStyle w:val="2"/>
        <w:spacing w:line="360" w:lineRule="auto"/>
        <w:ind w:firstLine="0" w:firstLineChars="0"/>
        <w:jc w:val="both"/>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 xml:space="preserve">In general, increasing the cutoff radius can expand geometric encoding scope to incorporate more inter-group interactions. However, larger cutoffs substantially increase per-iteration sampling complexity and may induce overfitting in limited datasets. </w:t>
      </w:r>
    </w:p>
    <w:p>
      <w:pPr>
        <w:pStyle w:val="2"/>
        <w:spacing w:line="360" w:lineRule="auto"/>
        <w:ind w:firstLine="0" w:firstLineChars="0"/>
        <w:jc w:val="both"/>
        <w:rPr>
          <w:rFonts w:hint="default" w:ascii="Times New Roman" w:hAnsi="Times New Roman" w:eastAsia="Times New Roman" w:cs="Times New Roman"/>
          <w:b w:val="0"/>
          <w:bCs w:val="0"/>
          <w:szCs w:val="22"/>
          <w:lang w:val="en-US" w:eastAsia="zh-CN"/>
        </w:rPr>
      </w:pP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Table </w:t>
      </w:r>
      <w:r>
        <w:rPr>
          <w:rFonts w:hint="default" w:ascii="Times New Roman" w:hAnsi="Times New Roman" w:cs="Times New Roman"/>
          <w:b/>
          <w:bCs/>
          <w:sz w:val="21"/>
          <w:szCs w:val="21"/>
        </w:rPr>
        <w:t>S1</w:t>
      </w:r>
      <w:r>
        <w:rPr>
          <w:rFonts w:hint="default" w:ascii="Times New Roman" w:hAnsi="Times New Roman" w:eastAsia="宋体" w:cs="Times New Roman"/>
          <w:b/>
          <w:bCs/>
          <w:sz w:val="21"/>
          <w:szCs w:val="21"/>
          <w:lang w:val="en-US" w:eastAsia="zh-CN"/>
        </w:rPr>
        <w:t xml:space="preserve">: </w:t>
      </w:r>
      <w:r>
        <w:rPr>
          <w:rFonts w:hint="default" w:ascii="Times New Roman" w:hAnsi="Times New Roman" w:cs="Times New Roman"/>
          <w:b/>
          <w:bCs/>
          <w:color w:val="000000" w:themeColor="text1"/>
          <w:sz w:val="21"/>
          <w:szCs w:val="21"/>
          <w14:textFill>
            <w14:solidFill>
              <w14:schemeClr w14:val="tx1"/>
            </w14:solidFill>
          </w14:textFill>
        </w:rPr>
        <w:t>Model accuracy (MSE) at varying cutoff radius</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eastAsia="Times New Roman" w:cs="Times New Roman"/>
          <w:b w:val="0"/>
          <w:bCs w:val="0"/>
          <w:sz w:val="21"/>
          <w:szCs w:val="21"/>
          <w:lang w:val="en-US" w:eastAsia="zh-CN"/>
        </w:rPr>
        <w:t>Duri</w:t>
      </w:r>
      <w:r>
        <w:rPr>
          <w:rFonts w:hint="default" w:ascii="Times New Roman" w:hAnsi="Times New Roman" w:eastAsia="Times New Roman" w:cs="Times New Roman"/>
          <w:b w:val="0"/>
          <w:bCs w:val="0"/>
          <w:szCs w:val="22"/>
          <w:lang w:val="en-US" w:eastAsia="zh-CN"/>
        </w:rPr>
        <w:t>ng preliminary development, we observed that DeepDFT-based architectures with Transformer output layers exhibited pronounced sensitivity to cutoff selection. Test errors increased significantly at 4-8 Å cutoffs (</w:t>
      </w:r>
      <w:r>
        <w:rPr>
          <w:rFonts w:hint="default" w:ascii="Times New Roman" w:hAnsi="Times New Roman" w:eastAsia="Times New Roman" w:cs="Times New Roman"/>
          <w:b w:val="0"/>
          <w:bCs w:val="0"/>
          <w:i/>
          <w:iCs/>
          <w:szCs w:val="22"/>
          <w:lang w:val="en-US" w:eastAsia="zh-CN"/>
        </w:rPr>
        <w:t>ε</w:t>
      </w:r>
      <w:r>
        <w:rPr>
          <w:rFonts w:hint="default" w:ascii="Times New Roman" w:hAnsi="Times New Roman" w:eastAsia="Times New Roman" w:cs="Times New Roman"/>
          <w:b w:val="0"/>
          <w:bCs w:val="0"/>
          <w:i/>
          <w:iCs/>
          <w:szCs w:val="22"/>
          <w:vertAlign w:val="subscript"/>
          <w:lang w:val="en-US" w:eastAsia="zh-CN"/>
        </w:rPr>
        <w:t>d</w:t>
      </w:r>
      <w:r>
        <w:rPr>
          <w:rFonts w:hint="default" w:ascii="Times New Roman" w:hAnsi="Times New Roman" w:eastAsia="Times New Roman" w:cs="Times New Roman"/>
          <w:b w:val="0"/>
          <w:bCs w:val="0"/>
          <w:i/>
          <w:iCs/>
          <w:szCs w:val="22"/>
          <w:lang w:val="en-US" w:eastAsia="zh-CN"/>
        </w:rPr>
        <w:t>(MSE)</w:t>
      </w:r>
      <w:r>
        <w:rPr>
          <w:rFonts w:hint="default" w:ascii="Times New Roman" w:hAnsi="Times New Roman" w:eastAsia="Times New Roman" w:cs="Times New Roman"/>
          <w:b w:val="0"/>
          <w:bCs w:val="0"/>
          <w:szCs w:val="22"/>
          <w:lang w:val="en-US" w:eastAsia="zh-CN"/>
        </w:rPr>
        <w:t xml:space="preserve"> = 8.06).</w:t>
      </w:r>
    </w:p>
    <w:tbl>
      <w:tblPr>
        <w:tblStyle w:val="1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1846"/>
        <w:gridCol w:w="2306"/>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594" w:type="dxa"/>
            <w:tcBorders>
              <w:top w:val="nil"/>
              <w:left w:val="nil"/>
              <w:right w:val="nil"/>
            </w:tcBorders>
            <w:vAlign w:val="top"/>
          </w:tcPr>
          <w:p>
            <w:pPr>
              <w:pStyle w:val="2"/>
              <w:widowControl w:val="0"/>
              <w:ind w:firstLine="0" w:firstLineChars="0"/>
              <w:jc w:val="both"/>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Model</w:t>
            </w:r>
          </w:p>
        </w:tc>
        <w:tc>
          <w:tcPr>
            <w:tcW w:w="1846" w:type="dxa"/>
            <w:tcBorders>
              <w:top w:val="nil"/>
              <w:left w:val="nil"/>
              <w:right w:val="nil"/>
            </w:tcBorders>
            <w:vAlign w:val="top"/>
          </w:tcPr>
          <w:p>
            <w:pPr>
              <w:pStyle w:val="2"/>
              <w:widowControl w:val="0"/>
              <w:ind w:firstLine="0" w:firstLineChars="0"/>
              <w:jc w:val="both"/>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Sampling cutoff</w:t>
            </w:r>
          </w:p>
        </w:tc>
        <w:tc>
          <w:tcPr>
            <w:tcW w:w="2306" w:type="dxa"/>
            <w:tcBorders>
              <w:top w:val="nil"/>
              <w:left w:val="nil"/>
              <w:right w:val="nil"/>
            </w:tcBorders>
            <w:vAlign w:val="top"/>
          </w:tcPr>
          <w:p>
            <w:pPr>
              <w:pStyle w:val="2"/>
              <w:widowControl w:val="0"/>
              <w:ind w:firstLine="0" w:firstLineChars="0"/>
              <w:jc w:val="both"/>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Accumulation cutoff</w:t>
            </w:r>
          </w:p>
        </w:tc>
        <w:tc>
          <w:tcPr>
            <w:tcW w:w="1774" w:type="dxa"/>
            <w:tcBorders>
              <w:top w:val="nil"/>
              <w:left w:val="nil"/>
              <w:right w:val="nil"/>
            </w:tcBorders>
            <w:vAlign w:val="top"/>
          </w:tcPr>
          <w:p>
            <w:pPr>
              <w:pStyle w:val="2"/>
              <w:widowControl w:val="0"/>
              <w:ind w:firstLine="0" w:firstLineChars="0"/>
              <w:jc w:val="both"/>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ε</w:t>
            </w:r>
            <w:r>
              <w:rPr>
                <w:rFonts w:hint="default" w:ascii="Times New Roman" w:hAnsi="Times New Roman" w:cs="Times New Roman"/>
                <w:b/>
                <w:bCs/>
                <w:color w:val="000000" w:themeColor="text1"/>
                <w:sz w:val="21"/>
                <w:szCs w:val="21"/>
                <w:vertAlign w:val="subscript"/>
                <w14:textFill>
                  <w14:solidFill>
                    <w14:schemeClr w14:val="tx1"/>
                  </w14:solidFill>
                </w14:textFill>
              </w:rPr>
              <w:t>d</w:t>
            </w:r>
            <w:r>
              <w:rPr>
                <w:rFonts w:hint="default" w:ascii="Times New Roman" w:hAnsi="Times New Roman" w:cs="Times New Roman"/>
                <w:b/>
                <w:bCs/>
                <w:color w:val="000000" w:themeColor="text1"/>
                <w:sz w:val="21"/>
                <w:szCs w:val="21"/>
                <w14:textFill>
                  <w14:solidFill>
                    <w14:schemeClr w14:val="tx1"/>
                  </w14:solidFill>
                </w14:textFill>
              </w:rPr>
              <w:t>(MSE)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594" w:type="dxa"/>
            <w:tcBorders>
              <w:left w:val="nil"/>
              <w:bottom w:val="nil"/>
              <w:right w:val="nil"/>
            </w:tcBorders>
            <w:vAlign w:val="top"/>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Invariant DeepDFT + Transformers output</w:t>
            </w:r>
          </w:p>
        </w:tc>
        <w:tc>
          <w:tcPr>
            <w:tcW w:w="1846" w:type="dxa"/>
            <w:tcBorders>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2306" w:type="dxa"/>
            <w:tcBorders>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774" w:type="dxa"/>
            <w:tcBorders>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594" w:type="dxa"/>
            <w:tcBorders>
              <w:top w:val="nil"/>
              <w:left w:val="nil"/>
              <w:bottom w:val="nil"/>
              <w:right w:val="nil"/>
            </w:tcBorders>
            <w:vAlign w:val="top"/>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Invariant DeepDFT + Transformers output   </w:t>
            </w:r>
          </w:p>
        </w:tc>
        <w:tc>
          <w:tcPr>
            <w:tcW w:w="1846"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2306"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774"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594" w:type="dxa"/>
            <w:tcBorders>
              <w:top w:val="nil"/>
              <w:left w:val="nil"/>
              <w:bottom w:val="nil"/>
              <w:right w:val="nil"/>
            </w:tcBorders>
            <w:vAlign w:val="top"/>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Invariant DeepDFT + Transformers output</w:t>
            </w:r>
          </w:p>
        </w:tc>
        <w:tc>
          <w:tcPr>
            <w:tcW w:w="1846"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2306"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1774"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594" w:type="dxa"/>
            <w:tcBorders>
              <w:top w:val="nil"/>
              <w:left w:val="nil"/>
              <w:bottom w:val="nil"/>
              <w:right w:val="nil"/>
            </w:tcBorders>
            <w:vAlign w:val="top"/>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Equivariant DeepDFT + Transformers output</w:t>
            </w:r>
          </w:p>
        </w:tc>
        <w:tc>
          <w:tcPr>
            <w:tcW w:w="1846"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2306"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774"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594" w:type="dxa"/>
            <w:tcBorders>
              <w:top w:val="nil"/>
              <w:left w:val="nil"/>
              <w:bottom w:val="nil"/>
              <w:right w:val="nil"/>
            </w:tcBorders>
            <w:vAlign w:val="top"/>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Equivariant DeepDFT + Transformers output</w:t>
            </w:r>
          </w:p>
        </w:tc>
        <w:tc>
          <w:tcPr>
            <w:tcW w:w="1846"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2306"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774" w:type="dxa"/>
            <w:tcBorders>
              <w:top w:val="nil"/>
              <w:left w:val="nil"/>
              <w:bottom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594" w:type="dxa"/>
            <w:tcBorders>
              <w:top w:val="nil"/>
              <w:left w:val="nil"/>
              <w:right w:val="nil"/>
            </w:tcBorders>
            <w:vAlign w:val="top"/>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Equivariant DeepDFT + Transformers output</w:t>
            </w:r>
          </w:p>
        </w:tc>
        <w:tc>
          <w:tcPr>
            <w:tcW w:w="1846" w:type="dxa"/>
            <w:tcBorders>
              <w:top w:val="nil"/>
              <w:left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2306" w:type="dxa"/>
            <w:tcBorders>
              <w:top w:val="nil"/>
              <w:left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1774" w:type="dxa"/>
            <w:tcBorders>
              <w:top w:val="nil"/>
              <w:left w:val="nil"/>
              <w:right w:val="nil"/>
            </w:tcBorders>
            <w:vAlign w:val="top"/>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1.92</w:t>
            </w:r>
          </w:p>
        </w:tc>
      </w:tr>
    </w:tbl>
    <w:p>
      <w:pPr>
        <w:pStyle w:val="2"/>
        <w:spacing w:line="360" w:lineRule="auto"/>
        <w:ind w:firstLine="0" w:firstLineChars="0"/>
        <w:jc w:val="both"/>
        <w:rPr>
          <w:rFonts w:hint="default" w:ascii="Times New Roman" w:hAnsi="Times New Roman" w:eastAsia="Times New Roman" w:cs="Times New Roman"/>
          <w:b w:val="0"/>
          <w:bCs w:val="0"/>
          <w:szCs w:val="22"/>
          <w:lang w:val="en-US" w:eastAsia="zh-CN"/>
        </w:rPr>
      </w:pPr>
      <w:r>
        <w:rPr>
          <w:rFonts w:hint="default" w:ascii="Times New Roman" w:hAnsi="Times New Roman" w:eastAsia="Times New Roman" w:cs="Times New Roman"/>
          <w:b w:val="0"/>
          <w:bCs w:val="0"/>
          <w:szCs w:val="22"/>
          <w:lang w:val="en-US" w:eastAsia="zh-CN"/>
        </w:rPr>
        <w:br w:type="page"/>
      </w:r>
    </w:p>
    <w:p>
      <w:pPr>
        <w:pStyle w:val="2"/>
        <w:spacing w:line="360" w:lineRule="auto"/>
        <w:ind w:firstLine="0" w:firstLineChars="0"/>
        <w:jc w:val="both"/>
        <w:rPr>
          <w:rFonts w:hint="default" w:ascii="Times New Roman" w:hAnsi="Times New Roman" w:cs="Times New Roman"/>
        </w:rPr>
      </w:pP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Table </w:t>
      </w:r>
      <w:r>
        <w:rPr>
          <w:rFonts w:hint="default" w:ascii="Times New Roman" w:hAnsi="Times New Roman" w:cs="Times New Roman"/>
          <w:b/>
          <w:bCs/>
          <w:sz w:val="21"/>
          <w:szCs w:val="21"/>
        </w:rPr>
        <w:t>S2</w:t>
      </w:r>
      <w:r>
        <w:rPr>
          <w:rFonts w:hint="default" w:ascii="Times New Roman" w:hAnsi="Times New Roman" w:eastAsia="宋体" w:cs="Times New Roman"/>
          <w:b/>
          <w:bCs/>
          <w:sz w:val="21"/>
          <w:szCs w:val="21"/>
          <w:lang w:val="en-US" w:eastAsia="zh-CN"/>
        </w:rPr>
        <w:t>:</w:t>
      </w:r>
      <w:r>
        <w:rPr>
          <w:rFonts w:hint="default" w:ascii="Times New Roman" w:hAnsi="Times New Roman" w:eastAsia="宋体" w:cs="Times New Roman"/>
          <w:sz w:val="21"/>
          <w:szCs w:val="21"/>
          <w:lang w:val="en-US" w:eastAsia="zh-CN"/>
        </w:rPr>
        <w:t xml:space="preserve"> Inference time</w:t>
      </w:r>
      <w:r>
        <w:rPr>
          <w:rFonts w:hint="default" w:ascii="Times New Roman" w:hAnsi="Times New Roman" w:eastAsia="宋体" w:cs="Times New Roman"/>
          <w:lang w:val="en-US" w:eastAsia="zh-CN"/>
        </w:rPr>
        <w:t xml:space="preserve"> at varying cutoff radius. </w:t>
      </w:r>
      <w:r>
        <w:rPr>
          <w:rFonts w:hint="default" w:ascii="Times New Roman" w:hAnsi="Times New Roman" w:eastAsia="宋体" w:cs="Times New Roman"/>
          <w:b w:val="0"/>
          <w:bCs w:val="0"/>
          <w:lang w:val="en-US" w:eastAsia="zh-CN"/>
        </w:rPr>
        <w:t>C</w:t>
      </w:r>
      <w:r>
        <w:rPr>
          <w:rFonts w:hint="default" w:ascii="Times New Roman" w:hAnsi="Times New Roman" w:eastAsia="Times New Roman" w:cs="Times New Roman"/>
          <w:b w:val="0"/>
          <w:bCs w:val="0"/>
          <w:szCs w:val="22"/>
          <w:lang w:val="en-US" w:eastAsia="zh-CN"/>
        </w:rPr>
        <w:t>omputational costs rising nonlinearly due to adjacency matrix expansion. Specifically, the</w:t>
      </w:r>
      <w:r>
        <w:rPr>
          <w:rFonts w:hint="default" w:ascii="Times New Roman" w:hAnsi="Times New Roman" w:eastAsia="Times New Roman" w:cs="Times New Roman"/>
          <w:b/>
          <w:bCs/>
          <w:i/>
          <w:iCs/>
          <w:szCs w:val="22"/>
          <w:lang w:val="en-US" w:eastAsia="zh-CN"/>
        </w:rPr>
        <w:t xml:space="preserve"> </w:t>
      </w:r>
      <w:r>
        <w:rPr>
          <w:rFonts w:hint="default" w:ascii="Times New Roman" w:hAnsi="Times New Roman" w:eastAsia="Times New Roman" w:cs="Times New Roman"/>
          <w:b w:val="0"/>
          <w:bCs w:val="0"/>
          <w:i/>
          <w:iCs/>
          <w:szCs w:val="22"/>
          <w:lang w:val="en-US" w:eastAsia="zh-CN"/>
        </w:rPr>
        <w:t>O(N</w:t>
      </w:r>
      <w:r>
        <w:rPr>
          <w:rFonts w:hint="default" w:ascii="Times New Roman" w:hAnsi="Times New Roman" w:eastAsia="Times New Roman" w:cs="Times New Roman"/>
          <w:b w:val="0"/>
          <w:bCs w:val="0"/>
          <w:i/>
          <w:iCs/>
          <w:szCs w:val="22"/>
          <w:vertAlign w:val="superscript"/>
          <w:lang w:val="en-US" w:eastAsia="zh-CN"/>
        </w:rPr>
        <w:t>2</w:t>
      </w:r>
      <w:r>
        <w:rPr>
          <w:rFonts w:hint="default" w:ascii="Times New Roman" w:hAnsi="Times New Roman" w:eastAsia="Times New Roman" w:cs="Times New Roman"/>
          <w:b w:val="0"/>
          <w:bCs w:val="0"/>
          <w:i/>
          <w:iCs/>
          <w:szCs w:val="22"/>
          <w:lang w:val="en-US" w:eastAsia="zh-CN"/>
        </w:rPr>
        <w:t>)</w:t>
      </w:r>
      <w:r>
        <w:rPr>
          <w:rFonts w:hint="default" w:ascii="Times New Roman" w:hAnsi="Times New Roman" w:eastAsia="Times New Roman" w:cs="Times New Roman"/>
          <w:b w:val="0"/>
          <w:bCs w:val="0"/>
          <w:szCs w:val="22"/>
          <w:lang w:val="en-US" w:eastAsia="zh-CN"/>
        </w:rPr>
        <w:t xml:space="preserve"> scaling of pairwise interactions within the cutoff radius disproportionately increases inference time.</w:t>
      </w:r>
    </w:p>
    <w:tbl>
      <w:tblPr>
        <w:tblStyle w:val="18"/>
        <w:tblW w:w="8520"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594"/>
        <w:gridCol w:w="1846"/>
        <w:gridCol w:w="2306"/>
        <w:gridCol w:w="1774"/>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2594" w:type="dxa"/>
            <w:tcBorders>
              <w:tl2br w:val="nil"/>
              <w:tr2bl w:val="nil"/>
            </w:tcBorders>
          </w:tcPr>
          <w:p>
            <w:pPr>
              <w:pStyle w:val="2"/>
              <w:widowControl w:val="0"/>
              <w:ind w:firstLine="0" w:firstLineChars="0"/>
              <w:jc w:val="both"/>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Model</w:t>
            </w:r>
          </w:p>
        </w:tc>
        <w:tc>
          <w:tcPr>
            <w:tcW w:w="1846" w:type="dxa"/>
            <w:tcBorders>
              <w:tl2br w:val="nil"/>
              <w:tr2bl w:val="nil"/>
            </w:tcBorders>
          </w:tcPr>
          <w:p>
            <w:pPr>
              <w:pStyle w:val="2"/>
              <w:widowControl w:val="0"/>
              <w:ind w:firstLine="0" w:firstLineChars="0"/>
              <w:jc w:val="right"/>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Sampling cutoff</w:t>
            </w:r>
          </w:p>
        </w:tc>
        <w:tc>
          <w:tcPr>
            <w:tcW w:w="2306" w:type="dxa"/>
            <w:tcBorders>
              <w:tl2br w:val="nil"/>
              <w:tr2bl w:val="nil"/>
            </w:tcBorders>
          </w:tcPr>
          <w:p>
            <w:pPr>
              <w:pStyle w:val="2"/>
              <w:widowControl w:val="0"/>
              <w:ind w:firstLine="0" w:firstLineChars="0"/>
              <w:jc w:val="right"/>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Accumulation cutoff</w:t>
            </w:r>
          </w:p>
        </w:tc>
        <w:tc>
          <w:tcPr>
            <w:tcW w:w="1774" w:type="dxa"/>
            <w:tcBorders>
              <w:tl2br w:val="nil"/>
              <w:tr2bl w:val="nil"/>
            </w:tcBorders>
          </w:tcPr>
          <w:p>
            <w:pPr>
              <w:pStyle w:val="2"/>
              <w:widowControl w:val="0"/>
              <w:ind w:firstLine="0" w:firstLineChars="0"/>
              <w:jc w:val="right"/>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Eval time (s)</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2594" w:type="dxa"/>
            <w:tcBorders>
              <w:bottom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Invariant DeepDFT + Transformers output</w:t>
            </w:r>
          </w:p>
        </w:tc>
        <w:tc>
          <w:tcPr>
            <w:tcW w:w="1846" w:type="dxa"/>
            <w:tcBorders>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2306" w:type="dxa"/>
            <w:tcBorders>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774" w:type="dxa"/>
            <w:tcBorders>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1.27</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2594" w:type="dxa"/>
            <w:tcBorders>
              <w:top w:val="nil"/>
              <w:bottom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Invariant DeepDFT + Transformers output    </w:t>
            </w:r>
          </w:p>
        </w:tc>
        <w:tc>
          <w:tcPr>
            <w:tcW w:w="1846"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2306"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774"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0.88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2594" w:type="dxa"/>
            <w:tcBorders>
              <w:top w:val="nil"/>
              <w:bottom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Invariant DeepDFT + Transformers output</w:t>
            </w:r>
          </w:p>
        </w:tc>
        <w:tc>
          <w:tcPr>
            <w:tcW w:w="1846"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2306"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1774"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0.87</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2594" w:type="dxa"/>
            <w:tcBorders>
              <w:top w:val="nil"/>
              <w:bottom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Equivariant DeepDFT  + Transformers output</w:t>
            </w:r>
          </w:p>
        </w:tc>
        <w:tc>
          <w:tcPr>
            <w:tcW w:w="1846"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2306"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774"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2594" w:type="dxa"/>
            <w:tcBorders>
              <w:top w:val="nil"/>
              <w:bottom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Equivariant DeepDFT + Transformers output</w:t>
            </w:r>
          </w:p>
        </w:tc>
        <w:tc>
          <w:tcPr>
            <w:tcW w:w="1846"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2306"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774" w:type="dxa"/>
            <w:tcBorders>
              <w:top w:val="nil"/>
              <w:bottom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1.14</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2594" w:type="dxa"/>
            <w:tcBorders>
              <w:top w:val="nil"/>
              <w:bottom w:val="single" w:color="auto" w:sz="8" w:space="0"/>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Equivariant DeepDFT + Transformers output</w:t>
            </w:r>
          </w:p>
        </w:tc>
        <w:tc>
          <w:tcPr>
            <w:tcW w:w="1846" w:type="dxa"/>
            <w:tcBorders>
              <w:top w:val="nil"/>
              <w:bottom w:val="single" w:color="auto" w:sz="8" w:space="0"/>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2306" w:type="dxa"/>
            <w:tcBorders>
              <w:top w:val="nil"/>
              <w:bottom w:val="single" w:color="auto" w:sz="8" w:space="0"/>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1774" w:type="dxa"/>
            <w:tcBorders>
              <w:top w:val="nil"/>
              <w:bottom w:val="single" w:color="auto" w:sz="8" w:space="0"/>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1.18</w:t>
            </w:r>
          </w:p>
        </w:tc>
      </w:tr>
    </w:tbl>
    <w:p>
      <w:pPr>
        <w:pStyle w:val="39"/>
        <w:rPr>
          <w:rFonts w:hint="default" w:ascii="Times New Roman" w:hAnsi="Times New Roman" w:cs="Times New Roman"/>
        </w:rPr>
      </w:pPr>
    </w:p>
    <w:p>
      <w:pPr>
        <w:pStyle w:val="39"/>
        <w:rPr>
          <w:rFonts w:hint="default" w:ascii="Times New Roman" w:hAnsi="Times New Roman" w:cs="Times New Roman"/>
        </w:rPr>
      </w:pPr>
      <w:r>
        <w:rPr>
          <w:rFonts w:hint="default" w:ascii="Times New Roman" w:hAnsi="Times New Roman" w:cs="Times New Roman"/>
        </w:rPr>
        <w:br w:type="page"/>
      </w:r>
    </w:p>
    <w:p>
      <w:pPr>
        <w:pStyle w:val="38"/>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left="0" w:leftChars="0" w:right="0" w:rightChars="0" w:firstLine="0" w:firstLineChars="0"/>
        <w:jc w:val="both"/>
        <w:textAlignment w:val="auto"/>
        <w:outlineLvl w:val="9"/>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u w:val="none"/>
          <w:lang w:val="en-US" w:eastAsia="zh-CN"/>
        </w:rPr>
        <w:t xml:space="preserve">S9. </w:t>
      </w:r>
      <w:r>
        <w:rPr>
          <w:rFonts w:hint="default" w:ascii="Times New Roman" w:hAnsi="Times New Roman" w:cs="Times New Roman"/>
          <w:b/>
          <w:bCs/>
          <w:sz w:val="24"/>
          <w:szCs w:val="24"/>
          <w:u w:val="none"/>
          <w:lang w:val="en-US" w:eastAsia="zh-CN"/>
        </w:rPr>
        <w:t>Impact of Batch Size on Training Performance</w:t>
      </w:r>
    </w:p>
    <w:p>
      <w:pPr>
        <w:pStyle w:val="39"/>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Our initial experiments revealed that batch size critically influences electronic structure prediction in graph neural networks. Increasing batch size consistently elevated test MSE for both reference DeepDFT-Transformer architectures (Table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S</w:t>
      </w:r>
      <w:r>
        <w:rPr>
          <w:rFonts w:hint="default" w:ascii="Times New Roman" w:hAnsi="Times New Roman" w:cs="Times New Roman"/>
          <w:color w:val="000000" w:themeColor="text1"/>
          <w:sz w:val="21"/>
          <w:szCs w:val="21"/>
          <w14:textFill>
            <w14:solidFill>
              <w14:schemeClr w14:val="tx1"/>
            </w14:solidFill>
          </w14:textFill>
        </w:rPr>
        <w:t xml:space="preserve">3) and our </w:t>
      </w:r>
      <w:r>
        <w:rPr>
          <w:rFonts w:hint="default" w:ascii="Times New Roman" w:hAnsi="Times New Roman" w:cs="Times New Roman"/>
          <w:color w:val="000000" w:themeColor="text1"/>
          <w:sz w:val="21"/>
          <w:szCs w:val="21"/>
          <w:lang w:eastAsia="zh-CN"/>
          <w14:textFill>
            <w14:solidFill>
              <w14:schemeClr w14:val="tx1"/>
            </w14:solidFill>
          </w14:textFill>
        </w:rPr>
        <w:t>ETINN</w:t>
      </w:r>
      <w:r>
        <w:rPr>
          <w:rFonts w:hint="default" w:ascii="Times New Roman" w:hAnsi="Times New Roman" w:cs="Times New Roman"/>
          <w:color w:val="000000" w:themeColor="text1"/>
          <w:sz w:val="21"/>
          <w:szCs w:val="21"/>
          <w14:textFill>
            <w14:solidFill>
              <w14:schemeClr w14:val="tx1"/>
            </w14:solidFill>
          </w14:textFill>
        </w:rPr>
        <w:t xml:space="preserve"> model (Table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S</w:t>
      </w:r>
      <w:r>
        <w:rPr>
          <w:rFonts w:hint="default" w:ascii="Times New Roman" w:hAnsi="Times New Roman" w:cs="Times New Roman"/>
          <w:color w:val="000000" w:themeColor="text1"/>
          <w:sz w:val="21"/>
          <w:szCs w:val="21"/>
          <w14:textFill>
            <w14:solidFill>
              <w14:schemeClr w14:val="tx1"/>
            </w14:solidFill>
          </w14:textFill>
        </w:rPr>
        <w:t>4). The ε</w:t>
      </w:r>
      <w:r>
        <w:rPr>
          <w:rFonts w:hint="default" w:ascii="Times New Roman" w:hAnsi="Times New Roman" w:cs="Times New Roman"/>
          <w:color w:val="000000" w:themeColor="text1"/>
          <w:sz w:val="21"/>
          <w:szCs w:val="21"/>
          <w:vertAlign w:val="subscript"/>
          <w14:textFill>
            <w14:solidFill>
              <w14:schemeClr w14:val="tx1"/>
            </w14:solidFill>
          </w14:textFill>
        </w:rPr>
        <w:t>d</w:t>
      </w:r>
      <w:r>
        <w:rPr>
          <w:rFonts w:hint="default" w:ascii="Times New Roman" w:hAnsi="Times New Roman" w:cs="Times New Roman"/>
          <w:color w:val="000000" w:themeColor="text1"/>
          <w:sz w:val="21"/>
          <w:szCs w:val="21"/>
          <w14:textFill>
            <w14:solidFill>
              <w14:schemeClr w14:val="tx1"/>
            </w14:solidFill>
          </w14:textFill>
        </w:rPr>
        <w:t>(MSE) exceeded 350% at batch sizes  greater than 8.</w:t>
      </w:r>
    </w:p>
    <w:p>
      <w:pPr>
        <w:pStyle w:val="39"/>
        <w:rPr>
          <w:rFonts w:hint="default" w:ascii="Times New Roman" w:hAnsi="Times New Roman" w:cs="Times New Roman"/>
          <w:color w:val="000000" w:themeColor="text1"/>
          <w:sz w:val="24"/>
          <w14:textFill>
            <w14:solidFill>
              <w14:schemeClr w14:val="tx1"/>
            </w14:solidFill>
          </w14:textFill>
        </w:rPr>
      </w:pPr>
    </w:p>
    <w:p>
      <w:pPr>
        <w:pStyle w:val="39"/>
        <w:jc w:val="both"/>
        <w:rPr>
          <w:rFonts w:hint="default" w:ascii="Times New Roman" w:hAnsi="Times New Roman" w:cs="Times New Roman"/>
        </w:rPr>
      </w:pPr>
      <w:r>
        <w:rPr>
          <w:rFonts w:hint="default" w:ascii="Times New Roman" w:hAnsi="Times New Roman" w:cs="Times New Roman"/>
          <w:b/>
          <w:bCs/>
          <w:color w:val="000000" w:themeColor="text1"/>
          <w:sz w:val="21"/>
          <w:szCs w:val="21"/>
          <w14:textFill>
            <w14:solidFill>
              <w14:schemeClr w14:val="tx1"/>
            </w14:solidFill>
          </w14:textFill>
        </w:rPr>
        <w:t xml:space="preserve">Table </w:t>
      </w:r>
      <w:r>
        <w:rPr>
          <w:rFonts w:hint="default" w:ascii="Times New Roman" w:hAnsi="Times New Roman" w:cs="Times New Roman"/>
          <w:b/>
          <w:bCs/>
          <w:sz w:val="21"/>
          <w:szCs w:val="21"/>
        </w:rPr>
        <w:t>S</w:t>
      </w:r>
      <w:r>
        <w:rPr>
          <w:rFonts w:hint="default" w:ascii="Times New Roman" w:hAnsi="Times New Roman" w:eastAsia="宋体" w:cs="Times New Roman"/>
          <w:b/>
          <w:bCs/>
          <w:sz w:val="21"/>
          <w:szCs w:val="21"/>
          <w:lang w:val="en-US" w:eastAsia="zh-CN"/>
        </w:rPr>
        <w:t>3</w:t>
      </w:r>
      <w:r>
        <w:rPr>
          <w:rFonts w:hint="default" w:ascii="Times New Roman" w:hAnsi="Times New Roman" w:eastAsia="宋体" w:cs="Times New Roman"/>
          <w:sz w:val="21"/>
          <w:szCs w:val="21"/>
          <w:lang w:val="en-US" w:eastAsia="zh-CN"/>
        </w:rPr>
        <w:t xml:space="preserve">: Model </w:t>
      </w:r>
      <w:r>
        <w:rPr>
          <w:rFonts w:hint="default" w:ascii="Times New Roman" w:hAnsi="Times New Roman" w:eastAsia="宋体" w:cs="Times New Roman"/>
          <w:lang w:val="en-US" w:eastAsia="zh-CN"/>
        </w:rPr>
        <w:t xml:space="preserve">accuracy (MSE) at varying training batch size on DeepDFT-Transformer architectures. </w:t>
      </w:r>
    </w:p>
    <w:tbl>
      <w:tblPr>
        <w:tblStyle w:val="1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1846"/>
        <w:gridCol w:w="2306"/>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4" w:type="dxa"/>
            <w:tcBorders>
              <w:top w:val="nil"/>
              <w:left w:val="nil"/>
              <w:right w:val="nil"/>
            </w:tcBorders>
          </w:tcPr>
          <w:p>
            <w:pPr>
              <w:pStyle w:val="2"/>
              <w:widowControl w:val="0"/>
              <w:ind w:firstLine="0" w:firstLineChars="0"/>
              <w:jc w:val="both"/>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Model</w:t>
            </w:r>
          </w:p>
        </w:tc>
        <w:tc>
          <w:tcPr>
            <w:tcW w:w="1846" w:type="dxa"/>
            <w:tcBorders>
              <w:top w:val="nil"/>
              <w:left w:val="nil"/>
              <w:right w:val="nil"/>
            </w:tcBorders>
          </w:tcPr>
          <w:p>
            <w:pPr>
              <w:pStyle w:val="2"/>
              <w:widowControl w:val="0"/>
              <w:ind w:firstLine="0" w:firstLineChars="0"/>
              <w:jc w:val="right"/>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cutoff</w:t>
            </w:r>
          </w:p>
        </w:tc>
        <w:tc>
          <w:tcPr>
            <w:tcW w:w="2306" w:type="dxa"/>
            <w:tcBorders>
              <w:top w:val="nil"/>
              <w:left w:val="nil"/>
              <w:right w:val="nil"/>
            </w:tcBorders>
          </w:tcPr>
          <w:p>
            <w:pPr>
              <w:pStyle w:val="2"/>
              <w:widowControl w:val="0"/>
              <w:ind w:firstLine="0" w:firstLineChars="0"/>
              <w:jc w:val="right"/>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Batch size</w:t>
            </w:r>
          </w:p>
        </w:tc>
        <w:tc>
          <w:tcPr>
            <w:tcW w:w="1774" w:type="dxa"/>
            <w:tcBorders>
              <w:top w:val="nil"/>
              <w:left w:val="nil"/>
              <w:right w:val="nil"/>
            </w:tcBorders>
          </w:tcPr>
          <w:p>
            <w:pPr>
              <w:pStyle w:val="2"/>
              <w:widowControl w:val="0"/>
              <w:ind w:firstLine="0" w:firstLineChars="0"/>
              <w:jc w:val="right"/>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i/>
                <w:iCs/>
                <w:color w:val="000000" w:themeColor="text1"/>
                <w:sz w:val="21"/>
                <w:szCs w:val="21"/>
                <w14:textFill>
                  <w14:solidFill>
                    <w14:schemeClr w14:val="tx1"/>
                  </w14:solidFill>
                </w14:textFill>
              </w:rPr>
              <w:t>ε</w:t>
            </w:r>
            <w:r>
              <w:rPr>
                <w:rFonts w:hint="default" w:ascii="Times New Roman" w:hAnsi="Times New Roman" w:cs="Times New Roman"/>
                <w:b/>
                <w:bCs/>
                <w:i/>
                <w:iCs/>
                <w:color w:val="000000" w:themeColor="text1"/>
                <w:sz w:val="21"/>
                <w:szCs w:val="21"/>
                <w:vertAlign w:val="subscript"/>
                <w14:textFill>
                  <w14:solidFill>
                    <w14:schemeClr w14:val="tx1"/>
                  </w14:solidFill>
                </w14:textFill>
              </w:rPr>
              <w:t>d</w:t>
            </w:r>
            <w:r>
              <w:rPr>
                <w:rFonts w:hint="default" w:ascii="Times New Roman" w:hAnsi="Times New Roman" w:cs="Times New Roman"/>
                <w:b/>
                <w:bCs/>
                <w:color w:val="000000" w:themeColor="text1"/>
                <w:sz w:val="21"/>
                <w:szCs w:val="21"/>
                <w14:textFill>
                  <w14:solidFill>
                    <w14:schemeClr w14:val="tx1"/>
                  </w14:solidFill>
                </w14:textFill>
              </w:rPr>
              <w:t>(MSE)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4" w:type="dxa"/>
            <w:tcBorders>
              <w:left w:val="nil"/>
              <w:bottom w:val="nil"/>
              <w:right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Invariant DeepDFT + Transformers output </w:t>
            </w:r>
          </w:p>
        </w:tc>
        <w:tc>
          <w:tcPr>
            <w:tcW w:w="1846" w:type="dxa"/>
            <w:tcBorders>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w:t>
            </w:r>
          </w:p>
        </w:tc>
        <w:tc>
          <w:tcPr>
            <w:tcW w:w="2306" w:type="dxa"/>
            <w:tcBorders>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774" w:type="dxa"/>
            <w:tcBorders>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4" w:type="dxa"/>
            <w:tcBorders>
              <w:top w:val="nil"/>
              <w:left w:val="nil"/>
              <w:bottom w:val="nil"/>
              <w:right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Invariant DeepDFT + Transformers output    </w:t>
            </w:r>
          </w:p>
        </w:tc>
        <w:tc>
          <w:tcPr>
            <w:tcW w:w="1846"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w:t>
            </w:r>
          </w:p>
        </w:tc>
        <w:tc>
          <w:tcPr>
            <w:tcW w:w="2306"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1774"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4" w:type="dxa"/>
            <w:tcBorders>
              <w:top w:val="nil"/>
              <w:left w:val="nil"/>
              <w:bottom w:val="nil"/>
              <w:right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Equivariant DeepDFT + Transformers output  </w:t>
            </w:r>
          </w:p>
        </w:tc>
        <w:tc>
          <w:tcPr>
            <w:tcW w:w="1846"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w:t>
            </w:r>
          </w:p>
        </w:tc>
        <w:tc>
          <w:tcPr>
            <w:tcW w:w="2306"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774"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4" w:type="dxa"/>
            <w:tcBorders>
              <w:top w:val="nil"/>
              <w:left w:val="nil"/>
              <w:right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Equivariant DeepDFT + Transformers output </w:t>
            </w:r>
          </w:p>
        </w:tc>
        <w:tc>
          <w:tcPr>
            <w:tcW w:w="1846" w:type="dxa"/>
            <w:tcBorders>
              <w:top w:val="nil"/>
              <w:left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w:t>
            </w:r>
          </w:p>
        </w:tc>
        <w:tc>
          <w:tcPr>
            <w:tcW w:w="2306" w:type="dxa"/>
            <w:tcBorders>
              <w:top w:val="nil"/>
              <w:left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1774" w:type="dxa"/>
            <w:tcBorders>
              <w:top w:val="nil"/>
              <w:left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2.48</w:t>
            </w:r>
          </w:p>
        </w:tc>
      </w:tr>
    </w:tbl>
    <w:p>
      <w:pPr>
        <w:pStyle w:val="39"/>
        <w:rPr>
          <w:rFonts w:hint="default" w:ascii="Times New Roman" w:hAnsi="Times New Roman" w:cs="Times New Roman"/>
          <w:color w:val="000000" w:themeColor="text1"/>
          <w:sz w:val="24"/>
          <w14:textFill>
            <w14:solidFill>
              <w14:schemeClr w14:val="tx1"/>
            </w14:solidFill>
          </w14:textFill>
        </w:rPr>
      </w:pPr>
    </w:p>
    <w:p>
      <w:pPr>
        <w:pStyle w:val="39"/>
        <w:jc w:val="both"/>
        <w:rPr>
          <w:rFonts w:hint="default" w:ascii="Times New Roman" w:hAnsi="Times New Roman" w:eastAsia="宋体" w:cs="Times New Roman"/>
          <w:sz w:val="21"/>
          <w:szCs w:val="22"/>
          <w:lang w:val="en-US" w:eastAsia="zh-CN"/>
        </w:rPr>
      </w:pPr>
      <w:r>
        <w:rPr>
          <w:rFonts w:hint="default" w:ascii="Times New Roman" w:hAnsi="Times New Roman" w:cs="Times New Roman"/>
          <w:b/>
          <w:bCs/>
          <w:color w:val="000000" w:themeColor="text1"/>
          <w:sz w:val="24"/>
          <w:szCs w:val="22"/>
          <w:lang w:val="en-US" w:eastAsia="zh-CN"/>
          <w14:textFill>
            <w14:solidFill>
              <w14:schemeClr w14:val="tx1"/>
            </w14:solidFill>
          </w14:textFill>
        </w:rPr>
        <w:t xml:space="preserve">Table </w:t>
      </w:r>
      <w:r>
        <w:rPr>
          <w:rFonts w:hint="default" w:ascii="Times New Roman" w:hAnsi="Times New Roman" w:eastAsia="宋体" w:cs="Times New Roman"/>
          <w:b/>
          <w:bCs/>
          <w:kern w:val="32"/>
          <w:sz w:val="21"/>
          <w:szCs w:val="24"/>
          <w:lang w:val="en-US" w:eastAsia="zh-CN" w:bidi="ar-SA"/>
        </w:rPr>
        <w:t xml:space="preserve">S4: </w:t>
      </w:r>
      <w:r>
        <w:rPr>
          <w:rFonts w:hint="default" w:ascii="Times New Roman" w:hAnsi="Times New Roman" w:eastAsia="宋体" w:cs="Times New Roman"/>
          <w:sz w:val="21"/>
          <w:lang w:val="en-US" w:eastAsia="zh-CN"/>
        </w:rPr>
        <w:t>M</w:t>
      </w:r>
      <w:r>
        <w:rPr>
          <w:rFonts w:hint="default" w:ascii="Times New Roman" w:hAnsi="Times New Roman" w:eastAsia="宋体" w:cs="Times New Roman"/>
          <w:sz w:val="21"/>
          <w:szCs w:val="22"/>
          <w:lang w:val="en-US" w:eastAsia="zh-CN"/>
        </w:rPr>
        <w:t>odel accuracy (MSE) at varying training batch size on ETINN</w:t>
      </w:r>
    </w:p>
    <w:tbl>
      <w:tblPr>
        <w:tblStyle w:val="1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1846"/>
        <w:gridCol w:w="2306"/>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4" w:type="dxa"/>
            <w:tcBorders>
              <w:top w:val="nil"/>
              <w:left w:val="nil"/>
              <w:right w:val="nil"/>
            </w:tcBorders>
          </w:tcPr>
          <w:p>
            <w:pPr>
              <w:pStyle w:val="2"/>
              <w:widowControl w:val="0"/>
              <w:ind w:firstLine="0" w:firstLineChars="0"/>
              <w:jc w:val="both"/>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Model</w:t>
            </w:r>
          </w:p>
        </w:tc>
        <w:tc>
          <w:tcPr>
            <w:tcW w:w="1846" w:type="dxa"/>
            <w:tcBorders>
              <w:top w:val="nil"/>
              <w:left w:val="nil"/>
              <w:right w:val="nil"/>
            </w:tcBorders>
          </w:tcPr>
          <w:p>
            <w:pPr>
              <w:pStyle w:val="2"/>
              <w:widowControl w:val="0"/>
              <w:ind w:firstLine="0" w:firstLineChars="0"/>
              <w:jc w:val="right"/>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cutoff</w:t>
            </w:r>
          </w:p>
        </w:tc>
        <w:tc>
          <w:tcPr>
            <w:tcW w:w="2306" w:type="dxa"/>
            <w:tcBorders>
              <w:top w:val="nil"/>
              <w:left w:val="nil"/>
              <w:right w:val="nil"/>
            </w:tcBorders>
          </w:tcPr>
          <w:p>
            <w:pPr>
              <w:pStyle w:val="2"/>
              <w:widowControl w:val="0"/>
              <w:ind w:firstLine="0" w:firstLineChars="0"/>
              <w:jc w:val="right"/>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Batch size</w:t>
            </w:r>
          </w:p>
        </w:tc>
        <w:tc>
          <w:tcPr>
            <w:tcW w:w="1774" w:type="dxa"/>
            <w:tcBorders>
              <w:top w:val="nil"/>
              <w:left w:val="nil"/>
              <w:right w:val="nil"/>
            </w:tcBorders>
          </w:tcPr>
          <w:p>
            <w:pPr>
              <w:pStyle w:val="2"/>
              <w:widowControl w:val="0"/>
              <w:ind w:firstLine="0" w:firstLineChars="0"/>
              <w:jc w:val="right"/>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i/>
                <w:iCs/>
                <w:color w:val="000000" w:themeColor="text1"/>
                <w:sz w:val="21"/>
                <w:szCs w:val="21"/>
                <w14:textFill>
                  <w14:solidFill>
                    <w14:schemeClr w14:val="tx1"/>
                  </w14:solidFill>
                </w14:textFill>
              </w:rPr>
              <w:t>ε</w:t>
            </w:r>
            <w:r>
              <w:rPr>
                <w:rFonts w:hint="default" w:ascii="Times New Roman" w:hAnsi="Times New Roman" w:cs="Times New Roman"/>
                <w:b/>
                <w:bCs/>
                <w:i/>
                <w:iCs/>
                <w:color w:val="000000" w:themeColor="text1"/>
                <w:sz w:val="21"/>
                <w:szCs w:val="21"/>
                <w:vertAlign w:val="subscript"/>
                <w14:textFill>
                  <w14:solidFill>
                    <w14:schemeClr w14:val="tx1"/>
                  </w14:solidFill>
                </w14:textFill>
              </w:rPr>
              <w:t>d</w:t>
            </w:r>
            <w:r>
              <w:rPr>
                <w:rFonts w:hint="default" w:ascii="Times New Roman" w:hAnsi="Times New Roman" w:cs="Times New Roman"/>
                <w:b/>
                <w:bCs/>
                <w:color w:val="000000" w:themeColor="text1"/>
                <w:sz w:val="21"/>
                <w:szCs w:val="21"/>
                <w14:textFill>
                  <w14:solidFill>
                    <w14:schemeClr w14:val="tx1"/>
                  </w14:solidFill>
                </w14:textFill>
              </w:rPr>
              <w:t>(MSE)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4" w:type="dxa"/>
            <w:tcBorders>
              <w:left w:val="nil"/>
              <w:bottom w:val="nil"/>
              <w:right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ETINN</w:t>
            </w:r>
            <w:r>
              <w:rPr>
                <w:rFonts w:hint="default" w:ascii="Times New Roman" w:hAnsi="Times New Roman" w:cs="Times New Roman"/>
                <w:color w:val="000000" w:themeColor="text1"/>
                <w:sz w:val="21"/>
                <w:szCs w:val="21"/>
                <w14:textFill>
                  <w14:solidFill>
                    <w14:schemeClr w14:val="tx1"/>
                  </w14:solidFill>
                </w14:textFill>
              </w:rPr>
              <w:t xml:space="preserve"> </w:t>
            </w:r>
          </w:p>
        </w:tc>
        <w:tc>
          <w:tcPr>
            <w:tcW w:w="1846" w:type="dxa"/>
            <w:tcBorders>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w:t>
            </w:r>
          </w:p>
        </w:tc>
        <w:tc>
          <w:tcPr>
            <w:tcW w:w="2306" w:type="dxa"/>
            <w:tcBorders>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774" w:type="dxa"/>
            <w:tcBorders>
              <w:left w:val="nil"/>
              <w:bottom w:val="nil"/>
              <w:right w:val="nil"/>
            </w:tcBorders>
          </w:tcPr>
          <w:p>
            <w:pPr>
              <w:pStyle w:val="2"/>
              <w:widowControl w:val="0"/>
              <w:ind w:firstLine="0" w:firstLineChars="0"/>
              <w:jc w:val="righ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4" w:type="dxa"/>
            <w:tcBorders>
              <w:top w:val="nil"/>
              <w:left w:val="nil"/>
              <w:bottom w:val="nil"/>
              <w:right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ETINN</w:t>
            </w:r>
            <w:r>
              <w:rPr>
                <w:rFonts w:hint="default" w:ascii="Times New Roman" w:hAnsi="Times New Roman" w:cs="Times New Roman"/>
                <w:color w:val="000000" w:themeColor="text1"/>
                <w:sz w:val="21"/>
                <w:szCs w:val="21"/>
                <w14:textFill>
                  <w14:solidFill>
                    <w14:schemeClr w14:val="tx1"/>
                  </w14:solidFill>
                </w14:textFill>
              </w:rPr>
              <w:t xml:space="preserve">    </w:t>
            </w:r>
          </w:p>
        </w:tc>
        <w:tc>
          <w:tcPr>
            <w:tcW w:w="1846"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w:t>
            </w:r>
          </w:p>
        </w:tc>
        <w:tc>
          <w:tcPr>
            <w:tcW w:w="2306"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1774"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4" w:type="dxa"/>
            <w:tcBorders>
              <w:top w:val="nil"/>
              <w:left w:val="nil"/>
              <w:bottom w:val="nil"/>
              <w:right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ETINN</w:t>
            </w:r>
            <w:r>
              <w:rPr>
                <w:rFonts w:hint="default" w:ascii="Times New Roman" w:hAnsi="Times New Roman" w:cs="Times New Roman"/>
                <w:color w:val="000000" w:themeColor="text1"/>
                <w:sz w:val="21"/>
                <w:szCs w:val="21"/>
                <w14:textFill>
                  <w14:solidFill>
                    <w14:schemeClr w14:val="tx1"/>
                  </w14:solidFill>
                </w14:textFill>
              </w:rPr>
              <w:t xml:space="preserve"> </w:t>
            </w:r>
          </w:p>
        </w:tc>
        <w:tc>
          <w:tcPr>
            <w:tcW w:w="1846"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w:t>
            </w:r>
          </w:p>
        </w:tc>
        <w:tc>
          <w:tcPr>
            <w:tcW w:w="2306"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1774" w:type="dxa"/>
            <w:tcBorders>
              <w:top w:val="nil"/>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4" w:type="dxa"/>
            <w:tcBorders>
              <w:top w:val="nil"/>
              <w:left w:val="nil"/>
              <w:right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ETINN</w:t>
            </w:r>
          </w:p>
        </w:tc>
        <w:tc>
          <w:tcPr>
            <w:tcW w:w="1846" w:type="dxa"/>
            <w:tcBorders>
              <w:top w:val="nil"/>
              <w:left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w:t>
            </w:r>
          </w:p>
        </w:tc>
        <w:tc>
          <w:tcPr>
            <w:tcW w:w="2306" w:type="dxa"/>
            <w:tcBorders>
              <w:top w:val="nil"/>
              <w:left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774" w:type="dxa"/>
            <w:tcBorders>
              <w:top w:val="nil"/>
              <w:left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2.61</w:t>
            </w:r>
          </w:p>
        </w:tc>
      </w:tr>
    </w:tbl>
    <w:p>
      <w:pPr>
        <w:pStyle w:val="39"/>
        <w:jc w:val="both"/>
        <w:rPr>
          <w:rFonts w:hint="default" w:ascii="Times New Roman" w:hAnsi="Times New Roman" w:cs="Times New Roman"/>
          <w:b/>
          <w:bCs/>
          <w:color w:val="000000" w:themeColor="text1"/>
          <w:sz w:val="24"/>
          <w:lang w:eastAsia="zh-CN"/>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br w:type="page"/>
      </w:r>
    </w:p>
    <w:p>
      <w:pPr>
        <w:pStyle w:val="38"/>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left="0" w:leftChars="0" w:right="0" w:rightChars="0" w:firstLine="0" w:firstLineChars="0"/>
        <w:jc w:val="both"/>
        <w:textAlignment w:val="auto"/>
        <w:outlineLvl w:val="9"/>
        <w:rPr>
          <w:rFonts w:hint="default" w:ascii="Times New Roman" w:hAnsi="Times New Roman" w:eastAsia="Times New Roman" w:cs="Times New Roman"/>
          <w:sz w:val="24"/>
          <w:szCs w:val="22"/>
          <w:u w:val="words"/>
          <w:lang w:val="en-US" w:eastAsia="zh-CN" w:bidi="ar-SA"/>
        </w:rPr>
      </w:pPr>
      <w:r>
        <w:rPr>
          <w:rFonts w:hint="eastAsia" w:ascii="Times New Roman" w:hAnsi="Times New Roman" w:cs="Times New Roman"/>
          <w:b/>
          <w:bCs/>
          <w:sz w:val="24"/>
          <w:szCs w:val="24"/>
          <w:u w:val="none"/>
          <w:lang w:val="en-US" w:eastAsia="zh-CN"/>
        </w:rPr>
        <w:t>S10. Impact</w:t>
      </w:r>
      <w:r>
        <w:rPr>
          <w:rFonts w:hint="default" w:ascii="Times New Roman" w:hAnsi="Times New Roman" w:cs="Times New Roman"/>
          <w:b/>
          <w:bCs/>
          <w:sz w:val="24"/>
          <w:szCs w:val="24"/>
          <w:u w:val="none"/>
          <w:lang w:val="en-US" w:eastAsia="zh-CN"/>
        </w:rPr>
        <w:t xml:space="preserve"> of the Forget Gate on Model Performance</w:t>
      </w:r>
    </w:p>
    <w:p>
      <w:pPr>
        <w:pStyle w:val="2"/>
        <w:ind w:firstLine="0" w:firstLineChars="0"/>
        <w:jc w:val="both"/>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Our analysis reveals that incorporating the forget gate enhances the model’s ability to generalize. Although the ETINN variant without the forget gate achieves higher accuracy on the test set, its capacity to suppress predictions violating chemical intuition diminishes when using PaiNN for molecular immediate encoding within the human cognitive mimetic module. In contrast, the model architecture incorporating the forget gate (as recommended in this work) demonstrates more consistent effectiveness in suppressing such chemically counter-intuitive predictions.</w:t>
      </w:r>
    </w:p>
    <w:p>
      <w:pPr>
        <w:pStyle w:val="2"/>
        <w:ind w:firstLine="0" w:firstLineChars="0"/>
        <w:jc w:val="both"/>
        <w:rPr>
          <w:rFonts w:hint="default" w:ascii="Times New Roman" w:hAnsi="Times New Roman" w:cs="Times New Roman"/>
          <w:b w:val="0"/>
          <w:bCs w:val="0"/>
          <w:color w:val="000000" w:themeColor="text1"/>
          <w:sz w:val="24"/>
          <w:szCs w:val="22"/>
          <w:lang w:val="en-US" w:eastAsia="zh-CN"/>
          <w14:textFill>
            <w14:solidFill>
              <w14:schemeClr w14:val="tx1"/>
            </w14:solidFill>
          </w14:textFill>
        </w:rPr>
      </w:pPr>
    </w:p>
    <w:p>
      <w:pPr>
        <w:pStyle w:val="2"/>
        <w:ind w:firstLine="0" w:firstLineChars="0"/>
        <w:jc w:val="both"/>
        <w:rPr>
          <w:rFonts w:hint="default" w:ascii="Times New Roman" w:hAnsi="Times New Roman" w:cs="Times New Roman"/>
          <w:b w:val="0"/>
          <w:bCs w:val="0"/>
          <w:color w:val="000000" w:themeColor="text1"/>
          <w:sz w:val="24"/>
          <w:szCs w:val="22"/>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Table </w:t>
      </w:r>
      <w:r>
        <w:rPr>
          <w:rFonts w:hint="default" w:ascii="Times New Roman" w:hAnsi="Times New Roman" w:eastAsia="宋体" w:cs="Times New Roman"/>
          <w:b/>
          <w:bCs/>
          <w:kern w:val="32"/>
          <w:sz w:val="21"/>
          <w:szCs w:val="21"/>
          <w:lang w:val="en-US" w:eastAsia="zh-CN" w:bidi="ar-SA"/>
        </w:rPr>
        <w:t>S5:</w:t>
      </w:r>
      <w:r>
        <w:rPr>
          <w:rFonts w:hint="default" w:ascii="Times New Roman" w:hAnsi="Times New Roman" w:eastAsia="宋体" w:cs="Times New Roman"/>
          <w:b w:val="0"/>
          <w:bCs w:val="0"/>
          <w:kern w:val="32"/>
          <w:sz w:val="21"/>
          <w:szCs w:val="21"/>
          <w:lang w:val="en-US" w:eastAsia="zh-CN" w:bidi="ar-SA"/>
        </w:rPr>
        <w:t xml:space="preserve"> </w:t>
      </w:r>
      <w:r>
        <w:rPr>
          <w:rFonts w:hint="default" w:ascii="Times New Roman" w:hAnsi="Times New Roman" w:cs="Times New Roman"/>
          <w:b w:val="0"/>
          <w:bCs w:val="0"/>
          <w:color w:val="000000" w:themeColor="text1"/>
          <w:sz w:val="21"/>
          <w:szCs w:val="21"/>
          <w14:textFill>
            <w14:solidFill>
              <w14:schemeClr w14:val="tx1"/>
            </w14:solidFill>
          </w14:textFill>
        </w:rPr>
        <w:t>Model accuracy (</w:t>
      </w:r>
      <w:r>
        <w:rPr>
          <w:rFonts w:hint="default" w:ascii="Times New Roman" w:hAnsi="Times New Roman" w:eastAsia="宋体" w:cs="Times New Roman"/>
          <w:b w:val="0"/>
          <w:bCs w:val="0"/>
          <w:kern w:val="32"/>
          <w:sz w:val="21"/>
          <w:szCs w:val="21"/>
          <w:lang w:val="en-US" w:eastAsia="zh-CN" w:bidi="ar-SA"/>
        </w:rPr>
        <w:t>MSE</w:t>
      </w:r>
      <w:r>
        <w:rPr>
          <w:rFonts w:hint="default" w:ascii="Times New Roman" w:hAnsi="Times New Roman" w:cs="Times New Roman"/>
          <w:b w:val="0"/>
          <w:bCs w:val="0"/>
          <w:color w:val="000000" w:themeColor="text1"/>
          <w:sz w:val="21"/>
          <w:szCs w:val="21"/>
          <w14:textFill>
            <w14:solidFill>
              <w14:schemeClr w14:val="tx1"/>
            </w14:solidFill>
          </w14:textFill>
        </w:rPr>
        <w:t>) for ETINN with and without the forget gate</w:t>
      </w:r>
      <w:r>
        <w:rPr>
          <w:rFonts w:hint="default" w:ascii="Times New Roman" w:hAnsi="Times New Roman" w:cs="Times New Roman"/>
          <w:b w:val="0"/>
          <w:bCs w:val="0"/>
          <w:color w:val="000000" w:themeColor="text1"/>
          <w:sz w:val="24"/>
          <w14:textFill>
            <w14:solidFill>
              <w14:schemeClr w14:val="tx1"/>
            </w14:solidFill>
          </w14:textFill>
        </w:rPr>
        <w:t>.</w:t>
      </w:r>
    </w:p>
    <w:tbl>
      <w:tblPr>
        <w:tblStyle w:val="1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7"/>
        <w:gridCol w:w="1904"/>
        <w:gridCol w:w="1705"/>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37" w:type="dxa"/>
            <w:tcBorders>
              <w:top w:val="nil"/>
              <w:left w:val="nil"/>
              <w:right w:val="nil"/>
            </w:tcBorders>
          </w:tcPr>
          <w:p>
            <w:pPr>
              <w:pStyle w:val="2"/>
              <w:widowControl w:val="0"/>
              <w:ind w:firstLine="0" w:firstLineChars="0"/>
              <w:jc w:val="both"/>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Model</w:t>
            </w:r>
          </w:p>
        </w:tc>
        <w:tc>
          <w:tcPr>
            <w:tcW w:w="1904" w:type="dxa"/>
            <w:tcBorders>
              <w:top w:val="nil"/>
              <w:left w:val="nil"/>
              <w:right w:val="nil"/>
            </w:tcBorders>
          </w:tcPr>
          <w:p>
            <w:pPr>
              <w:pStyle w:val="2"/>
              <w:widowControl w:val="0"/>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cutoff</w:t>
            </w:r>
          </w:p>
        </w:tc>
        <w:tc>
          <w:tcPr>
            <w:tcW w:w="1705" w:type="dxa"/>
            <w:tcBorders>
              <w:top w:val="nil"/>
              <w:left w:val="nil"/>
              <w:right w:val="nil"/>
            </w:tcBorders>
          </w:tcPr>
          <w:p>
            <w:pPr>
              <w:pStyle w:val="2"/>
              <w:widowControl w:val="0"/>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Batch size</w:t>
            </w:r>
          </w:p>
        </w:tc>
        <w:tc>
          <w:tcPr>
            <w:tcW w:w="1774" w:type="dxa"/>
            <w:tcBorders>
              <w:top w:val="nil"/>
              <w:left w:val="nil"/>
              <w:right w:val="nil"/>
            </w:tcBorders>
          </w:tcPr>
          <w:p>
            <w:pPr>
              <w:pStyle w:val="2"/>
              <w:widowControl w:val="0"/>
              <w:ind w:firstLine="0" w:firstLineChars="0"/>
              <w:jc w:val="right"/>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i/>
                <w:iCs/>
                <w:color w:val="000000" w:themeColor="text1"/>
                <w:sz w:val="21"/>
                <w:szCs w:val="21"/>
                <w14:textFill>
                  <w14:solidFill>
                    <w14:schemeClr w14:val="tx1"/>
                  </w14:solidFill>
                </w14:textFill>
              </w:rPr>
              <w:t>ε</w:t>
            </w:r>
            <w:r>
              <w:rPr>
                <w:rFonts w:hint="default" w:ascii="Times New Roman" w:hAnsi="Times New Roman" w:cs="Times New Roman"/>
                <w:b/>
                <w:bCs/>
                <w:i/>
                <w:iCs/>
                <w:color w:val="000000" w:themeColor="text1"/>
                <w:sz w:val="21"/>
                <w:szCs w:val="21"/>
                <w:vertAlign w:val="subscript"/>
                <w14:textFill>
                  <w14:solidFill>
                    <w14:schemeClr w14:val="tx1"/>
                  </w14:solidFill>
                </w14:textFill>
              </w:rPr>
              <w:t>d</w:t>
            </w:r>
            <w:r>
              <w:rPr>
                <w:rFonts w:hint="default" w:ascii="Times New Roman" w:hAnsi="Times New Roman" w:cs="Times New Roman"/>
                <w:b/>
                <w:bCs/>
                <w:color w:val="000000" w:themeColor="text1"/>
                <w:sz w:val="21"/>
                <w:szCs w:val="21"/>
                <w14:textFill>
                  <w14:solidFill>
                    <w14:schemeClr w14:val="tx1"/>
                  </w14:solidFill>
                </w14:textFill>
              </w:rPr>
              <w:t>(MSE)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37" w:type="dxa"/>
            <w:tcBorders>
              <w:left w:val="nil"/>
              <w:bottom w:val="nil"/>
              <w:right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ETINN</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without forget gate</w:t>
            </w:r>
          </w:p>
        </w:tc>
        <w:tc>
          <w:tcPr>
            <w:tcW w:w="1904" w:type="dxa"/>
            <w:tcBorders>
              <w:left w:val="nil"/>
              <w:bottom w:val="nil"/>
              <w:right w:val="nil"/>
            </w:tcBorders>
          </w:tcPr>
          <w:p>
            <w:pPr>
              <w:pStyle w:val="2"/>
              <w:widowControl w:val="0"/>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w:t>
            </w:r>
          </w:p>
        </w:tc>
        <w:tc>
          <w:tcPr>
            <w:tcW w:w="1705" w:type="dxa"/>
            <w:tcBorders>
              <w:left w:val="nil"/>
              <w:bottom w:val="nil"/>
              <w:right w:val="nil"/>
            </w:tcBorders>
          </w:tcPr>
          <w:p>
            <w:pPr>
              <w:pStyle w:val="2"/>
              <w:widowControl w:val="0"/>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774" w:type="dxa"/>
            <w:tcBorders>
              <w:left w:val="nil"/>
              <w:bottom w:val="nil"/>
              <w:right w:val="nil"/>
            </w:tcBorders>
          </w:tcPr>
          <w:p>
            <w:pPr>
              <w:pStyle w:val="2"/>
              <w:widowControl w:val="0"/>
              <w:ind w:firstLine="0" w:firstLineChars="0"/>
              <w:jc w:val="righ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37" w:type="dxa"/>
            <w:tcBorders>
              <w:top w:val="nil"/>
              <w:left w:val="nil"/>
              <w:right w:val="nil"/>
            </w:tcBorders>
          </w:tcPr>
          <w:p>
            <w:pPr>
              <w:pStyle w:val="2"/>
              <w:widowControl w:val="0"/>
              <w:ind w:firstLine="0" w:firstLineChars="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ETINN</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(with forget gate)</w:t>
            </w:r>
            <w:r>
              <w:rPr>
                <w:rFonts w:hint="default" w:ascii="Times New Roman" w:hAnsi="Times New Roman" w:cs="Times New Roman"/>
                <w:color w:val="000000" w:themeColor="text1"/>
                <w:sz w:val="21"/>
                <w:szCs w:val="21"/>
                <w14:textFill>
                  <w14:solidFill>
                    <w14:schemeClr w14:val="tx1"/>
                  </w14:solidFill>
                </w14:textFill>
              </w:rPr>
              <w:t xml:space="preserve"> </w:t>
            </w:r>
          </w:p>
        </w:tc>
        <w:tc>
          <w:tcPr>
            <w:tcW w:w="1904" w:type="dxa"/>
            <w:tcBorders>
              <w:top w:val="nil"/>
              <w:left w:val="nil"/>
              <w:right w:val="nil"/>
            </w:tcBorders>
          </w:tcPr>
          <w:p>
            <w:pPr>
              <w:pStyle w:val="2"/>
              <w:widowControl w:val="0"/>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w:t>
            </w:r>
          </w:p>
        </w:tc>
        <w:tc>
          <w:tcPr>
            <w:tcW w:w="1705" w:type="dxa"/>
            <w:tcBorders>
              <w:top w:val="nil"/>
              <w:left w:val="nil"/>
              <w:right w:val="nil"/>
            </w:tcBorders>
          </w:tcPr>
          <w:p>
            <w:pPr>
              <w:pStyle w:val="2"/>
              <w:widowControl w:val="0"/>
              <w:ind w:firstLine="0" w:firstLineChars="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1774" w:type="dxa"/>
            <w:tcBorders>
              <w:top w:val="nil"/>
              <w:left w:val="nil"/>
              <w:right w:val="nil"/>
            </w:tcBorders>
          </w:tcPr>
          <w:p>
            <w:pPr>
              <w:pStyle w:val="2"/>
              <w:widowControl w:val="0"/>
              <w:ind w:firstLine="0" w:firstLineChars="0"/>
              <w:jc w:val="righ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0.74</w:t>
            </w:r>
          </w:p>
        </w:tc>
      </w:tr>
    </w:tbl>
    <w:p>
      <w:pPr>
        <w:pStyle w:val="39"/>
        <w:rPr>
          <w:rFonts w:hint="default" w:ascii="Times New Roman" w:hAnsi="Times New Roman" w:eastAsia="Times New Roman" w:cs="Times New Roman"/>
          <w:sz w:val="24"/>
          <w:szCs w:val="22"/>
          <w:u w:val="words"/>
          <w:lang w:val="en-US" w:eastAsia="zh-CN" w:bidi="ar-SA"/>
        </w:rPr>
      </w:pPr>
      <w:r>
        <w:rPr>
          <w:rFonts w:hint="default" w:ascii="Times New Roman" w:hAnsi="Times New Roman" w:eastAsia="Times New Roman" w:cs="Times New Roman"/>
          <w:sz w:val="24"/>
          <w:szCs w:val="22"/>
          <w:u w:val="words"/>
          <w:lang w:val="en-US" w:eastAsia="zh-CN" w:bidi="ar-SA"/>
        </w:rPr>
        <w:br w:type="page"/>
      </w:r>
    </w:p>
    <w:p>
      <w:pPr>
        <w:pStyle w:val="38"/>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left="0" w:leftChars="0" w:right="0" w:rightChars="0" w:firstLine="0" w:firstLineChars="0"/>
        <w:jc w:val="both"/>
        <w:textAlignment w:val="auto"/>
        <w:outlineLvl w:val="9"/>
        <w:rPr>
          <w:rFonts w:hint="default" w:ascii="Times New Roman" w:hAnsi="Times New Roman" w:eastAsia="Times New Roman" w:cs="Times New Roman"/>
          <w:sz w:val="24"/>
          <w:szCs w:val="22"/>
          <w:u w:val="words"/>
          <w:lang w:val="en-US" w:eastAsia="zh-CN" w:bidi="ar-SA"/>
        </w:rPr>
      </w:pPr>
      <w:r>
        <w:rPr>
          <w:rFonts w:hint="eastAsia" w:ascii="Times New Roman" w:hAnsi="Times New Roman" w:cs="Times New Roman"/>
          <w:b/>
          <w:bCs/>
          <w:sz w:val="24"/>
          <w:szCs w:val="24"/>
          <w:u w:val="none"/>
          <w:lang w:val="en-US" w:eastAsia="zh-CN"/>
        </w:rPr>
        <w:t xml:space="preserve">S11. </w:t>
      </w:r>
      <w:r>
        <w:rPr>
          <w:rFonts w:hint="default" w:ascii="Times New Roman" w:hAnsi="Times New Roman" w:cs="Times New Roman"/>
          <w:b/>
          <w:bCs/>
          <w:sz w:val="24"/>
          <w:szCs w:val="24"/>
          <w:u w:val="none"/>
          <w:lang w:val="en-US" w:eastAsia="zh-CN"/>
        </w:rPr>
        <w:t>Saliency Maps for Identification of Critical Internal FMO Interactions</w:t>
      </w:r>
    </w:p>
    <w:p>
      <w:pPr>
        <w:pStyle w:val="2"/>
        <w:spacing w:line="360" w:lineRule="auto"/>
        <w:ind w:firstLine="0" w:firstLineChars="0"/>
        <w:rPr>
          <w:rFonts w:hint="default" w:ascii="Times New Roman" w:hAnsi="Times New Roman" w:cs="Times New Roman"/>
          <w:color w:val="000000" w:themeColor="text1"/>
          <w:szCs w:val="2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5269230" cy="5346065"/>
            <wp:effectExtent l="0" t="0" r="7620" b="6985"/>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12"/>
                    <a:stretch>
                      <a:fillRect/>
                    </a:stretch>
                  </pic:blipFill>
                  <pic:spPr>
                    <a:xfrm>
                      <a:off x="0" y="0"/>
                      <a:ext cx="5269230" cy="5346065"/>
                    </a:xfrm>
                    <a:prstGeom prst="rect">
                      <a:avLst/>
                    </a:prstGeom>
                    <a:noFill/>
                    <a:ln w="9525">
                      <a:noFill/>
                    </a:ln>
                  </pic:spPr>
                </pic:pic>
              </a:graphicData>
            </a:graphic>
          </wp:inline>
        </w:drawing>
      </w:r>
    </w:p>
    <w:p>
      <w:pPr>
        <w:pStyle w:val="2"/>
        <w:spacing w:line="360" w:lineRule="auto"/>
        <w:ind w:firstLine="0" w:firstLineChars="0"/>
        <w:jc w:val="both"/>
        <w:rPr>
          <w:rFonts w:hint="default" w:ascii="Times New Roman" w:hAnsi="Times New Roman" w:cs="Times New Roman"/>
          <w:b w:val="0"/>
          <w:bCs w:val="0"/>
          <w:color w:val="000000" w:themeColor="text1"/>
          <w:szCs w:val="22"/>
          <w14:textFill>
            <w14:solidFill>
              <w14:schemeClr w14:val="tx1"/>
            </w14:solidFill>
          </w14:textFill>
        </w:rPr>
      </w:pPr>
      <w:r>
        <w:rPr>
          <w:rFonts w:hint="default" w:ascii="Times New Roman" w:hAnsi="Times New Roman" w:cs="Times New Roman"/>
          <w:b/>
          <w:bCs/>
          <w:color w:val="000000" w:themeColor="text1"/>
          <w:szCs w:val="22"/>
          <w14:textFill>
            <w14:solidFill>
              <w14:schemeClr w14:val="tx1"/>
            </w14:solidFill>
          </w14:textFill>
        </w:rPr>
        <w:t xml:space="preserve">Fig. </w:t>
      </w:r>
      <w:r>
        <w:rPr>
          <w:rFonts w:hint="default" w:ascii="Times New Roman" w:hAnsi="Times New Roman" w:eastAsia="宋体" w:cs="Times New Roman"/>
          <w:b/>
          <w:bCs/>
          <w:color w:val="000000" w:themeColor="text1"/>
          <w:szCs w:val="22"/>
          <w:lang w:val="en-US" w:eastAsia="zh-CN"/>
          <w14:textFill>
            <w14:solidFill>
              <w14:schemeClr w14:val="tx1"/>
            </w14:solidFill>
          </w14:textFill>
        </w:rPr>
        <w:t>S</w:t>
      </w:r>
      <w:r>
        <w:rPr>
          <w:rFonts w:hint="default" w:ascii="Times New Roman" w:hAnsi="Times New Roman" w:cs="Times New Roman"/>
          <w:b/>
          <w:bCs/>
          <w:color w:val="000000" w:themeColor="text1"/>
          <w:szCs w:val="22"/>
          <w:lang w:val="en-US" w:eastAsia="zh-CN"/>
          <w14:textFill>
            <w14:solidFill>
              <w14:schemeClr w14:val="tx1"/>
            </w14:solidFill>
          </w14:textFill>
        </w:rPr>
        <w:t>8 :</w:t>
      </w:r>
      <w:r>
        <w:rPr>
          <w:rFonts w:hint="default" w:ascii="Times New Roman" w:hAnsi="Times New Roman" w:cs="Times New Roman"/>
          <w:b/>
          <w:bCs/>
          <w:color w:val="000000" w:themeColor="text1"/>
          <w:szCs w:val="22"/>
          <w14:textFill>
            <w14:solidFill>
              <w14:schemeClr w14:val="tx1"/>
            </w14:solidFill>
          </w14:textFill>
        </w:rPr>
        <w:t xml:space="preserve"> </w:t>
      </w:r>
      <w:r>
        <w:rPr>
          <w:rFonts w:hint="default" w:ascii="Times New Roman" w:hAnsi="Times New Roman" w:cs="Times New Roman"/>
          <w:b w:val="0"/>
          <w:bCs w:val="0"/>
          <w:color w:val="000000" w:themeColor="text1"/>
          <w:szCs w:val="22"/>
          <w14:textFill>
            <w14:solidFill>
              <w14:schemeClr w14:val="tx1"/>
            </w14:solidFill>
          </w14:textFill>
        </w:rPr>
        <w:t>Q</w:t>
      </w:r>
      <w:r>
        <w:rPr>
          <w:rFonts w:hint="default" w:ascii="Times New Roman" w:hAnsi="Times New Roman" w:cs="Times New Roman"/>
          <w:b/>
          <w:bCs/>
          <w:color w:val="000000" w:themeColor="text1"/>
          <w:szCs w:val="22"/>
          <w14:textFill>
            <w14:solidFill>
              <w14:schemeClr w14:val="tx1"/>
            </w14:solidFill>
          </w14:textFill>
        </w:rPr>
        <w:t xml:space="preserve">uantitative interaction analysis via </w:t>
      </w:r>
      <w:r>
        <w:rPr>
          <w:rFonts w:hint="default" w:ascii="Times New Roman" w:hAnsi="Times New Roman" w:cs="Times New Roman"/>
          <w:b/>
          <w:bCs/>
          <w:color w:val="000000" w:themeColor="text1"/>
          <w:szCs w:val="22"/>
          <w:lang w:eastAsia="zh-CN"/>
          <w14:textFill>
            <w14:solidFill>
              <w14:schemeClr w14:val="tx1"/>
            </w14:solidFill>
          </w14:textFill>
        </w:rPr>
        <w:t>ETINN</w:t>
      </w:r>
      <w:r>
        <w:rPr>
          <w:rFonts w:hint="default" w:ascii="Times New Roman" w:hAnsi="Times New Roman" w:cs="Times New Roman"/>
          <w:b/>
          <w:bCs/>
          <w:color w:val="000000" w:themeColor="text1"/>
          <w:szCs w:val="22"/>
          <w14:textFill>
            <w14:solidFill>
              <w14:schemeClr w14:val="tx1"/>
            </w14:solidFill>
          </w14:textFill>
        </w:rPr>
        <w:t xml:space="preserve"> saliency mapping. </w:t>
      </w:r>
      <w:r>
        <w:rPr>
          <w:rFonts w:hint="default" w:ascii="Times New Roman" w:hAnsi="Times New Roman" w:cs="Times New Roman"/>
          <w:b w:val="0"/>
          <w:bCs w:val="0"/>
          <w:color w:val="000000" w:themeColor="text1"/>
          <w:szCs w:val="22"/>
          <w14:textFill>
            <w14:solidFill>
              <w14:schemeClr w14:val="tx1"/>
            </w14:solidFill>
          </w14:textFill>
        </w:rPr>
        <w:t xml:space="preserve"> </w:t>
      </w:r>
      <w:r>
        <w:rPr>
          <w:rFonts w:hint="default" w:ascii="Times New Roman" w:hAnsi="Times New Roman" w:cs="Times New Roman"/>
          <w:b/>
          <w:bCs/>
          <w:color w:val="000000" w:themeColor="text1"/>
          <w:szCs w:val="22"/>
          <w:lang w:val="en-US" w:eastAsia="zh-CN"/>
          <w14:textFill>
            <w14:solidFill>
              <w14:schemeClr w14:val="tx1"/>
            </w14:solidFill>
          </w14:textFill>
        </w:rPr>
        <w:t xml:space="preserve">a, </w:t>
      </w:r>
      <w:r>
        <w:rPr>
          <w:rFonts w:hint="default" w:ascii="Times New Roman" w:hAnsi="Times New Roman" w:cs="Times New Roman"/>
          <w:b w:val="0"/>
          <w:bCs w:val="0"/>
          <w:color w:val="000000" w:themeColor="text1"/>
          <w:szCs w:val="22"/>
          <w14:textFill>
            <w14:solidFill>
              <w14:schemeClr w14:val="tx1"/>
            </w14:solidFill>
          </w14:textFill>
        </w:rPr>
        <w:t xml:space="preserve">PPZTPI molecular structure annotated with key moieties: PPI (acceptor), </w:t>
      </w:r>
      <w:r>
        <w:rPr>
          <w:rFonts w:hint="default" w:ascii="Times New Roman" w:hAnsi="Times New Roman" w:cs="Times New Roman"/>
          <w:b w:val="0"/>
          <w:bCs w:val="0"/>
          <w:i/>
          <w:iCs/>
          <w:color w:val="000000" w:themeColor="text1"/>
          <w:szCs w:val="22"/>
          <w14:textFill>
            <w14:solidFill>
              <w14:schemeClr w14:val="tx1"/>
            </w14:solidFill>
          </w14:textFill>
        </w:rPr>
        <w:t>tert-</w:t>
      </w:r>
      <w:r>
        <w:rPr>
          <w:rFonts w:hint="default" w:ascii="Times New Roman" w:hAnsi="Times New Roman" w:cs="Times New Roman"/>
          <w:b w:val="0"/>
          <w:bCs w:val="0"/>
          <w:color w:val="000000" w:themeColor="text1"/>
          <w:szCs w:val="22"/>
          <w14:textFill>
            <w14:solidFill>
              <w14:schemeClr w14:val="tx1"/>
            </w14:solidFill>
          </w14:textFill>
        </w:rPr>
        <w:t xml:space="preserve">butyl , PPZ (donor), phenyl bridge. </w:t>
      </w:r>
      <w:r>
        <w:rPr>
          <w:rFonts w:hint="default" w:ascii="Times New Roman" w:hAnsi="Times New Roman" w:cs="Times New Roman"/>
          <w:b/>
          <w:bCs/>
          <w:color w:val="000000" w:themeColor="text1"/>
          <w:szCs w:val="22"/>
          <w:lang w:val="en-US" w:eastAsia="zh-CN"/>
          <w14:textFill>
            <w14:solidFill>
              <w14:schemeClr w14:val="tx1"/>
            </w14:solidFill>
          </w14:textFill>
        </w:rPr>
        <w:t>b,</w:t>
      </w:r>
      <w:r>
        <w:rPr>
          <w:rFonts w:hint="default" w:ascii="Times New Roman" w:hAnsi="Times New Roman" w:cs="Times New Roman"/>
          <w:b w:val="0"/>
          <w:bCs w:val="0"/>
          <w:color w:val="000000" w:themeColor="text1"/>
          <w:szCs w:val="22"/>
          <w14:textFill>
            <w14:solidFill>
              <w14:schemeClr w14:val="tx1"/>
            </w14:solidFill>
          </w14:textFill>
        </w:rPr>
        <w:t xml:space="preserve"> Saliency map of information fusion gate outputs for HOMO prediction. </w:t>
      </w:r>
      <w:r>
        <w:rPr>
          <w:rFonts w:hint="default" w:ascii="Times New Roman" w:hAnsi="Times New Roman" w:cs="Times New Roman"/>
          <w:b/>
          <w:bCs/>
          <w:color w:val="000000" w:themeColor="text1"/>
          <w:szCs w:val="22"/>
          <w:lang w:val="en-US" w:eastAsia="zh-CN"/>
          <w14:textFill>
            <w14:solidFill>
              <w14:schemeClr w14:val="tx1"/>
            </w14:solidFill>
          </w14:textFill>
        </w:rPr>
        <w:t>c,</w:t>
      </w:r>
      <w:r>
        <w:rPr>
          <w:rFonts w:hint="default" w:ascii="Times New Roman" w:hAnsi="Times New Roman" w:cs="Times New Roman"/>
          <w:b w:val="0"/>
          <w:bCs w:val="0"/>
          <w:color w:val="000000" w:themeColor="text1"/>
          <w:szCs w:val="22"/>
          <w14:textFill>
            <w14:solidFill>
              <w14:schemeClr w14:val="tx1"/>
            </w14:solidFill>
          </w14:textFill>
        </w:rPr>
        <w:t xml:space="preserve"> Column-normalized interaction strengths showing donor-centered couplings (N53: primary center; N42: secondary center).</w:t>
      </w:r>
    </w:p>
    <w:p>
      <w:pPr>
        <w:pStyle w:val="2"/>
        <w:spacing w:line="360" w:lineRule="auto"/>
        <w:ind w:firstLine="0" w:firstLineChars="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Fig.</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S8</w:t>
      </w:r>
      <w:r>
        <w:rPr>
          <w:rFonts w:hint="default" w:ascii="Times New Roman" w:hAnsi="Times New Roman" w:cs="Times New Roman"/>
          <w:b w:val="0"/>
          <w:bCs w:val="0"/>
          <w:color w:val="000000" w:themeColor="text1"/>
          <w:sz w:val="21"/>
          <w:szCs w:val="21"/>
          <w14:textFill>
            <w14:solidFill>
              <w14:schemeClr w14:val="tx1"/>
            </w14:solidFill>
          </w14:textFill>
        </w:rPr>
        <w:t xml:space="preserve"> qua</w:t>
      </w:r>
      <w:r>
        <w:rPr>
          <w:rFonts w:hint="default" w:ascii="Times New Roman" w:hAnsi="Times New Roman" w:cs="Times New Roman"/>
          <w:color w:val="000000" w:themeColor="text1"/>
          <w:sz w:val="21"/>
          <w:szCs w:val="21"/>
          <w14:textFill>
            <w14:solidFill>
              <w14:schemeClr w14:val="tx1"/>
            </w14:solidFill>
          </w14:textFill>
        </w:rPr>
        <w:t>ntif</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ies</w:t>
      </w:r>
      <w:r>
        <w:rPr>
          <w:rFonts w:hint="default" w:ascii="Times New Roman" w:hAnsi="Times New Roman" w:cs="Times New Roman"/>
          <w:color w:val="000000" w:themeColor="text1"/>
          <w:sz w:val="21"/>
          <w:szCs w:val="21"/>
          <w14:textFill>
            <w14:solidFill>
              <w14:schemeClr w14:val="tx1"/>
            </w14:solidFill>
          </w14:textFill>
        </w:rPr>
        <w:t xml:space="preserve"> interaction strengths between donor atoms (ID-42, ID-53) and molecular substructures via saliency mapping. Column-specific extraction of nitrogen-centered interactions </w:t>
      </w:r>
      <w:r>
        <w:rPr>
          <w:rFonts w:hint="default" w:ascii="Times New Roman" w:hAnsi="Times New Roman" w:cs="Times New Roman"/>
          <w:b/>
          <w:bCs/>
          <w:color w:val="000000" w:themeColor="text1"/>
          <w:sz w:val="21"/>
          <w:szCs w:val="21"/>
          <w14:textFill>
            <w14:solidFill>
              <w14:schemeClr w14:val="tx1"/>
            </w14:solidFill>
          </w14:textFill>
        </w:rPr>
        <w:t>Fig.</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S8c</w:t>
      </w:r>
      <w:r>
        <w:rPr>
          <w:rFonts w:hint="default" w:ascii="Times New Roman" w:hAnsi="Times New Roman" w:cs="Times New Roman"/>
          <w:color w:val="000000" w:themeColor="text1"/>
          <w:sz w:val="21"/>
          <w:szCs w:val="21"/>
          <w14:textFill>
            <w14:solidFill>
              <w14:schemeClr w14:val="tx1"/>
            </w14:solidFill>
          </w14:textFill>
        </w:rPr>
        <w:t xml:space="preserve"> reveals differential coupling patterns: </w:t>
      </w:r>
    </w:p>
    <w:p>
      <w:pPr>
        <w:pStyle w:val="2"/>
        <w:numPr>
          <w:ilvl w:val="0"/>
          <w:numId w:val="1"/>
        </w:numPr>
        <w:spacing w:line="360" w:lineRule="auto"/>
        <w:ind w:firstLine="0" w:firstLineChars="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ID-42 shows stronger interactions with proximal bridge atoms (34-39) and tert-butyl groups (19/24/28)  compared to ID-53; (2) In contrast, ID-53 shows enhanced electronic coupling to the donor moiety atoms (77–78, 1–10) than ID-42. </w:t>
      </w:r>
    </w:p>
    <w:p>
      <w:pPr>
        <w:pStyle w:val="2"/>
        <w:spacing w:line="360" w:lineRule="auto"/>
        <w:ind w:firstLine="0" w:firstLineChars="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Bridge structures exert greater influence on donor electron distributions than tert-butyl groups, suggesting preferential bridge modification for donor engineering.</w:t>
      </w:r>
    </w:p>
    <w:p>
      <w:pPr>
        <w:pStyle w:val="39"/>
        <w:rPr>
          <w:rFonts w:hint="default" w:ascii="Times New Roman" w:hAnsi="Times New Roman" w:eastAsia="Times New Roman" w:cs="Times New Roman"/>
          <w:sz w:val="24"/>
          <w:szCs w:val="22"/>
          <w:u w:val="words"/>
          <w:lang w:val="en-US" w:eastAsia="zh-CN" w:bidi="ar-SA"/>
        </w:rPr>
      </w:pPr>
    </w:p>
    <w:p>
      <w:pPr>
        <w:jc w:val="left"/>
        <w:rPr>
          <w:rFonts w:hint="default" w:ascii="Times New Roman" w:hAnsi="Times New Roman" w:cs="Times New Roman"/>
          <w:b/>
          <w:color w:val="000000"/>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1" w:csb1="00000000"/>
  </w:font>
  <w:font w:name="Times-Roman">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MS Mincho">
    <w:altName w:val="Yu Gothic UI"/>
    <w:panose1 w:val="02020609040205080304"/>
    <w:charset w:val="80"/>
    <w:family w:val="modern"/>
    <w:pitch w:val="default"/>
    <w:sig w:usb0="00000000" w:usb1="00000000" w:usb2="08000012" w:usb3="00000000" w:csb0="0002009F" w:csb1="00000000"/>
  </w:font>
  <w:font w:name="Arial Unicode MS">
    <w:panose1 w:val="020B0604020202020204"/>
    <w:charset w:val="86"/>
    <w:family w:val="swiss"/>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imes">
    <w:altName w:val="Times New Roman"/>
    <w:panose1 w:val="02020603050405020304"/>
    <w:charset w:val="00"/>
    <w:family w:val="roman"/>
    <w:pitch w:val="default"/>
    <w:sig w:usb0="00000000" w:usb1="00000000" w:usb2="00000009" w:usb3="00000000" w:csb0="000001FF" w:csb1="00000000"/>
  </w:font>
  <w:font w:name="AdvOTea1a7398">
    <w:altName w:val="Times New Roman"/>
    <w:panose1 w:val="00000000000000000000"/>
    <w:charset w:val="00"/>
    <w:family w:val="roman"/>
    <w:pitch w:val="default"/>
    <w:sig w:usb0="00000000" w:usb1="00000000" w:usb2="00000000" w:usb3="00000000" w:csb0="00000000" w:csb1="00000000"/>
  </w:font>
  <w:font w:name="AdvOTea1a7398+fb">
    <w:altName w:val="Times New Roman"/>
    <w:panose1 w:val="00000000000000000000"/>
    <w:charset w:val="00"/>
    <w:family w:val="roman"/>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Lucida Grande">
    <w:altName w:val="Segoe Print"/>
    <w:panose1 w:val="00000000000000000000"/>
    <w:charset w:val="00"/>
    <w:family w:val="auto"/>
    <w:pitch w:val="default"/>
    <w:sig w:usb0="00000000" w:usb1="00000000" w:usb2="00000000" w:usb3="00000000" w:csb0="000001BF" w:csb1="00000000"/>
  </w:font>
  <w:font w:name="Consolas">
    <w:panose1 w:val="020B0609020204030204"/>
    <w:charset w:val="00"/>
    <w:family w:val="modern"/>
    <w:pitch w:val="default"/>
    <w:sig w:usb0="E00006FF" w:usb1="0000FCFF" w:usb2="00000001" w:usb3="00000000" w:csb0="6000019F" w:csb1="DFD70000"/>
  </w:font>
  <w:font w:name="Courier New">
    <w:panose1 w:val="02070309020205020404"/>
    <w:charset w:val="00"/>
    <w:family w:val="modern"/>
    <w:pitch w:val="default"/>
    <w:sig w:usb0="E0002EFF" w:usb1="C0007843" w:usb2="00000009" w:usb3="00000000" w:csb0="400001FF" w:csb1="FFFF0000"/>
  </w:font>
  <w:font w:name="BlissRegular">
    <w:altName w:val="Cambria"/>
    <w:panose1 w:val="00000000000000000000"/>
    <w:charset w:val="00"/>
    <w:family w:val="roman"/>
    <w:pitch w:val="default"/>
    <w:sig w:usb0="00000000" w:usb1="00000000" w:usb2="00000000" w:usb3="00000000" w:csb0="00000001" w:csb1="00000000"/>
  </w:font>
  <w:font w:name="BlissMedium">
    <w:altName w:val="Cambria"/>
    <w:panose1 w:val="00000000000000000000"/>
    <w:charset w:val="00"/>
    <w:family w:val="roman"/>
    <w:pitch w:val="default"/>
    <w:sig w:usb0="00000000" w:usb1="00000000" w:usb2="00000000" w:usb3="00000000" w:csb0="00000001" w:csb1="00000000"/>
  </w:font>
  <w:font w:name="BlissBold">
    <w:altName w:val="Segoe Print"/>
    <w:panose1 w:val="00000000000000000000"/>
    <w:charset w:val="00"/>
    <w:family w:val="roman"/>
    <w:pitch w:val="default"/>
    <w:sig w:usb0="00000000" w:usb1="00000000" w:usb2="00000000" w:usb3="00000000" w:csb0="00000001" w:csb1="00000000"/>
  </w:font>
  <w:font w:name="quote-cjk-patch">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KaTeX_Math">
    <w:altName w:val="Segoe Print"/>
    <w:panose1 w:val="00000000000000000000"/>
    <w:charset w:val="00"/>
    <w:family w:val="auto"/>
    <w:pitch w:val="default"/>
    <w:sig w:usb0="00000000" w:usb1="00000000" w:usb2="00000000" w:usb3="00000000" w:csb0="00000000" w:csb1="00000000"/>
  </w:font>
  <w:font w:name="Microsoft Tai Le">
    <w:panose1 w:val="020B0502040204020203"/>
    <w:charset w:val="00"/>
    <w:family w:val="auto"/>
    <w:pitch w:val="default"/>
    <w:sig w:usb0="00000003" w:usb1="00000000" w:usb2="40000000" w:usb3="00000000" w:csb0="00000001" w:csb1="00000000"/>
  </w:font>
  <w:font w:name="Arial Black">
    <w:panose1 w:val="020B0A04020102020204"/>
    <w:charset w:val="00"/>
    <w:family w:val="auto"/>
    <w:pitch w:val="default"/>
    <w:sig w:usb0="A00002AF" w:usb1="400078FB" w:usb2="00000000" w:usb3="00000000" w:csb0="6000009F" w:csb1="DFD70000"/>
  </w:font>
  <w:font w:name="system-ui">
    <w:altName w:val="Segoe Print"/>
    <w:panose1 w:val="00000000000000000000"/>
    <w:charset w:val="00"/>
    <w:family w:val="auto"/>
    <w:pitch w:val="default"/>
    <w:sig w:usb0="00000000" w:usb1="00000000" w:usb2="00000000" w:usb3="00000000" w:csb0="00000000" w:csb1="00000000"/>
  </w:font>
  <w:font w:name="ui-monospace">
    <w:altName w:val="Segoe Print"/>
    <w:panose1 w:val="00000000000000000000"/>
    <w:charset w:val="00"/>
    <w:family w:val="auto"/>
    <w:pitch w:val="default"/>
    <w:sig w:usb0="00000000" w:usb1="00000000" w:usb2="00000000" w:usb3="00000000" w:csb0="00000000" w:csb1="00000000"/>
  </w:font>
  <w:font w:name="Open Sans">
    <w:altName w:val="Segoe Print"/>
    <w:panose1 w:val="00000000000000000000"/>
    <w:charset w:val="00"/>
    <w:family w:val="auto"/>
    <w:pitch w:val="default"/>
    <w:sig w:usb0="00000000" w:usb1="00000000" w:usb2="00000000" w:usb3="00000000" w:csb0="00000000" w:csb1="00000000"/>
  </w:font>
  <w:font w:name="Source Sans Pro">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ElsevierGulliver">
    <w:altName w:val="Segoe Print"/>
    <w:panose1 w:val="00000000000000000000"/>
    <w:charset w:val="00"/>
    <w:family w:val="auto"/>
    <w:pitch w:val="default"/>
    <w:sig w:usb0="00000000" w:usb1="00000000" w:usb2="00000000" w:usb3="00000000" w:csb0="00000000" w:csb1="00000000"/>
  </w:font>
  <w:font w:name="katex_main">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PingFangSC-Regular">
    <w:altName w:val="Segoe Print"/>
    <w:panose1 w:val="00000000000000000000"/>
    <w:charset w:val="00"/>
    <w:family w:val="auto"/>
    <w:pitch w:val="default"/>
    <w:sig w:usb0="00000000" w:usb1="00000000" w:usb2="00000000" w:usb3="00000000" w:csb0="00000000" w:csb1="00000000"/>
  </w:font>
  <w:font w:name="Menlo">
    <w:altName w:val="Segoe Print"/>
    <w:panose1 w:val="00000000000000000000"/>
    <w:charset w:val="00"/>
    <w:family w:val="auto"/>
    <w:pitch w:val="default"/>
    <w:sig w:usb0="00000000" w:usb1="00000000" w:usb2="00000000" w:usb3="00000000" w:csb0="00000000" w:csb1="00000000"/>
  </w:font>
  <w:font w:name="ElsevierSans">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华光楷体_CNKI">
    <w:panose1 w:val="02000500000000000000"/>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Liberation Sans">
    <w:altName w:val="Arial"/>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楷体">
    <w:panose1 w:val="02010609060101010101"/>
    <w:charset w:val="86"/>
    <w:family w:val="modern"/>
    <w:pitch w:val="default"/>
    <w:sig w:usb0="800002BF" w:usb1="38CF7CFA" w:usb2="00000016" w:usb3="00000000" w:csb0="00040001" w:csb1="00000000"/>
  </w:font>
  <w:font w:name="方正小标宋简体">
    <w:altName w:val="微软雅黑"/>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Harding">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7537314"/>
    </w:sdtPr>
    <w:sdtContent>
      <w:p>
        <w:pPr>
          <w:pStyle w:val="8"/>
          <w:jc w:val="center"/>
        </w:pPr>
        <w:r>
          <w:fldChar w:fldCharType="begin"/>
        </w:r>
        <w:r>
          <w:instrText xml:space="preserve">PAGE   \* MERGEFORMAT</w:instrText>
        </w:r>
        <w:r>
          <w:fldChar w:fldCharType="separate"/>
        </w:r>
        <w:r>
          <w:rPr>
            <w:lang w:val="zh-CN"/>
          </w:rPr>
          <w:t>17</w:t>
        </w:r>
        <w: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54DA50"/>
    <w:multiLevelType w:val="singleLevel"/>
    <w:tmpl w:val="6854DA5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906"/>
    <w:rsid w:val="00003E1E"/>
    <w:rsid w:val="0001292F"/>
    <w:rsid w:val="00017697"/>
    <w:rsid w:val="00024353"/>
    <w:rsid w:val="00043F06"/>
    <w:rsid w:val="00050ACE"/>
    <w:rsid w:val="00064D7A"/>
    <w:rsid w:val="00073BA9"/>
    <w:rsid w:val="0008139D"/>
    <w:rsid w:val="000818A1"/>
    <w:rsid w:val="000822F3"/>
    <w:rsid w:val="00091169"/>
    <w:rsid w:val="000973D9"/>
    <w:rsid w:val="000A2DA0"/>
    <w:rsid w:val="000A4AE9"/>
    <w:rsid w:val="000C2A72"/>
    <w:rsid w:val="000C3425"/>
    <w:rsid w:val="000C556D"/>
    <w:rsid w:val="000D13E8"/>
    <w:rsid w:val="00111A5E"/>
    <w:rsid w:val="001125CF"/>
    <w:rsid w:val="00114611"/>
    <w:rsid w:val="00115BCB"/>
    <w:rsid w:val="00124ABE"/>
    <w:rsid w:val="00131964"/>
    <w:rsid w:val="00132CF7"/>
    <w:rsid w:val="00134BFA"/>
    <w:rsid w:val="001422C6"/>
    <w:rsid w:val="00142624"/>
    <w:rsid w:val="00142877"/>
    <w:rsid w:val="00145212"/>
    <w:rsid w:val="00150D5B"/>
    <w:rsid w:val="00157276"/>
    <w:rsid w:val="001677AD"/>
    <w:rsid w:val="00173735"/>
    <w:rsid w:val="00177C04"/>
    <w:rsid w:val="00183569"/>
    <w:rsid w:val="001837B4"/>
    <w:rsid w:val="001879A7"/>
    <w:rsid w:val="00191A0A"/>
    <w:rsid w:val="001A32ED"/>
    <w:rsid w:val="001A4A67"/>
    <w:rsid w:val="001B34D9"/>
    <w:rsid w:val="001B56DC"/>
    <w:rsid w:val="001B58EA"/>
    <w:rsid w:val="001B5B18"/>
    <w:rsid w:val="001B6AB7"/>
    <w:rsid w:val="001D2A02"/>
    <w:rsid w:val="001E277C"/>
    <w:rsid w:val="001F13AF"/>
    <w:rsid w:val="001F46AD"/>
    <w:rsid w:val="00210023"/>
    <w:rsid w:val="00220E53"/>
    <w:rsid w:val="002555CC"/>
    <w:rsid w:val="0026545F"/>
    <w:rsid w:val="002661D4"/>
    <w:rsid w:val="00271B82"/>
    <w:rsid w:val="002820D2"/>
    <w:rsid w:val="0028503C"/>
    <w:rsid w:val="00292759"/>
    <w:rsid w:val="002A0992"/>
    <w:rsid w:val="002B11BF"/>
    <w:rsid w:val="002B48EA"/>
    <w:rsid w:val="002C0A15"/>
    <w:rsid w:val="002C4257"/>
    <w:rsid w:val="002D2203"/>
    <w:rsid w:val="002E6137"/>
    <w:rsid w:val="002F3026"/>
    <w:rsid w:val="002F47E9"/>
    <w:rsid w:val="003102BA"/>
    <w:rsid w:val="00310C2A"/>
    <w:rsid w:val="00317814"/>
    <w:rsid w:val="00322798"/>
    <w:rsid w:val="00333FEC"/>
    <w:rsid w:val="00345B97"/>
    <w:rsid w:val="003542F1"/>
    <w:rsid w:val="00354336"/>
    <w:rsid w:val="00354C4B"/>
    <w:rsid w:val="00357814"/>
    <w:rsid w:val="00360F70"/>
    <w:rsid w:val="00361940"/>
    <w:rsid w:val="003651C6"/>
    <w:rsid w:val="00374949"/>
    <w:rsid w:val="00384D1F"/>
    <w:rsid w:val="003A3BCA"/>
    <w:rsid w:val="003B66E9"/>
    <w:rsid w:val="003C3475"/>
    <w:rsid w:val="003D0306"/>
    <w:rsid w:val="003E5564"/>
    <w:rsid w:val="003E7114"/>
    <w:rsid w:val="003F1474"/>
    <w:rsid w:val="004326E1"/>
    <w:rsid w:val="00435270"/>
    <w:rsid w:val="0045060C"/>
    <w:rsid w:val="00452B8C"/>
    <w:rsid w:val="00455387"/>
    <w:rsid w:val="004672BD"/>
    <w:rsid w:val="004859C8"/>
    <w:rsid w:val="004A6906"/>
    <w:rsid w:val="004B4B4F"/>
    <w:rsid w:val="004B6B92"/>
    <w:rsid w:val="004C6800"/>
    <w:rsid w:val="004D3471"/>
    <w:rsid w:val="004D3910"/>
    <w:rsid w:val="004E103D"/>
    <w:rsid w:val="004F1EFF"/>
    <w:rsid w:val="004F7BCE"/>
    <w:rsid w:val="0050241A"/>
    <w:rsid w:val="00502924"/>
    <w:rsid w:val="005117B5"/>
    <w:rsid w:val="00511961"/>
    <w:rsid w:val="00521F00"/>
    <w:rsid w:val="00522A72"/>
    <w:rsid w:val="005303E4"/>
    <w:rsid w:val="005366A9"/>
    <w:rsid w:val="00552445"/>
    <w:rsid w:val="00556020"/>
    <w:rsid w:val="00562DF3"/>
    <w:rsid w:val="005819B6"/>
    <w:rsid w:val="00586C30"/>
    <w:rsid w:val="005A7560"/>
    <w:rsid w:val="005B3687"/>
    <w:rsid w:val="005B603B"/>
    <w:rsid w:val="005B6B77"/>
    <w:rsid w:val="005B703C"/>
    <w:rsid w:val="005C06C2"/>
    <w:rsid w:val="005C39E7"/>
    <w:rsid w:val="005C4515"/>
    <w:rsid w:val="005D0FE3"/>
    <w:rsid w:val="005D404A"/>
    <w:rsid w:val="005D6572"/>
    <w:rsid w:val="005E1279"/>
    <w:rsid w:val="005E3E86"/>
    <w:rsid w:val="005E5E2C"/>
    <w:rsid w:val="005F242E"/>
    <w:rsid w:val="00605818"/>
    <w:rsid w:val="00605FE8"/>
    <w:rsid w:val="00610AD9"/>
    <w:rsid w:val="00615FC5"/>
    <w:rsid w:val="00617827"/>
    <w:rsid w:val="00630A46"/>
    <w:rsid w:val="00634BB0"/>
    <w:rsid w:val="00643AE4"/>
    <w:rsid w:val="006456C4"/>
    <w:rsid w:val="006539E6"/>
    <w:rsid w:val="006549E6"/>
    <w:rsid w:val="006568DE"/>
    <w:rsid w:val="00672259"/>
    <w:rsid w:val="00673078"/>
    <w:rsid w:val="006836F5"/>
    <w:rsid w:val="00687C35"/>
    <w:rsid w:val="00695ECE"/>
    <w:rsid w:val="006A4CEC"/>
    <w:rsid w:val="006A7D52"/>
    <w:rsid w:val="006B0AD8"/>
    <w:rsid w:val="006C7070"/>
    <w:rsid w:val="006D6842"/>
    <w:rsid w:val="006F4430"/>
    <w:rsid w:val="006F64D0"/>
    <w:rsid w:val="00700002"/>
    <w:rsid w:val="00702B92"/>
    <w:rsid w:val="00707871"/>
    <w:rsid w:val="00716832"/>
    <w:rsid w:val="00751445"/>
    <w:rsid w:val="00753829"/>
    <w:rsid w:val="00753BFD"/>
    <w:rsid w:val="00755353"/>
    <w:rsid w:val="00761C03"/>
    <w:rsid w:val="00770324"/>
    <w:rsid w:val="007734AD"/>
    <w:rsid w:val="00782B8E"/>
    <w:rsid w:val="00795964"/>
    <w:rsid w:val="007A7ABB"/>
    <w:rsid w:val="007B6008"/>
    <w:rsid w:val="007C3243"/>
    <w:rsid w:val="007D3A7B"/>
    <w:rsid w:val="007D3DCA"/>
    <w:rsid w:val="007E0E61"/>
    <w:rsid w:val="007E30C0"/>
    <w:rsid w:val="007E7072"/>
    <w:rsid w:val="007F6DCC"/>
    <w:rsid w:val="00800141"/>
    <w:rsid w:val="00805457"/>
    <w:rsid w:val="00812208"/>
    <w:rsid w:val="008126C9"/>
    <w:rsid w:val="008208A2"/>
    <w:rsid w:val="00830E5C"/>
    <w:rsid w:val="008357F2"/>
    <w:rsid w:val="0084349F"/>
    <w:rsid w:val="008436F1"/>
    <w:rsid w:val="00851498"/>
    <w:rsid w:val="00851EBF"/>
    <w:rsid w:val="00857800"/>
    <w:rsid w:val="00860934"/>
    <w:rsid w:val="008732F5"/>
    <w:rsid w:val="0087404B"/>
    <w:rsid w:val="008854B6"/>
    <w:rsid w:val="00892A0A"/>
    <w:rsid w:val="00893725"/>
    <w:rsid w:val="008A07B4"/>
    <w:rsid w:val="008A2B1A"/>
    <w:rsid w:val="008A2D65"/>
    <w:rsid w:val="008A34AC"/>
    <w:rsid w:val="008A3560"/>
    <w:rsid w:val="008A381E"/>
    <w:rsid w:val="008B4A90"/>
    <w:rsid w:val="008D2B4A"/>
    <w:rsid w:val="008D3335"/>
    <w:rsid w:val="008E1E0B"/>
    <w:rsid w:val="008E31EB"/>
    <w:rsid w:val="008F47A1"/>
    <w:rsid w:val="009011E6"/>
    <w:rsid w:val="009077A7"/>
    <w:rsid w:val="009102DE"/>
    <w:rsid w:val="00920AE8"/>
    <w:rsid w:val="009328DC"/>
    <w:rsid w:val="009357DE"/>
    <w:rsid w:val="009473E5"/>
    <w:rsid w:val="00957271"/>
    <w:rsid w:val="00961403"/>
    <w:rsid w:val="00965103"/>
    <w:rsid w:val="00982452"/>
    <w:rsid w:val="00995F61"/>
    <w:rsid w:val="009B2217"/>
    <w:rsid w:val="009B3EA7"/>
    <w:rsid w:val="009B789A"/>
    <w:rsid w:val="009C27DF"/>
    <w:rsid w:val="009C7252"/>
    <w:rsid w:val="009D2600"/>
    <w:rsid w:val="009D5732"/>
    <w:rsid w:val="009E7D83"/>
    <w:rsid w:val="009F7246"/>
    <w:rsid w:val="00A02005"/>
    <w:rsid w:val="00A07241"/>
    <w:rsid w:val="00A102D4"/>
    <w:rsid w:val="00A16873"/>
    <w:rsid w:val="00A24FC7"/>
    <w:rsid w:val="00A26A03"/>
    <w:rsid w:val="00A308AD"/>
    <w:rsid w:val="00A309CF"/>
    <w:rsid w:val="00A34E9A"/>
    <w:rsid w:val="00A42786"/>
    <w:rsid w:val="00A453BE"/>
    <w:rsid w:val="00A473F9"/>
    <w:rsid w:val="00A73ECE"/>
    <w:rsid w:val="00A76238"/>
    <w:rsid w:val="00A9624A"/>
    <w:rsid w:val="00AA2824"/>
    <w:rsid w:val="00AA4654"/>
    <w:rsid w:val="00AA72DC"/>
    <w:rsid w:val="00AB0271"/>
    <w:rsid w:val="00AB4722"/>
    <w:rsid w:val="00AB4B78"/>
    <w:rsid w:val="00AC0F94"/>
    <w:rsid w:val="00AC4E5F"/>
    <w:rsid w:val="00AC6D80"/>
    <w:rsid w:val="00AD52EB"/>
    <w:rsid w:val="00AD6A24"/>
    <w:rsid w:val="00AE48DA"/>
    <w:rsid w:val="00AE5DE0"/>
    <w:rsid w:val="00AF4DFE"/>
    <w:rsid w:val="00AF5B29"/>
    <w:rsid w:val="00B00621"/>
    <w:rsid w:val="00B1392A"/>
    <w:rsid w:val="00B16059"/>
    <w:rsid w:val="00B16689"/>
    <w:rsid w:val="00B16C80"/>
    <w:rsid w:val="00B17731"/>
    <w:rsid w:val="00B2550E"/>
    <w:rsid w:val="00B26356"/>
    <w:rsid w:val="00B51895"/>
    <w:rsid w:val="00B55CA3"/>
    <w:rsid w:val="00B82CF9"/>
    <w:rsid w:val="00B850B7"/>
    <w:rsid w:val="00BA0085"/>
    <w:rsid w:val="00BA4D1B"/>
    <w:rsid w:val="00BB4516"/>
    <w:rsid w:val="00BB5CAB"/>
    <w:rsid w:val="00BB7625"/>
    <w:rsid w:val="00BC0979"/>
    <w:rsid w:val="00BC685A"/>
    <w:rsid w:val="00BF3A65"/>
    <w:rsid w:val="00C049E9"/>
    <w:rsid w:val="00C11685"/>
    <w:rsid w:val="00C13942"/>
    <w:rsid w:val="00C17D29"/>
    <w:rsid w:val="00C25DE2"/>
    <w:rsid w:val="00C27633"/>
    <w:rsid w:val="00C44B86"/>
    <w:rsid w:val="00C45C2C"/>
    <w:rsid w:val="00C47982"/>
    <w:rsid w:val="00C50804"/>
    <w:rsid w:val="00C57273"/>
    <w:rsid w:val="00C756EA"/>
    <w:rsid w:val="00C75FB3"/>
    <w:rsid w:val="00C8194A"/>
    <w:rsid w:val="00C86935"/>
    <w:rsid w:val="00CA7F12"/>
    <w:rsid w:val="00CB2516"/>
    <w:rsid w:val="00CC0404"/>
    <w:rsid w:val="00CF2393"/>
    <w:rsid w:val="00CF50C5"/>
    <w:rsid w:val="00D00EEC"/>
    <w:rsid w:val="00D166EB"/>
    <w:rsid w:val="00D27341"/>
    <w:rsid w:val="00D401AD"/>
    <w:rsid w:val="00D40B18"/>
    <w:rsid w:val="00D46D4D"/>
    <w:rsid w:val="00D47AFC"/>
    <w:rsid w:val="00D663FC"/>
    <w:rsid w:val="00D67B5D"/>
    <w:rsid w:val="00D7253B"/>
    <w:rsid w:val="00D80902"/>
    <w:rsid w:val="00D87609"/>
    <w:rsid w:val="00D91ADC"/>
    <w:rsid w:val="00D9221A"/>
    <w:rsid w:val="00D939BA"/>
    <w:rsid w:val="00D93D3D"/>
    <w:rsid w:val="00DA160A"/>
    <w:rsid w:val="00DA2A6B"/>
    <w:rsid w:val="00DA448A"/>
    <w:rsid w:val="00DB0616"/>
    <w:rsid w:val="00DB19A0"/>
    <w:rsid w:val="00DB370E"/>
    <w:rsid w:val="00DB3CA9"/>
    <w:rsid w:val="00DC0A24"/>
    <w:rsid w:val="00DC24D5"/>
    <w:rsid w:val="00DC6633"/>
    <w:rsid w:val="00DC6DEA"/>
    <w:rsid w:val="00DD0908"/>
    <w:rsid w:val="00DD2DE2"/>
    <w:rsid w:val="00DD40D2"/>
    <w:rsid w:val="00DD45EA"/>
    <w:rsid w:val="00DD4C66"/>
    <w:rsid w:val="00DD4DD8"/>
    <w:rsid w:val="00DE36CE"/>
    <w:rsid w:val="00DF055F"/>
    <w:rsid w:val="00E053C1"/>
    <w:rsid w:val="00E13151"/>
    <w:rsid w:val="00E143A6"/>
    <w:rsid w:val="00E24B8E"/>
    <w:rsid w:val="00E26049"/>
    <w:rsid w:val="00E269FB"/>
    <w:rsid w:val="00E27D23"/>
    <w:rsid w:val="00E34EAB"/>
    <w:rsid w:val="00E36B4B"/>
    <w:rsid w:val="00E4016A"/>
    <w:rsid w:val="00E43310"/>
    <w:rsid w:val="00E52639"/>
    <w:rsid w:val="00E54505"/>
    <w:rsid w:val="00E614FD"/>
    <w:rsid w:val="00E623D7"/>
    <w:rsid w:val="00E73E70"/>
    <w:rsid w:val="00E748BA"/>
    <w:rsid w:val="00E77A68"/>
    <w:rsid w:val="00E8599B"/>
    <w:rsid w:val="00EA1374"/>
    <w:rsid w:val="00EA37FE"/>
    <w:rsid w:val="00EA74AB"/>
    <w:rsid w:val="00EB003C"/>
    <w:rsid w:val="00EB3429"/>
    <w:rsid w:val="00EC7F62"/>
    <w:rsid w:val="00ED2163"/>
    <w:rsid w:val="00ED23D7"/>
    <w:rsid w:val="00ED6B55"/>
    <w:rsid w:val="00EE11D6"/>
    <w:rsid w:val="00F0252B"/>
    <w:rsid w:val="00F2271D"/>
    <w:rsid w:val="00F33FA8"/>
    <w:rsid w:val="00F347AB"/>
    <w:rsid w:val="00F43C89"/>
    <w:rsid w:val="00F44730"/>
    <w:rsid w:val="00F62DAA"/>
    <w:rsid w:val="00F70DBB"/>
    <w:rsid w:val="00F93EDA"/>
    <w:rsid w:val="00F93F99"/>
    <w:rsid w:val="00FA08A2"/>
    <w:rsid w:val="00FA2959"/>
    <w:rsid w:val="00FA394B"/>
    <w:rsid w:val="00FB2A9A"/>
    <w:rsid w:val="00FB401B"/>
    <w:rsid w:val="00FC1ED1"/>
    <w:rsid w:val="00FC7368"/>
    <w:rsid w:val="00FD0AAC"/>
    <w:rsid w:val="00FD1612"/>
    <w:rsid w:val="00FD2358"/>
    <w:rsid w:val="00FD3EE0"/>
    <w:rsid w:val="00FD732A"/>
    <w:rsid w:val="00FE382E"/>
    <w:rsid w:val="00FE6E9A"/>
    <w:rsid w:val="00FE7788"/>
    <w:rsid w:val="00FF2361"/>
    <w:rsid w:val="00FF2A9B"/>
    <w:rsid w:val="00FF36B0"/>
    <w:rsid w:val="00FF39DE"/>
    <w:rsid w:val="00FF618F"/>
    <w:rsid w:val="02214A56"/>
    <w:rsid w:val="023561FB"/>
    <w:rsid w:val="07A86874"/>
    <w:rsid w:val="08B04D1F"/>
    <w:rsid w:val="0B6360D1"/>
    <w:rsid w:val="0BA24E7A"/>
    <w:rsid w:val="0BFB4F6F"/>
    <w:rsid w:val="0CAE50D1"/>
    <w:rsid w:val="0CDD6B0B"/>
    <w:rsid w:val="0E744EAA"/>
    <w:rsid w:val="0F7620BD"/>
    <w:rsid w:val="10303461"/>
    <w:rsid w:val="11E84B4B"/>
    <w:rsid w:val="12424507"/>
    <w:rsid w:val="12E37D06"/>
    <w:rsid w:val="14180DC5"/>
    <w:rsid w:val="14DD617E"/>
    <w:rsid w:val="17F40499"/>
    <w:rsid w:val="186D2B1F"/>
    <w:rsid w:val="19100C26"/>
    <w:rsid w:val="19FC46D7"/>
    <w:rsid w:val="1A0E70A0"/>
    <w:rsid w:val="1D471E30"/>
    <w:rsid w:val="1D5B00A1"/>
    <w:rsid w:val="23EF4348"/>
    <w:rsid w:val="2569722C"/>
    <w:rsid w:val="271B49AD"/>
    <w:rsid w:val="2B937C00"/>
    <w:rsid w:val="2C1B08B5"/>
    <w:rsid w:val="2CF85186"/>
    <w:rsid w:val="2FD1148D"/>
    <w:rsid w:val="30552145"/>
    <w:rsid w:val="30866728"/>
    <w:rsid w:val="31307C4D"/>
    <w:rsid w:val="32C779B7"/>
    <w:rsid w:val="34D6109A"/>
    <w:rsid w:val="364819D3"/>
    <w:rsid w:val="37FF6697"/>
    <w:rsid w:val="387F698B"/>
    <w:rsid w:val="3891246B"/>
    <w:rsid w:val="39F228D5"/>
    <w:rsid w:val="3AE35FBF"/>
    <w:rsid w:val="40AD2C27"/>
    <w:rsid w:val="42B9636C"/>
    <w:rsid w:val="444674BF"/>
    <w:rsid w:val="46B104C1"/>
    <w:rsid w:val="479E30C3"/>
    <w:rsid w:val="483832E3"/>
    <w:rsid w:val="4AD277B3"/>
    <w:rsid w:val="4B585E8A"/>
    <w:rsid w:val="4CF91B8C"/>
    <w:rsid w:val="50B460D7"/>
    <w:rsid w:val="50DB3C72"/>
    <w:rsid w:val="53B419C6"/>
    <w:rsid w:val="53DB7E63"/>
    <w:rsid w:val="55A53E1D"/>
    <w:rsid w:val="561652DB"/>
    <w:rsid w:val="56717D4C"/>
    <w:rsid w:val="56844351"/>
    <w:rsid w:val="58BF6A71"/>
    <w:rsid w:val="58C96994"/>
    <w:rsid w:val="59034E93"/>
    <w:rsid w:val="593F592C"/>
    <w:rsid w:val="5C310905"/>
    <w:rsid w:val="5DB41647"/>
    <w:rsid w:val="5EE65C1C"/>
    <w:rsid w:val="5F1768ED"/>
    <w:rsid w:val="5F550EC1"/>
    <w:rsid w:val="5FFB044C"/>
    <w:rsid w:val="60D82611"/>
    <w:rsid w:val="6328732B"/>
    <w:rsid w:val="64387EAB"/>
    <w:rsid w:val="69135106"/>
    <w:rsid w:val="69D978B0"/>
    <w:rsid w:val="6B9C37BA"/>
    <w:rsid w:val="6CC90128"/>
    <w:rsid w:val="6E99049A"/>
    <w:rsid w:val="71697B92"/>
    <w:rsid w:val="72D00950"/>
    <w:rsid w:val="74001A04"/>
    <w:rsid w:val="798A6AC9"/>
    <w:rsid w:val="79FD0309"/>
    <w:rsid w:val="7C8A571E"/>
    <w:rsid w:val="7CAA2D4C"/>
    <w:rsid w:val="7DBF2D34"/>
    <w:rsid w:val="7F4B494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keepNext/>
      <w:spacing w:before="240" w:after="60"/>
      <w:outlineLvl w:val="0"/>
    </w:pPr>
    <w:rPr>
      <w:b/>
      <w:bCs/>
      <w:kern w:val="32"/>
      <w:szCs w:val="24"/>
    </w:rPr>
  </w:style>
  <w:style w:type="character" w:default="1" w:styleId="11">
    <w:name w:val="Default Paragraph Font"/>
    <w:unhideWhenUsed/>
    <w:uiPriority w:val="1"/>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unhideWhenUsed/>
    <w:qFormat/>
    <w:uiPriority w:val="99"/>
    <w:pPr>
      <w:spacing w:line="400" w:lineRule="exact"/>
    </w:pPr>
  </w:style>
  <w:style w:type="paragraph" w:styleId="5">
    <w:name w:val="annotation subject"/>
    <w:basedOn w:val="6"/>
    <w:next w:val="6"/>
    <w:link w:val="28"/>
    <w:unhideWhenUsed/>
    <w:qFormat/>
    <w:uiPriority w:val="99"/>
    <w:rPr>
      <w:b/>
      <w:bCs/>
    </w:rPr>
  </w:style>
  <w:style w:type="paragraph" w:styleId="6">
    <w:name w:val="annotation text"/>
    <w:basedOn w:val="1"/>
    <w:link w:val="27"/>
    <w:unhideWhenUsed/>
    <w:qFormat/>
    <w:uiPriority w:val="99"/>
    <w:pPr>
      <w:jc w:val="left"/>
    </w:pPr>
  </w:style>
  <w:style w:type="paragraph" w:styleId="7">
    <w:name w:val="Balloon Text"/>
    <w:basedOn w:val="1"/>
    <w:link w:val="29"/>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rPr>
      <w:rFonts w:ascii="Times New Roman" w:hAnsi="Times New Roman" w:cs="Times New Roman"/>
      <w:sz w:val="24"/>
      <w:szCs w:val="24"/>
    </w:rPr>
  </w:style>
  <w:style w:type="character" w:styleId="12">
    <w:name w:val="Strong"/>
    <w:basedOn w:val="11"/>
    <w:qFormat/>
    <w:uiPriority w:val="22"/>
    <w:rPr>
      <w:b/>
    </w:rPr>
  </w:style>
  <w:style w:type="character" w:styleId="13">
    <w:name w:val="FollowedHyperlink"/>
    <w:basedOn w:val="11"/>
    <w:unhideWhenUsed/>
    <w:qFormat/>
    <w:uiPriority w:val="99"/>
    <w:rPr>
      <w:color w:val="954F72"/>
      <w:u w:val="single"/>
    </w:rPr>
  </w:style>
  <w:style w:type="character" w:styleId="14">
    <w:name w:val="Emphasis"/>
    <w:basedOn w:val="11"/>
    <w:qFormat/>
    <w:uiPriority w:val="20"/>
    <w:rPr>
      <w:i/>
    </w:rPr>
  </w:style>
  <w:style w:type="character" w:styleId="15">
    <w:name w:val="Hyperlink"/>
    <w:basedOn w:val="11"/>
    <w:unhideWhenUsed/>
    <w:qFormat/>
    <w:uiPriority w:val="99"/>
    <w:rPr>
      <w:color w:val="0563C1" w:themeColor="hyperlink"/>
      <w:u w:val="single"/>
      <w14:textFill>
        <w14:solidFill>
          <w14:schemeClr w14:val="hlink"/>
        </w14:solidFill>
      </w14:textFill>
    </w:rPr>
  </w:style>
  <w:style w:type="character" w:styleId="16">
    <w:name w:val="annotation reference"/>
    <w:basedOn w:val="11"/>
    <w:unhideWhenUsed/>
    <w:qFormat/>
    <w:uiPriority w:val="99"/>
    <w:rPr>
      <w:sz w:val="21"/>
      <w:szCs w:val="21"/>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页眉 字符"/>
    <w:basedOn w:val="11"/>
    <w:link w:val="9"/>
    <w:qFormat/>
    <w:uiPriority w:val="99"/>
    <w:rPr>
      <w:sz w:val="18"/>
      <w:szCs w:val="18"/>
    </w:rPr>
  </w:style>
  <w:style w:type="character" w:customStyle="1" w:styleId="20">
    <w:name w:val="页脚 字符"/>
    <w:basedOn w:val="11"/>
    <w:link w:val="8"/>
    <w:qFormat/>
    <w:uiPriority w:val="99"/>
    <w:rPr>
      <w:sz w:val="18"/>
      <w:szCs w:val="18"/>
    </w:rPr>
  </w:style>
  <w:style w:type="character" w:customStyle="1" w:styleId="21">
    <w:name w:val="fontstyle01"/>
    <w:basedOn w:val="11"/>
    <w:qFormat/>
    <w:uiPriority w:val="0"/>
    <w:rPr>
      <w:rFonts w:hint="default" w:ascii="TimesNewRomanPSMT" w:hAnsi="TimesNewRomanPSMT"/>
      <w:color w:val="000000"/>
      <w:sz w:val="24"/>
      <w:szCs w:val="24"/>
    </w:rPr>
  </w:style>
  <w:style w:type="character" w:customStyle="1" w:styleId="22">
    <w:name w:val="占位符文本1"/>
    <w:basedOn w:val="11"/>
    <w:semiHidden/>
    <w:qFormat/>
    <w:uiPriority w:val="99"/>
    <w:rPr>
      <w:color w:val="808080"/>
    </w:rPr>
  </w:style>
  <w:style w:type="paragraph" w:customStyle="1" w:styleId="23">
    <w:name w:val="RSC B02 Article Text"/>
    <w:basedOn w:val="1"/>
    <w:qFormat/>
    <w:uiPriority w:val="0"/>
    <w:pPr>
      <w:widowControl/>
      <w:spacing w:line="240" w:lineRule="exact"/>
    </w:pPr>
    <w:rPr>
      <w:rFonts w:ascii="Calibri" w:hAnsi="Calibri" w:eastAsia="宋体" w:cs="Calibri"/>
      <w:w w:val="108"/>
      <w:sz w:val="18"/>
      <w:szCs w:val="18"/>
      <w:lang w:val="en-GB" w:eastAsia="en-US"/>
    </w:rPr>
  </w:style>
  <w:style w:type="character" w:customStyle="1" w:styleId="24">
    <w:name w:val="fontstyle21"/>
    <w:basedOn w:val="11"/>
    <w:qFormat/>
    <w:uiPriority w:val="0"/>
    <w:rPr>
      <w:rFonts w:hint="default" w:ascii="Times-Roman" w:hAnsi="Times-Roman"/>
      <w:color w:val="000000"/>
      <w:sz w:val="16"/>
      <w:szCs w:val="16"/>
    </w:rPr>
  </w:style>
  <w:style w:type="paragraph" w:customStyle="1" w:styleId="25">
    <w:name w:val="EndNote Bibliography"/>
    <w:basedOn w:val="1"/>
    <w:link w:val="26"/>
    <w:qFormat/>
    <w:uiPriority w:val="0"/>
    <w:rPr>
      <w:rFonts w:ascii="Calibri" w:hAnsi="Calibri" w:cs="Calibri"/>
      <w:sz w:val="20"/>
    </w:rPr>
  </w:style>
  <w:style w:type="character" w:customStyle="1" w:styleId="26">
    <w:name w:val="EndNote Bibliography 字符"/>
    <w:basedOn w:val="11"/>
    <w:link w:val="25"/>
    <w:qFormat/>
    <w:uiPriority w:val="0"/>
    <w:rPr>
      <w:rFonts w:ascii="Calibri" w:hAnsi="Calibri" w:cs="Calibri"/>
      <w:kern w:val="2"/>
      <w:szCs w:val="22"/>
    </w:rPr>
  </w:style>
  <w:style w:type="character" w:customStyle="1" w:styleId="27">
    <w:name w:val="批注文字 字符"/>
    <w:basedOn w:val="11"/>
    <w:link w:val="6"/>
    <w:semiHidden/>
    <w:qFormat/>
    <w:uiPriority w:val="99"/>
    <w:rPr>
      <w:kern w:val="2"/>
      <w:sz w:val="21"/>
      <w:szCs w:val="22"/>
    </w:rPr>
  </w:style>
  <w:style w:type="character" w:customStyle="1" w:styleId="28">
    <w:name w:val="批注主题 字符"/>
    <w:basedOn w:val="27"/>
    <w:link w:val="5"/>
    <w:semiHidden/>
    <w:qFormat/>
    <w:uiPriority w:val="99"/>
    <w:rPr>
      <w:b/>
      <w:bCs/>
      <w:kern w:val="2"/>
      <w:sz w:val="21"/>
      <w:szCs w:val="22"/>
    </w:rPr>
  </w:style>
  <w:style w:type="character" w:customStyle="1" w:styleId="29">
    <w:name w:val="批注框文本 字符"/>
    <w:basedOn w:val="11"/>
    <w:link w:val="7"/>
    <w:semiHidden/>
    <w:qFormat/>
    <w:uiPriority w:val="99"/>
    <w:rPr>
      <w:kern w:val="2"/>
      <w:sz w:val="18"/>
      <w:szCs w:val="18"/>
    </w:rPr>
  </w:style>
  <w:style w:type="character" w:customStyle="1" w:styleId="30">
    <w:name w:val="未处理的提及1"/>
    <w:basedOn w:val="11"/>
    <w:unhideWhenUsed/>
    <w:qFormat/>
    <w:uiPriority w:val="99"/>
    <w:rPr>
      <w:color w:val="605E5C"/>
      <w:shd w:val="clear" w:color="auto" w:fill="E1DFDD"/>
    </w:rPr>
  </w:style>
  <w:style w:type="paragraph" w:customStyle="1" w:styleId="31">
    <w:name w:val="Acknowledgements"/>
    <w:basedOn w:val="1"/>
    <w:qFormat/>
    <w:uiPriority w:val="0"/>
    <w:pPr>
      <w:widowControl/>
      <w:spacing w:after="240" w:line="230" w:lineRule="atLeast"/>
    </w:pPr>
    <w:rPr>
      <w:rFonts w:ascii="Arial" w:hAnsi="Arial" w:eastAsia="MS Mincho" w:cs="Times New Roman"/>
      <w:kern w:val="0"/>
      <w:sz w:val="17"/>
      <w:szCs w:val="24"/>
      <w:lang w:val="de-DE" w:eastAsia="ja-JP"/>
    </w:rPr>
  </w:style>
  <w:style w:type="character" w:customStyle="1" w:styleId="32">
    <w:name w:val="EndNote Bibliography Char"/>
    <w:basedOn w:val="11"/>
    <w:qFormat/>
    <w:uiPriority w:val="0"/>
    <w:rPr>
      <w:rFonts w:ascii="Arial" w:hAnsi="Arial" w:eastAsia="MS Mincho" w:cs="Arial"/>
      <w:color w:val="000000"/>
      <w:kern w:val="0"/>
      <w:sz w:val="16"/>
      <w:szCs w:val="24"/>
      <w:lang w:val="de"/>
    </w:rPr>
  </w:style>
  <w:style w:type="paragraph" w:customStyle="1" w:styleId="33">
    <w:name w:val="Teaser"/>
    <w:basedOn w:val="34"/>
    <w:qFormat/>
    <w:uiPriority w:val="0"/>
  </w:style>
  <w:style w:type="paragraph" w:customStyle="1" w:styleId="34">
    <w:name w:val="Base_Text"/>
    <w:qFormat/>
    <w:uiPriority w:val="0"/>
    <w:pPr>
      <w:spacing w:before="120" w:after="160" w:line="278" w:lineRule="auto"/>
    </w:pPr>
    <w:rPr>
      <w:rFonts w:ascii="Times New Roman" w:hAnsi="Times New Roman" w:eastAsia="Times New Roman" w:cs="Times New Roman"/>
      <w:sz w:val="24"/>
      <w:szCs w:val="24"/>
      <w:lang w:val="en-US" w:eastAsia="en-US" w:bidi="ar-SA"/>
    </w:rPr>
  </w:style>
  <w:style w:type="paragraph" w:customStyle="1" w:styleId="35">
    <w:name w:val="Paragraph"/>
    <w:basedOn w:val="34"/>
    <w:qFormat/>
    <w:uiPriority w:val="0"/>
    <w:pPr>
      <w:ind w:firstLine="720"/>
    </w:pPr>
  </w:style>
  <w:style w:type="paragraph" w:customStyle="1" w:styleId="36">
    <w:name w:val="SM Text"/>
    <w:basedOn w:val="1"/>
    <w:qFormat/>
    <w:uiPriority w:val="0"/>
    <w:pPr>
      <w:ind w:firstLine="480"/>
    </w:pPr>
  </w:style>
  <w:style w:type="paragraph" w:customStyle="1" w:styleId="37">
    <w:name w:val="SM Heading"/>
    <w:basedOn w:val="4"/>
    <w:qFormat/>
    <w:uiPriority w:val="0"/>
  </w:style>
  <w:style w:type="paragraph" w:customStyle="1" w:styleId="38">
    <w:name w:val="SM Subheading"/>
    <w:basedOn w:val="1"/>
    <w:qFormat/>
    <w:uiPriority w:val="0"/>
    <w:rPr>
      <w:u w:val="words"/>
    </w:rPr>
  </w:style>
  <w:style w:type="paragraph" w:customStyle="1" w:styleId="39">
    <w:name w:val="SM caption"/>
    <w:basedOn w:val="36"/>
    <w:qFormat/>
    <w:uiPriority w:val="0"/>
    <w:pPr>
      <w:ind w:firstLine="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6C1789-3470-4D4D-BBA9-329EB56FDED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19</Pages>
  <Words>2946</Words>
  <Characters>16798</Characters>
  <Lines>139</Lines>
  <Paragraphs>39</Paragraphs>
  <ScaleCrop>false</ScaleCrop>
  <LinksUpToDate>false</LinksUpToDate>
  <CharactersWithSpaces>19705</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2021-03-09T14:23:00Z</dcterms:created>
  <dc:creator>PC</dc:creator>
  <cp:lastModifiedBy>JHL</cp:lastModifiedBy>
  <dcterms:modified xsi:type="dcterms:W3CDTF">2026-08-17T08:10:20Z</dcterms:modified>
  <cp:revision>143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