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Times New Roman" w:hAnsi="Times New Roman"/>
          <w:b/>
          <w:sz w:val="28"/>
        </w:rPr>
        <w:t>Highlights</w:t>
      </w:r>
    </w:p>
    <w:p>
      <w:pPr>
        <w:spacing w:line="360" w:lineRule="auto" w:after="120"/>
      </w:pPr>
      <w:r>
        <w:rPr>
          <w:rFonts w:ascii="Times New Roman" w:hAnsi="Times New Roman"/>
          <w:sz w:val="22"/>
        </w:rPr>
        <w:t>• First bibliometric and content analysis of BCI-mediated rehabilitation for disorders of consciousness (258 publications).</w:t>
      </w:r>
    </w:p>
    <w:p>
      <w:pPr>
        <w:spacing w:line="360" w:lineRule="auto" w:after="120"/>
      </w:pPr>
      <w:r>
        <w:rPr>
          <w:rFonts w:ascii="Times New Roman" w:hAnsi="Times New Roman"/>
          <w:sz w:val="22"/>
        </w:rPr>
        <w:t>• Content analysis reveals VS/UWS (60.5%) and MCS (43.4%) as the most studied DoC subtypes, with non-invasive EEG-BCI (84.5%) as the dominant modality.</w:t>
      </w:r>
    </w:p>
    <w:p>
      <w:pPr>
        <w:spacing w:line="360" w:lineRule="auto" w:after="120"/>
      </w:pPr>
      <w:r>
        <w:rPr>
          <w:rFonts w:ascii="Times New Roman" w:hAnsi="Times New Roman"/>
          <w:sz w:val="22"/>
        </w:rPr>
        <w:t>• A critical inflection point in 2019 marks the transition from exploratory studies to clinically oriented expansion driven by deep learning.</w:t>
      </w:r>
    </w:p>
    <w:p>
      <w:pPr>
        <w:spacing w:line="360" w:lineRule="auto" w:after="120"/>
      </w:pPr>
      <w:r>
        <w:rPr>
          <w:rFonts w:ascii="Times New Roman" w:hAnsi="Times New Roman"/>
          <w:sz w:val="22"/>
        </w:rPr>
        <w:t>• Neuromodulation-integrated BCI systems (10.9%) and hybrid approaches (18.6%) signal a paradigm shift toward active therapeutic intervention.</w:t>
      </w:r>
    </w:p>
    <w:p>
      <w:pPr>
        <w:spacing w:line="360" w:lineRule="auto" w:after="120"/>
      </w:pPr>
      <w:r>
        <w:rPr>
          <w:rFonts w:ascii="Times New Roman" w:hAnsi="Times New Roman"/>
          <w:sz w:val="22"/>
        </w:rPr>
        <w:t>• A strategic framework is proposed for future research: multicenter RCTs, methodological standardization, mechanistic mapping, and data harmonization.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