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04830">
      <w:pPr>
        <w:spacing w:before="0" w:after="80"/>
      </w:pPr>
      <w:r>
        <w:rPr>
          <w:rFonts w:ascii="Arial" w:hAnsi="Arial"/>
          <w:b/>
          <w:color w:val="1B365D"/>
          <w:sz w:val="44"/>
        </w:rPr>
        <w:t>TANSR-Vax Construct &amp; Module Validation Report</w:t>
      </w:r>
    </w:p>
    <w:p w14:paraId="7E624EAF">
      <w:pPr>
        <w:spacing w:before="0" w:after="360"/>
      </w:pPr>
      <w:r>
        <w:rPr>
          <w:rFonts w:ascii="Arial" w:hAnsi="Arial"/>
          <w:i/>
          <w:color w:val="556070"/>
          <w:sz w:val="24"/>
        </w:rPr>
        <w:t>Composite Publication-Style PCR and Blotting Validation Analysis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7AFD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0" w:type="dxa"/>
            <w:tcBorders>
              <w:top w:val="nil"/>
              <w:left w:val="single" w:color="1B365D" w:sz="24" w:space="0"/>
              <w:bottom w:val="nil"/>
              <w:right w:val="nil"/>
            </w:tcBorders>
            <w:shd w:val="clear" w:color="auto" w:fill="F0F4F8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AB32790">
            <w:pPr>
              <w:spacing w:before="0" w:after="80"/>
            </w:pPr>
            <w:r>
              <w:rPr>
                <w:b/>
                <w:color w:val="1B365D"/>
                <w:sz w:val="22"/>
              </w:rPr>
              <w:t>Executive Summary</w:t>
            </w:r>
          </w:p>
          <w:p w14:paraId="64EB80E0">
            <w:pPr>
              <w:spacing w:before="40" w:after="0" w:line="276" w:lineRule="auto"/>
            </w:pPr>
            <w:r>
              <w:rPr>
                <w:color w:val="333333"/>
                <w:sz w:val="20"/>
              </w:rPr>
              <w:t>This full-length, uncropped composite figure provides rigorous molecular confirmation of the TANSR-Vax construct and its three engineered modules across both nucleic acid and protein expression levels. Polymerase Chain Reaction (PCR) validates specific individual gene inserts and the full-length ~5.2 kb saRNA replicon, while Western and RNA blotting confirm robust module-specific protein expression and intact transcript integrity.</w:t>
            </w:r>
          </w:p>
        </w:tc>
      </w:tr>
    </w:tbl>
    <w:p w14:paraId="62661E25">
      <w:pPr>
        <w:keepNext/>
        <w:pBdr>
          <w:bottom w:val="single" w:color="D0D7DE" w:sz="6" w:space="1"/>
        </w:pBdr>
        <w:spacing w:before="360" w:after="160"/>
        <w:rPr>
          <w:rFonts w:hint="default"/>
          <w:b/>
          <w:color w:val="1B365D"/>
          <w:sz w:val="28"/>
          <w:lang w:val="en-US"/>
        </w:rPr>
      </w:pPr>
      <w:r>
        <w:rPr>
          <w:rFonts w:hint="default" w:ascii="Arial" w:hAnsi="Arial"/>
          <w:b/>
          <w:color w:val="1B365D"/>
          <w:sz w:val="28"/>
          <w:lang w:val="en-US"/>
        </w:rPr>
        <w:drawing>
          <wp:inline distT="0" distB="0" distL="114300" distR="114300">
            <wp:extent cx="5943600" cy="3965575"/>
            <wp:effectExtent l="0" t="0" r="0" b="15875"/>
            <wp:docPr id="1" name="Picture 1" descr="4a692397c7dabbe18cb792242d6f567abb4d3cfceb78cc116f46f1bd3ed4ec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4a692397c7dabbe18cb792242d6f567abb4d3cfceb78cc116f46f1bd3ed4ec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color w:val="1B365D"/>
          <w:sz w:val="28"/>
          <w:lang w:val="en-US"/>
        </w:rPr>
        <w:t>Supplementary figure S1:</w:t>
      </w:r>
    </w:p>
    <w:p w14:paraId="347E07CA">
      <w:pPr>
        <w:keepNext/>
        <w:pBdr>
          <w:bottom w:val="single" w:color="D0D7DE" w:sz="6" w:space="1"/>
        </w:pBdr>
        <w:spacing w:before="360" w:after="160"/>
      </w:pPr>
      <w:r>
        <w:rPr>
          <w:rFonts w:ascii="Arial" w:hAnsi="Arial"/>
          <w:b/>
          <w:color w:val="1B365D"/>
          <w:sz w:val="28"/>
        </w:rPr>
        <w:t>Upper Section — PCR Validation</w:t>
      </w:r>
    </w:p>
    <w:p w14:paraId="123A97C7">
      <w:pPr>
        <w:spacing w:before="60" w:after="80" w:line="276" w:lineRule="auto"/>
        <w:ind w:left="360"/>
      </w:pPr>
      <w:r>
        <w:rPr>
          <w:b/>
          <w:color w:val="0066CC"/>
        </w:rPr>
        <w:t xml:space="preserve">Panel A. </w:t>
      </w:r>
      <w:r>
        <w:rPr>
          <w:b/>
          <w:color w:val="1B365D"/>
        </w:rPr>
        <w:t xml:space="preserve">Module I: Neoantigen Inserts: </w:t>
      </w:r>
      <w:r>
        <w:t>Shows a molecular-weight ladder (M) followed by positive control, full-length saRNA, Module I plasmid, and no-template control (NTC) lanes.</w:t>
      </w:r>
    </w:p>
    <w:p w14:paraId="4C41AC06">
      <w:pPr>
        <w:spacing w:before="20" w:after="40" w:line="276" w:lineRule="auto"/>
        <w:ind w:left="720"/>
      </w:pPr>
      <w:r>
        <w:rPr>
          <w:b/>
          <w:color w:val="0066CC"/>
        </w:rPr>
        <w:t xml:space="preserve">• </w:t>
      </w:r>
      <w:r>
        <w:t>Eight neoantigen amplicons (Neo1–Neo8) are represented with expected product sizes of approximately 300–330 bp.</w:t>
      </w:r>
    </w:p>
    <w:p w14:paraId="490C28DF">
      <w:pPr>
        <w:spacing w:before="20" w:after="40" w:line="276" w:lineRule="auto"/>
        <w:ind w:left="720"/>
      </w:pPr>
      <w:r>
        <w:rPr>
          <w:b/>
          <w:color w:val="0066CC"/>
        </w:rPr>
        <w:t xml:space="preserve">• </w:t>
      </w:r>
      <w:r>
        <w:t>Bands are clearly visible at the expected positions in the positive control, full-length saRNA, and Module I plasmid lanes, while the NTC remains completely negative.</w:t>
      </w:r>
    </w:p>
    <w:p w14:paraId="09A13FDC">
      <w:pPr>
        <w:spacing w:before="60" w:after="80" w:line="276" w:lineRule="auto"/>
        <w:ind w:left="360"/>
      </w:pPr>
      <w:r>
        <w:rPr>
          <w:b/>
          <w:color w:val="0066CC"/>
        </w:rPr>
        <w:t xml:space="preserve">Panel B. </w:t>
      </w:r>
      <w:r>
        <w:rPr>
          <w:b/>
          <w:color w:val="1B365D"/>
        </w:rPr>
        <w:t xml:space="preserve">Module II: Immunomodulatory Inserts: </w:t>
      </w:r>
      <w:r>
        <w:t>Contains PCR products corresponding to IL-12, CXCL9, CXCL10, and dominant-negative TGF-β receptor II (dnTGFβRII).</w:t>
      </w:r>
    </w:p>
    <w:p w14:paraId="7A083907">
      <w:pPr>
        <w:spacing w:before="20" w:after="40" w:line="276" w:lineRule="auto"/>
        <w:ind w:left="720"/>
      </w:pPr>
      <w:r>
        <w:rPr>
          <w:b/>
          <w:color w:val="0066CC"/>
        </w:rPr>
        <w:t xml:space="preserve">• </w:t>
      </w:r>
      <w:r>
        <w:t>Expected sizes range from approximately 330 to 456 bp, with the largest product being dnTGFβRII.</w:t>
      </w:r>
    </w:p>
    <w:p w14:paraId="0DC964A3">
      <w:pPr>
        <w:spacing w:before="20" w:after="40" w:line="276" w:lineRule="auto"/>
        <w:ind w:left="720"/>
      </w:pPr>
      <w:r>
        <w:rPr>
          <w:b/>
          <w:color w:val="0066CC"/>
        </w:rPr>
        <w:t xml:space="preserve">• </w:t>
      </w:r>
      <w:r>
        <w:t>Positive control, full-length saRNA, and Module II plasmid consistently show the expected size-specific bands.</w:t>
      </w:r>
    </w:p>
    <w:p w14:paraId="324C870E">
      <w:pPr>
        <w:spacing w:before="60" w:after="80" w:line="276" w:lineRule="auto"/>
        <w:ind w:left="360"/>
      </w:pPr>
      <w:r>
        <w:rPr>
          <w:b/>
          <w:color w:val="0066CC"/>
        </w:rPr>
        <w:t xml:space="preserve">Panel C. </w:t>
      </w:r>
      <w:r>
        <w:rPr>
          <w:b/>
          <w:color w:val="1B365D"/>
        </w:rPr>
        <w:t xml:space="preserve">Module III: scFvs and Co-stimulatory Inserts: </w:t>
      </w:r>
      <w:r>
        <w:t>Displays PCR validation of targeting scFv components (scFv-GPC3, scFv-VEGFR2, scFv-CEACAM6) and co-stimulatory ligands/receptors (CD40L, TLR7, and TLR8).</w:t>
      </w:r>
    </w:p>
    <w:p w14:paraId="7894703F">
      <w:pPr>
        <w:spacing w:before="20" w:after="40" w:line="276" w:lineRule="auto"/>
        <w:ind w:left="720"/>
      </w:pPr>
      <w:r>
        <w:rPr>
          <w:b/>
          <w:color w:val="0066CC"/>
        </w:rPr>
        <w:t xml:space="preserve">• </w:t>
      </w:r>
      <w:r>
        <w:t>Expected amplicons range from approximately 264 to 405 bp.</w:t>
      </w:r>
    </w:p>
    <w:p w14:paraId="3453B257">
      <w:pPr>
        <w:spacing w:before="20" w:after="40" w:line="276" w:lineRule="auto"/>
        <w:ind w:left="720"/>
      </w:pPr>
      <w:r>
        <w:rPr>
          <w:b/>
          <w:color w:val="0066CC"/>
        </w:rPr>
        <w:t xml:space="preserve">• </w:t>
      </w:r>
      <w:r>
        <w:t>The anticipated target bands appear distinctly in positive-control, full-length saRNA, and Module III plasmid lanes.</w:t>
      </w:r>
    </w:p>
    <w:p w14:paraId="3E68CDC6">
      <w:pPr>
        <w:spacing w:before="60" w:after="80" w:line="276" w:lineRule="auto"/>
        <w:ind w:left="360"/>
      </w:pPr>
      <w:r>
        <w:rPr>
          <w:b/>
          <w:color w:val="0066CC"/>
        </w:rPr>
        <w:t xml:space="preserve">Panel D. </w:t>
      </w:r>
      <w:r>
        <w:rPr>
          <w:b/>
          <w:color w:val="1B365D"/>
        </w:rPr>
        <w:t xml:space="preserve">Full-Length saRNA Replicon &amp; Size Legend: </w:t>
      </w:r>
      <w:r>
        <w:t>Shows amplification of the full-length ~5.2 kb saRNA replicon construct.</w:t>
      </w:r>
    </w:p>
    <w:p w14:paraId="39370AF5">
      <w:pPr>
        <w:spacing w:before="20" w:after="40" w:line="276" w:lineRule="auto"/>
        <w:ind w:left="720"/>
      </w:pPr>
      <w:r>
        <w:rPr>
          <w:b/>
          <w:color w:val="0066CC"/>
        </w:rPr>
        <w:t xml:space="preserve">• </w:t>
      </w:r>
      <w:r>
        <w:t>Lanes include molecular marker, wild type, Modules I–III, full-length TANSR-Vax, vector control, and NTC.</w:t>
      </w:r>
    </w:p>
    <w:p w14:paraId="4CE1342E">
      <w:pPr>
        <w:spacing w:before="20" w:after="40" w:line="276" w:lineRule="auto"/>
        <w:ind w:left="720"/>
      </w:pPr>
      <w:r>
        <w:rPr>
          <w:b/>
          <w:color w:val="0066CC"/>
        </w:rPr>
        <w:t xml:space="preserve">• </w:t>
      </w:r>
      <w:r>
        <w:t>Full-length constructs display a strong high-molecular-weight band near the ~5.2 kb expected size, while vector and NTC controls remain negative.</w:t>
      </w:r>
    </w:p>
    <w:p w14:paraId="22464274">
      <w:pPr>
        <w:spacing w:before="20" w:after="40" w:line="276" w:lineRule="auto"/>
        <w:ind w:left="720"/>
      </w:pPr>
      <w:r>
        <w:rPr>
          <w:b/>
          <w:color w:val="0066CC"/>
        </w:rPr>
        <w:t xml:space="preserve">• </w:t>
      </w:r>
      <w:r>
        <w:t>A side legend summarizes the expected amplicon sizes across all panels and confirms the full-length saRNA replicon scale.</w:t>
      </w:r>
    </w:p>
    <w:p w14:paraId="6376076B">
      <w:pPr>
        <w:keepNext/>
        <w:pBdr>
          <w:bottom w:val="single" w:color="D0D7DE" w:sz="6" w:space="1"/>
        </w:pBdr>
        <w:spacing w:before="360" w:after="160"/>
      </w:pPr>
      <w:r>
        <w:rPr>
          <w:rFonts w:ascii="Arial" w:hAnsi="Arial"/>
          <w:b/>
          <w:color w:val="1B365D"/>
          <w:sz w:val="28"/>
        </w:rPr>
        <w:t>Lower Section — Blotting Validation</w:t>
      </w:r>
    </w:p>
    <w:p w14:paraId="44F69CBF">
      <w:pPr>
        <w:spacing w:before="60" w:after="80" w:line="276" w:lineRule="auto"/>
        <w:ind w:left="360"/>
      </w:pPr>
      <w:r>
        <w:rPr>
          <w:b/>
          <w:color w:val="0066CC"/>
        </w:rPr>
        <w:t xml:space="preserve">Panel A. </w:t>
      </w:r>
      <w:r>
        <w:rPr>
          <w:b/>
          <w:color w:val="1B365D"/>
        </w:rPr>
        <w:t xml:space="preserve">Module I / Neoantigens Expression: </w:t>
      </w:r>
      <w:r>
        <w:t>Western blot comparing Mock, Module I, and molecular-weight marker lanes. A prominent band appears around 25 kDa, corresponding to the representative neoantigen expression product, with GAPDH at ~37 kDa serving as internal loading control.</w:t>
      </w:r>
    </w:p>
    <w:p w14:paraId="598654EE">
      <w:pPr>
        <w:spacing w:before="60" w:after="80" w:line="276" w:lineRule="auto"/>
        <w:ind w:left="360"/>
      </w:pPr>
      <w:r>
        <w:rPr>
          <w:b/>
          <w:color w:val="0066CC"/>
        </w:rPr>
        <w:t xml:space="preserve">Panel B. </w:t>
      </w:r>
      <w:r>
        <w:rPr>
          <w:b/>
          <w:color w:val="1B365D"/>
        </w:rPr>
        <w:t xml:space="preserve">Module II / Immunomodulatory Proteins: </w:t>
      </w:r>
      <w:r>
        <w:t>Shows Mock, Module II, and molecular-weight marker lanes. Distinct expression bands are visible around 55 kDa and 40 kDa, representing expressed immunomodulatory protein components, normalized against GAPDH loading control.</w:t>
      </w:r>
    </w:p>
    <w:p w14:paraId="47FC16D8">
      <w:pPr>
        <w:spacing w:before="60" w:after="80" w:line="276" w:lineRule="auto"/>
        <w:ind w:left="360"/>
      </w:pPr>
      <w:r>
        <w:rPr>
          <w:b/>
          <w:color w:val="0066CC"/>
        </w:rPr>
        <w:t xml:space="preserve">Panel C. </w:t>
      </w:r>
      <w:r>
        <w:rPr>
          <w:b/>
          <w:color w:val="1B365D"/>
        </w:rPr>
        <w:t xml:space="preserve">Module III / scFvs, CD40L, and TLRs: </w:t>
      </w:r>
      <w:r>
        <w:t>Shows Mock, Module III, and molecular-weight marker lanes. Several module-specific protein bands are distinctly visible at approximately 55 kDa, 25 kDa, and 20 kDa, with GAPDH present as the loading control.</w:t>
      </w:r>
    </w:p>
    <w:p w14:paraId="3C1BB5B2">
      <w:pPr>
        <w:spacing w:before="60" w:after="80" w:line="276" w:lineRule="auto"/>
        <w:ind w:left="360"/>
      </w:pPr>
      <w:r>
        <w:rPr>
          <w:b/>
          <w:color w:val="0066CC"/>
        </w:rPr>
        <w:t xml:space="preserve">Panel D. </w:t>
      </w:r>
      <w:r>
        <w:rPr>
          <w:b/>
          <w:color w:val="1B365D"/>
        </w:rPr>
        <w:t xml:space="preserve">Full-Length saRNA Replicon Expression: </w:t>
      </w:r>
      <w:r>
        <w:t>Presents a high-molecular-weight RNA blot / RNAscope-style validation comparing Mock with full-length TANSR-Vax. A strong, specific signal appears in the TANSR-Vax lane at the expected multi-kilobase size, referenced against a molecular-weight ladder ranging from approximately 1,000 to 6,000 bp.</w:t>
      </w:r>
    </w:p>
    <w:p w14:paraId="15858A8C">
      <w:pPr>
        <w:spacing w:before="160"/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E4B3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0" w:type="dxa"/>
            <w:tcBorders>
              <w:top w:val="nil"/>
              <w:left w:val="single" w:color="0066CC" w:sz="24" w:space="0"/>
              <w:bottom w:val="nil"/>
              <w:right w:val="nil"/>
            </w:tcBorders>
            <w:shd w:val="clear" w:color="auto" w:fill="F8F9F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50F7D61C">
            <w:pPr>
              <w:spacing w:before="0" w:after="80"/>
            </w:pPr>
            <w:r>
              <w:rPr>
                <w:b/>
                <w:color w:val="0066CC"/>
                <w:sz w:val="22"/>
              </w:rPr>
              <w:t>Overall Visual Summary &amp; Scientific Interpretation</w:t>
            </w:r>
          </w:p>
          <w:p w14:paraId="3ADAA270">
            <w:pPr>
              <w:spacing w:before="40" w:after="0" w:line="276" w:lineRule="auto"/>
            </w:pPr>
            <w:r>
              <w:rPr>
                <w:color w:val="222222"/>
                <w:sz w:val="21"/>
              </w:rPr>
              <w:t>Overall, the figure is designed to demonstrate molecular confirmation of the TANSR-Vax construct at both nucleic-acid and protein-expression levels, with PCR verifying individual inserts and the full-length replicon, while blotting demonstrates expression of the engineered modules and provides loading or molecular-size controls.</w:t>
            </w:r>
          </w:p>
        </w:tc>
      </w:tr>
    </w:tbl>
    <w:p w14:paraId="5D5C5021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D4C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Theme="minorEastAsia" w:cstheme="minorBidi"/>
      <w:color w:val="22222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532</Words>
  <Characters>3364</Characters>
  <Lines>0</Lines>
  <Paragraphs>0</Paragraphs>
  <TotalTime>2</TotalTime>
  <ScaleCrop>false</ScaleCrop>
  <LinksUpToDate>false</LinksUpToDate>
  <CharactersWithSpaces>3871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Dell</cp:lastModifiedBy>
  <dcterms:modified xsi:type="dcterms:W3CDTF">2026-09-17T08:59:47Z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eyJoZGlkIjoiZjU3OTk3MzhlNGU1NGQyZmM4Y2ZmMGM4MzBlZTlmMTcifQ==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DAAEA5867F9F4A58846B86AF527D6F49_12</vt:lpwstr>
  </property>
</Properties>
</file>