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B9364">
      <w:pPr>
        <w:spacing w:before="0" w:after="80"/>
      </w:pPr>
      <w:r>
        <w:rPr>
          <w:rFonts w:ascii="Arial" w:hAnsi="Arial"/>
          <w:b/>
          <w:color w:val="1B365D"/>
          <w:sz w:val="44"/>
        </w:rPr>
        <w:t>Molecu</w:t>
      </w:r>
      <w:bookmarkStart w:id="0" w:name="_GoBack"/>
      <w:bookmarkEnd w:id="0"/>
      <w:r>
        <w:rPr>
          <w:rFonts w:ascii="Arial" w:hAnsi="Arial"/>
          <w:b/>
          <w:color w:val="1B365D"/>
          <w:sz w:val="44"/>
        </w:rPr>
        <w:t>lar Dynamics (MD) Additional Analyses</w:t>
      </w:r>
    </w:p>
    <w:p w14:paraId="0EED905D">
      <w:pPr>
        <w:spacing w:before="0" w:after="360"/>
      </w:pPr>
      <w:r>
        <w:rPr>
          <w:rFonts w:ascii="Arial" w:hAnsi="Arial"/>
          <w:i/>
          <w:color w:val="556070"/>
          <w:sz w:val="24"/>
        </w:rPr>
        <w:t>Extended 100 ns Molecular Dynamics Simulation &amp; Interaction Profiling Report</w:t>
      </w: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5CDF4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0" w:type="dxa"/>
            <w:tcBorders>
              <w:top w:val="nil"/>
              <w:left w:val="single" w:color="1B365D" w:sz="24" w:space="0"/>
              <w:bottom w:val="nil"/>
              <w:right w:val="nil"/>
            </w:tcBorders>
            <w:shd w:val="clear" w:color="auto" w:fill="F0F4F8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3C3CF54A">
            <w:pPr>
              <w:spacing w:before="0" w:after="80"/>
            </w:pPr>
            <w:r>
              <w:rPr>
                <w:b/>
                <w:color w:val="1B365D"/>
                <w:sz w:val="22"/>
              </w:rPr>
              <w:t>Executive Summary</w:t>
            </w:r>
          </w:p>
          <w:p w14:paraId="364011C7">
            <w:pPr>
              <w:spacing w:before="40" w:after="0" w:line="276" w:lineRule="auto"/>
            </w:pPr>
            <w:r>
              <w:rPr>
                <w:color w:val="333333"/>
                <w:sz w:val="20"/>
              </w:rPr>
              <w:t>This document presents comprehensive multi-panel scientific analytical results summarizing extended 100 ns molecular-dynamics (MD) simulations for several target protein–peptide complexes. The visual panels evaluate structural stability, conformational dynamics, per-residue energetic contributions, and key molecular interactions over time.</w:t>
            </w:r>
          </w:p>
        </w:tc>
      </w:tr>
    </w:tbl>
    <w:p w14:paraId="7FE42CA1">
      <w:pPr>
        <w:keepNext/>
        <w:pBdr>
          <w:bottom w:val="single" w:color="D0D7DE" w:sz="6" w:space="1"/>
        </w:pBdr>
        <w:spacing w:before="360" w:after="160"/>
        <w:rPr>
          <w:rFonts w:hint="default" w:ascii="Arial" w:hAnsi="Arial"/>
          <w:b/>
          <w:color w:val="1B365D"/>
          <w:sz w:val="28"/>
          <w:lang w:val="en-US"/>
        </w:rPr>
      </w:pPr>
      <w:r>
        <w:rPr>
          <w:rFonts w:hint="default" w:ascii="Arial" w:hAnsi="Arial"/>
          <w:b/>
          <w:color w:val="1B365D"/>
          <w:sz w:val="28"/>
          <w:lang w:val="en-US"/>
        </w:rPr>
        <w:drawing>
          <wp:inline distT="0" distB="0" distL="114300" distR="114300">
            <wp:extent cx="5943600" cy="3965575"/>
            <wp:effectExtent l="0" t="0" r="0" b="15875"/>
            <wp:docPr id="1" name="Picture 1" descr="4d2f733a2481badeb5acdc39c05627b14b3ee44afaf9bd8dfcddf1e936b25d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4d2f733a2481badeb5acdc39c05627b14b3ee44afaf9bd8dfcddf1e936b25dc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67C66">
      <w:pPr>
        <w:keepNext/>
        <w:pBdr>
          <w:bottom w:val="single" w:color="D0D7DE" w:sz="6" w:space="1"/>
        </w:pBdr>
        <w:spacing w:before="360" w:after="160"/>
      </w:pPr>
      <w:r>
        <w:rPr>
          <w:rFonts w:ascii="Arial" w:hAnsi="Arial"/>
          <w:b/>
          <w:color w:val="1B365D"/>
          <w:sz w:val="28"/>
        </w:rPr>
        <w:t>Figure MD-1 — Global Stability and Conformational Sampling</w:t>
      </w:r>
    </w:p>
    <w:p w14:paraId="38635EED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A. </w:t>
      </w:r>
      <w:r>
        <w:rPr>
          <w:b/>
          <w:color w:val="1B365D"/>
        </w:rPr>
        <w:t xml:space="preserve">Radius of Gyration (Rg): </w:t>
      </w:r>
      <w:r>
        <w:rPr>
          <w:color w:val="333333"/>
        </w:rPr>
        <w:t>Shows compactness and structural stability of PD-1, PD-L1, IDO1, TGF-βRI, and CXCL10 complexes over the 100 ns simulation trajectory.</w:t>
      </w:r>
    </w:p>
    <w:p w14:paraId="499253A7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B. </w:t>
      </w:r>
      <w:r>
        <w:rPr>
          <w:b/>
          <w:color w:val="1B365D"/>
        </w:rPr>
        <w:t xml:space="preserve">Solvent-Accessible Surface Area (SASA): </w:t>
      </w:r>
      <w:r>
        <w:rPr>
          <w:color w:val="333333"/>
        </w:rPr>
        <w:t>Displays solvent-accessible surface area fluctuations and exposure trends across all five target complexes.</w:t>
      </w:r>
    </w:p>
    <w:p w14:paraId="0C6C5C2F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C. </w:t>
      </w:r>
      <w:r>
        <w:rPr>
          <w:b/>
          <w:color w:val="1B365D"/>
        </w:rPr>
        <w:t xml:space="preserve">Intermolecular Hydrogen Bonds: </w:t>
      </w:r>
      <w:r>
        <w:rPr>
          <w:color w:val="333333"/>
        </w:rPr>
        <w:t>Tracks the continuous total count and stability of intermolecular hydrogen bonds maintained throughout the 100 ns simulations.</w:t>
      </w:r>
    </w:p>
    <w:p w14:paraId="42D2F2B0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D. </w:t>
      </w:r>
      <w:r>
        <w:rPr>
          <w:b/>
          <w:color w:val="1B365D"/>
        </w:rPr>
        <w:t xml:space="preserve">Principal Component Analysis (PCA): </w:t>
      </w:r>
      <w:r>
        <w:rPr>
          <w:color w:val="333333"/>
        </w:rPr>
        <w:t>Separates and maps the global conformational ensembles of the five complexes into distinct, well-defined structural clusters.</w:t>
      </w:r>
    </w:p>
    <w:p w14:paraId="6F66F6AD">
      <w:pPr>
        <w:keepNext/>
        <w:pBdr>
          <w:bottom w:val="single" w:color="D0D7DE" w:sz="6" w:space="1"/>
        </w:pBdr>
        <w:spacing w:before="360" w:after="160"/>
      </w:pPr>
      <w:r>
        <w:rPr>
          <w:rFonts w:ascii="Arial" w:hAnsi="Arial"/>
          <w:b/>
          <w:color w:val="1B365D"/>
          <w:sz w:val="28"/>
        </w:rPr>
        <w:t>Figure MD-2 — Detailed Energetics, Dynamics, and Conformational Landscape</w:t>
      </w:r>
    </w:p>
    <w:p w14:paraId="5A426B56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E. </w:t>
      </w:r>
      <w:r>
        <w:rPr>
          <w:b/>
          <w:color w:val="1B365D"/>
        </w:rPr>
        <w:t xml:space="preserve">Per-Residue MM-GBSA Energy Decomposition: </w:t>
      </w:r>
      <w:r>
        <w:rPr>
          <w:color w:val="333333"/>
        </w:rPr>
        <w:t>Identifies key amino acid residues making favorable or unfavorable energetic contributions to binding, specifically highlighting critical hotspot residues Arg45, Tyr68, Gln75, Met99, Leu128, and Phe129.</w:t>
      </w:r>
    </w:p>
    <w:p w14:paraId="1122545D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F. </w:t>
      </w:r>
      <w:r>
        <w:rPr>
          <w:b/>
          <w:color w:val="1B365D"/>
        </w:rPr>
        <w:t xml:space="preserve">Key-Residue Interatomic Distances: </w:t>
      </w:r>
      <w:r>
        <w:rPr>
          <w:color w:val="333333"/>
        </w:rPr>
        <w:t>Tracks center-of-mass and specific interatomic distances between critical receptor interaction sites and peptide residues over the 100 ns time course.</w:t>
      </w:r>
    </w:p>
    <w:p w14:paraId="5FFD1DF8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G. </w:t>
      </w:r>
      <w:r>
        <w:rPr>
          <w:b/>
          <w:color w:val="1B365D"/>
        </w:rPr>
        <w:t xml:space="preserve">Secondary Structure Dynamics: </w:t>
      </w:r>
      <w:r>
        <w:rPr>
          <w:color w:val="333333"/>
        </w:rPr>
        <w:t>Illustrates the temporal evolution and stability distribution of α-helices, β-sheets, turns, and flexible coil regions across the protein backbone.</w:t>
      </w:r>
    </w:p>
    <w:p w14:paraId="0E88A34D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H. </w:t>
      </w:r>
      <w:r>
        <w:rPr>
          <w:b/>
          <w:color w:val="1B365D"/>
        </w:rPr>
        <w:t xml:space="preserve">Free-Energy Landscape (FEL): </w:t>
      </w:r>
      <w:r>
        <w:rPr>
          <w:color w:val="333333"/>
        </w:rPr>
        <w:t>Maps major conformational energy basins along principal component coordinates, successfully identifying three distinct representative low-energy minimum states.</w:t>
      </w:r>
    </w:p>
    <w:p w14:paraId="04E824DE">
      <w:pPr>
        <w:keepNext/>
        <w:pBdr>
          <w:bottom w:val="single" w:color="D0D7DE" w:sz="6" w:space="1"/>
        </w:pBdr>
        <w:spacing w:before="360" w:after="160"/>
      </w:pPr>
      <w:r>
        <w:rPr>
          <w:rFonts w:ascii="Arial" w:hAnsi="Arial"/>
          <w:b/>
          <w:color w:val="1B365D"/>
          <w:sz w:val="28"/>
        </w:rPr>
        <w:t>Figure MD-3 — Representative Structures and Interaction Analysis</w:t>
      </w:r>
    </w:p>
    <w:p w14:paraId="7A08AF70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I. </w:t>
      </w:r>
      <w:r>
        <w:rPr>
          <w:b/>
          <w:color w:val="1B365D"/>
        </w:rPr>
        <w:t xml:space="preserve">Representative MD Snapshots: </w:t>
      </w:r>
      <w:r>
        <w:rPr>
          <w:color w:val="333333"/>
        </w:rPr>
        <w:t>Displays conformational structural overlays of the PD-1–peptide complex at 0 ns, 25 ns, 50 ns, 75 ns, and 100 ns, demonstrating high preservation of the initial binding mode.</w:t>
      </w:r>
    </w:p>
    <w:p w14:paraId="563DD475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J. </w:t>
      </w:r>
      <w:r>
        <w:rPr>
          <w:b/>
          <w:color w:val="1B365D"/>
        </w:rPr>
        <w:t xml:space="preserve">Interaction Persistence Heatmap: </w:t>
      </w:r>
      <w:r>
        <w:rPr>
          <w:color w:val="333333"/>
        </w:rPr>
        <w:t>Quantitative heatmap showing contact occupancy percentages and persistence of molecular interactions between key receptor residues and peptide residues.</w:t>
      </w:r>
    </w:p>
    <w:p w14:paraId="3350C13B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K. </w:t>
      </w:r>
      <w:r>
        <w:rPr>
          <w:b/>
          <w:color w:val="1B365D"/>
        </w:rPr>
        <w:t xml:space="preserve">Key Hydrogen Bond Close-Up: </w:t>
      </w:r>
      <w:r>
        <w:rPr>
          <w:color w:val="333333"/>
        </w:rPr>
        <w:t>Structural close-up highlighting the specific hydrogen bonding contact between Arg45 and Phe1, maintaining a stable bond distance of approximately 2.9 Å.</w:t>
      </w:r>
    </w:p>
    <w:p w14:paraId="1E4D1E1E">
      <w:pPr>
        <w:spacing w:before="60" w:after="120" w:line="276" w:lineRule="auto"/>
        <w:ind w:left="360"/>
      </w:pPr>
      <w:r>
        <w:rPr>
          <w:b/>
          <w:color w:val="0066CC"/>
        </w:rPr>
        <w:t xml:space="preserve">Panel L. </w:t>
      </w:r>
      <w:r>
        <w:rPr>
          <w:b/>
          <w:color w:val="1B365D"/>
        </w:rPr>
        <w:t xml:space="preserve">Hydrophobic Interaction Close-Up: </w:t>
      </w:r>
      <w:r>
        <w:rPr>
          <w:color w:val="333333"/>
        </w:rPr>
        <w:t>Structural close-up detailing hydrophobic contact packing between Leu128 and Phe1, maintaining an average interaction distance of approximately 3.6 Å.</w:t>
      </w:r>
    </w:p>
    <w:p w14:paraId="1758FE4A">
      <w:pPr>
        <w:spacing w:before="160"/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 w14:paraId="1042A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60" w:type="dxa"/>
            <w:tcBorders>
              <w:top w:val="nil"/>
              <w:left w:val="single" w:color="0066CC" w:sz="24" w:space="0"/>
              <w:bottom w:val="nil"/>
              <w:right w:val="nil"/>
            </w:tcBorders>
            <w:shd w:val="clear" w:color="auto" w:fill="F8F9FA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15F9027C">
            <w:pPr>
              <w:spacing w:before="0" w:after="80"/>
            </w:pPr>
            <w:r>
              <w:rPr>
                <w:b/>
                <w:color w:val="0066CC"/>
                <w:sz w:val="22"/>
              </w:rPr>
              <w:t>Overall Visual Summary &amp; Scientific Interpretation</w:t>
            </w:r>
          </w:p>
          <w:p w14:paraId="6D567383">
            <w:pPr>
              <w:spacing w:before="40" w:after="0" w:line="276" w:lineRule="auto"/>
            </w:pPr>
            <w:r>
              <w:rPr>
                <w:color w:val="222222"/>
                <w:sz w:val="21"/>
              </w:rPr>
              <w:t>Overall, the multi-panel figures visually support the interpretation that the simulated protein–peptide complexes remain structurally stable, maintain persistent receptor–peptide interactions, and occupy well-defined conformational energy states throughout the 100 ns molecular dynamics simulations.</w:t>
            </w:r>
          </w:p>
        </w:tc>
      </w:tr>
    </w:tbl>
    <w:p w14:paraId="1FB4A996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6C2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eastAsiaTheme="minorEastAsia" w:cstheme="minorBidi"/>
      <w:color w:val="222222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qFormat/>
    <w:uiPriority w:val="99"/>
  </w:style>
  <w:style w:type="character" w:customStyle="1" w:styleId="136">
    <w:name w:val="Footer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qFormat/>
    <w:uiPriority w:val="99"/>
  </w:style>
  <w:style w:type="character" w:customStyle="1" w:styleId="145">
    <w:name w:val="Body Text 2 Char"/>
    <w:basedOn w:val="11"/>
    <w:link w:val="14"/>
    <w:qFormat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415</Words>
  <Characters>2906</Characters>
  <Lines>0</Lines>
  <Paragraphs>0</Paragraphs>
  <TotalTime>1</TotalTime>
  <ScaleCrop>false</ScaleCrop>
  <LinksUpToDate>false</LinksUpToDate>
  <CharactersWithSpaces>3300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Dell</cp:lastModifiedBy>
  <dcterms:modified xsi:type="dcterms:W3CDTF">2026-09-17T08:56:28Z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eyJoZGlkIjoiZjU3OTk3MzhlNGU1NGQyZmM4Y2ZmMGM4MzBlZTlmMTcifQ==</vt:lpwstr>
  </property>
  <property fmtid="{D5CDD505-2E9C-101B-9397-08002B2CF9AE}" pid="3" name="KSOProductBuildVer">
    <vt:lpwstr>1033-12.1.0.28032</vt:lpwstr>
  </property>
  <property fmtid="{D5CDD505-2E9C-101B-9397-08002B2CF9AE}" pid="4" name="ICV">
    <vt:lpwstr>69D790EED82548378D68AEC5C6493623_12</vt:lpwstr>
  </property>
</Properties>
</file>