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96C36" w14:textId="35099663" w:rsidR="008A42AC" w:rsidRPr="004A1533" w:rsidRDefault="00537B08">
      <w:pPr>
        <w:rPr>
          <w:rFonts w:ascii="Arial" w:hAnsi="Arial" w:cs="Arial"/>
          <w:b/>
          <w:bCs/>
          <w:sz w:val="40"/>
          <w:szCs w:val="40"/>
        </w:rPr>
      </w:pPr>
      <w:r w:rsidRPr="004A1533">
        <w:rPr>
          <w:rFonts w:ascii="Arial" w:hAnsi="Arial" w:cs="Arial"/>
          <w:b/>
          <w:bCs/>
          <w:sz w:val="40"/>
          <w:szCs w:val="40"/>
        </w:rPr>
        <w:t>Additional file 1:</w:t>
      </w:r>
    </w:p>
    <w:p w14:paraId="7DF4A662" w14:textId="77777777" w:rsidR="00537B08" w:rsidRPr="004A1533" w:rsidRDefault="00537B08">
      <w:pPr>
        <w:rPr>
          <w:rFonts w:ascii="Arial" w:hAnsi="Arial" w:cs="Arial"/>
          <w:b/>
          <w:bCs/>
          <w:u w:val="single"/>
        </w:rPr>
      </w:pPr>
    </w:p>
    <w:p w14:paraId="30DBB8FC" w14:textId="3C4F337E" w:rsidR="00897698" w:rsidRPr="004A1533" w:rsidRDefault="00897698">
      <w:pPr>
        <w:rPr>
          <w:rFonts w:ascii="Arial" w:hAnsi="Arial" w:cs="Arial"/>
          <w:b/>
          <w:bCs/>
        </w:rPr>
      </w:pPr>
    </w:p>
    <w:p w14:paraId="3487EA18" w14:textId="70E59EE0" w:rsidR="00950A59" w:rsidRPr="004A1533" w:rsidRDefault="00897698">
      <w:pPr>
        <w:rPr>
          <w:rFonts w:ascii="Arial" w:hAnsi="Arial" w:cs="Arial"/>
          <w:b/>
          <w:bCs/>
          <w:sz w:val="32"/>
          <w:szCs w:val="32"/>
          <w:u w:val="single"/>
        </w:rPr>
      </w:pPr>
      <w:r w:rsidRPr="004A1533">
        <w:rPr>
          <w:rFonts w:ascii="Arial" w:hAnsi="Arial" w:cs="Arial"/>
          <w:b/>
          <w:bCs/>
          <w:sz w:val="32"/>
          <w:szCs w:val="32"/>
        </w:rPr>
        <w:t>Supplementary Information</w:t>
      </w:r>
    </w:p>
    <w:p w14:paraId="0A670752" w14:textId="33B5D172" w:rsidR="00950A59" w:rsidRDefault="004A1533" w:rsidP="004A1533">
      <w:pPr>
        <w:rPr>
          <w:rFonts w:ascii="Arial" w:hAnsi="Arial" w:cs="Arial"/>
          <w:b/>
          <w:bCs/>
        </w:rPr>
      </w:pPr>
      <w:r w:rsidRPr="004A1533">
        <w:rPr>
          <w:rFonts w:ascii="Arial" w:hAnsi="Arial" w:cs="Arial"/>
          <w:b/>
          <w:bCs/>
        </w:rPr>
        <w:t>Long-term seismic background level variations are consistent with volcanic activity at Kusatsu-Shirane volcano, Japan</w:t>
      </w:r>
    </w:p>
    <w:p w14:paraId="119A0DB5" w14:textId="4E00F157" w:rsidR="004A1533" w:rsidRPr="00FB7B37" w:rsidRDefault="00E305FE" w:rsidP="004A1533">
      <w:pPr>
        <w:rPr>
          <w:rFonts w:ascii="Arial" w:hAnsi="Arial" w:cs="Arial"/>
        </w:rPr>
      </w:pPr>
      <w:r w:rsidRPr="00FB7B37">
        <w:rPr>
          <w:rFonts w:ascii="Arial" w:hAnsi="Arial" w:cs="Arial" w:hint="eastAsia"/>
        </w:rPr>
        <w:t>Kobayashi T., Ichihara M., Terada A., Nogami K., and Yukutake Y.</w:t>
      </w:r>
    </w:p>
    <w:p w14:paraId="1AB1C26F" w14:textId="71AD548F" w:rsidR="00950A59" w:rsidRPr="00B7608A" w:rsidRDefault="00B7608A">
      <w:pPr>
        <w:rPr>
          <w:rFonts w:ascii="Arial" w:hAnsi="Arial" w:cs="Arial"/>
        </w:rPr>
      </w:pPr>
      <w:r w:rsidRPr="00B7608A">
        <w:rPr>
          <w:rFonts w:ascii="Arial" w:hAnsi="Arial" w:cs="Arial" w:hint="eastAsia"/>
        </w:rPr>
        <w:t>Earth</w:t>
      </w:r>
      <w:r>
        <w:rPr>
          <w:rFonts w:ascii="Arial" w:hAnsi="Arial" w:cs="Arial" w:hint="eastAsia"/>
        </w:rPr>
        <w:t>, Planets and Space</w:t>
      </w:r>
    </w:p>
    <w:p w14:paraId="3F0EBF37" w14:textId="77777777" w:rsidR="00950A59" w:rsidRPr="00A170B7" w:rsidRDefault="00950A59">
      <w:pPr>
        <w:rPr>
          <w:rFonts w:ascii="Arial" w:hAnsi="Arial" w:cs="Arial"/>
          <w:u w:val="single"/>
        </w:rPr>
      </w:pPr>
    </w:p>
    <w:p w14:paraId="78276F5B" w14:textId="77777777" w:rsidR="00950A59" w:rsidRDefault="00950A59">
      <w:pPr>
        <w:rPr>
          <w:rFonts w:ascii="Arial" w:hAnsi="Arial" w:cs="Arial"/>
          <w:u w:val="single"/>
        </w:rPr>
      </w:pPr>
    </w:p>
    <w:p w14:paraId="1A09EBCF" w14:textId="17BB93FA" w:rsidR="006D3CBD" w:rsidRDefault="008278C0">
      <w:pPr>
        <w:rPr>
          <w:rFonts w:ascii="Arial" w:hAnsi="Arial" w:cs="Arial"/>
          <w:u w:val="single"/>
        </w:rPr>
      </w:pPr>
      <w:r>
        <w:rPr>
          <w:rFonts w:ascii="Arial" w:hAnsi="Arial" w:cs="Arial" w:hint="eastAsia"/>
          <w:u w:val="single"/>
        </w:rPr>
        <w:t>C</w:t>
      </w:r>
      <w:r w:rsidR="006D3CBD">
        <w:rPr>
          <w:rFonts w:ascii="Arial" w:hAnsi="Arial" w:cs="Arial" w:hint="eastAsia"/>
          <w:u w:val="single"/>
        </w:rPr>
        <w:t>ontents</w:t>
      </w:r>
      <w:r>
        <w:rPr>
          <w:rFonts w:ascii="Arial" w:hAnsi="Arial" w:cs="Arial" w:hint="eastAsia"/>
          <w:u w:val="single"/>
        </w:rPr>
        <w:t>:</w:t>
      </w:r>
    </w:p>
    <w:p w14:paraId="56AA1204" w14:textId="7A7C6797" w:rsidR="006D3CBD" w:rsidRPr="00A17D32" w:rsidRDefault="00197468" w:rsidP="004E7D56">
      <w:pPr>
        <w:pStyle w:val="a9"/>
        <w:ind w:left="0"/>
        <w:rPr>
          <w:rFonts w:ascii="Arial" w:hAnsi="Arial" w:cs="Arial"/>
        </w:rPr>
      </w:pPr>
      <w:r>
        <w:rPr>
          <w:rFonts w:ascii="Arial" w:hAnsi="Arial" w:cs="Arial" w:hint="eastAsia"/>
        </w:rPr>
        <w:t>S1</w:t>
      </w:r>
      <w:r w:rsidR="004D1135">
        <w:rPr>
          <w:rFonts w:ascii="Arial" w:hAnsi="Arial" w:cs="Arial" w:hint="eastAsia"/>
        </w:rPr>
        <w:t>.</w:t>
      </w:r>
      <w:r>
        <w:rPr>
          <w:rFonts w:ascii="Arial" w:hAnsi="Arial" w:cs="Arial" w:hint="eastAsia"/>
        </w:rPr>
        <w:t xml:space="preserve"> </w:t>
      </w:r>
      <w:r w:rsidR="006D6987" w:rsidRPr="00A17D32">
        <w:rPr>
          <w:rFonts w:ascii="Arial" w:hAnsi="Arial" w:cs="Arial"/>
        </w:rPr>
        <w:t>Sensitivity analysis of SBL to percentile selection</w:t>
      </w:r>
    </w:p>
    <w:p w14:paraId="10AC9901" w14:textId="70C68B08" w:rsidR="006D3CBD" w:rsidRPr="00A17D32" w:rsidRDefault="00197468" w:rsidP="004E7D56">
      <w:pPr>
        <w:pStyle w:val="a9"/>
        <w:ind w:left="0"/>
        <w:rPr>
          <w:rFonts w:ascii="Arial" w:hAnsi="Arial" w:cs="Arial"/>
        </w:rPr>
      </w:pPr>
      <w:r>
        <w:rPr>
          <w:rFonts w:ascii="Arial" w:hAnsi="Arial" w:cs="Arial" w:hint="eastAsia"/>
        </w:rPr>
        <w:t>S2</w:t>
      </w:r>
      <w:r w:rsidR="004D1135">
        <w:rPr>
          <w:rFonts w:ascii="Arial" w:hAnsi="Arial" w:cs="Arial" w:hint="eastAsia"/>
        </w:rPr>
        <w:t>.</w:t>
      </w:r>
      <w:r>
        <w:rPr>
          <w:rFonts w:ascii="Arial" w:hAnsi="Arial" w:cs="Arial" w:hint="eastAsia"/>
        </w:rPr>
        <w:t xml:space="preserve"> </w:t>
      </w:r>
      <w:r w:rsidR="006D6987" w:rsidRPr="00A17D32">
        <w:rPr>
          <w:rFonts w:ascii="Arial" w:hAnsi="Arial" w:cs="Arial"/>
        </w:rPr>
        <w:t>Sensitivity analysis of SBL to selection of seismometer components</w:t>
      </w:r>
    </w:p>
    <w:p w14:paraId="05BD1ACB" w14:textId="55C9E027" w:rsidR="006D3CBD" w:rsidRPr="00A17D32" w:rsidRDefault="00197468" w:rsidP="004E7D56">
      <w:pPr>
        <w:pStyle w:val="a9"/>
        <w:ind w:left="0"/>
        <w:rPr>
          <w:rFonts w:ascii="Arial" w:hAnsi="Arial" w:cs="Arial"/>
        </w:rPr>
      </w:pPr>
      <w:r>
        <w:rPr>
          <w:rFonts w:ascii="Arial" w:hAnsi="Arial" w:cs="Arial" w:hint="eastAsia"/>
        </w:rPr>
        <w:t>S3</w:t>
      </w:r>
      <w:r w:rsidR="004D1135">
        <w:rPr>
          <w:rFonts w:ascii="Arial" w:hAnsi="Arial" w:cs="Arial" w:hint="eastAsia"/>
        </w:rPr>
        <w:t>.</w:t>
      </w:r>
      <w:r>
        <w:rPr>
          <w:rFonts w:ascii="Arial" w:hAnsi="Arial" w:cs="Arial" w:hint="eastAsia"/>
        </w:rPr>
        <w:t xml:space="preserve"> </w:t>
      </w:r>
      <w:r w:rsidR="006D6987" w:rsidRPr="00A17D32">
        <w:rPr>
          <w:rFonts w:ascii="Arial" w:hAnsi="Arial" w:cs="Arial"/>
        </w:rPr>
        <w:t>Sensitivity of SBL and SBL ratio to the lower frequency bound</w:t>
      </w:r>
    </w:p>
    <w:p w14:paraId="658BF7CA" w14:textId="157485C6" w:rsidR="006D3CBD" w:rsidRPr="00A17D32" w:rsidRDefault="00197468" w:rsidP="004E7D56">
      <w:pPr>
        <w:pStyle w:val="a9"/>
        <w:ind w:left="0"/>
        <w:rPr>
          <w:rFonts w:ascii="Arial" w:hAnsi="Arial" w:cs="Arial"/>
        </w:rPr>
      </w:pPr>
      <w:r>
        <w:rPr>
          <w:rFonts w:ascii="Arial" w:hAnsi="Arial" w:cs="Arial" w:hint="eastAsia"/>
        </w:rPr>
        <w:t>S4</w:t>
      </w:r>
      <w:r w:rsidR="004D1135">
        <w:rPr>
          <w:rFonts w:ascii="Arial" w:hAnsi="Arial" w:cs="Arial" w:hint="eastAsia"/>
        </w:rPr>
        <w:t>.</w:t>
      </w:r>
      <w:r>
        <w:rPr>
          <w:rFonts w:ascii="Arial" w:hAnsi="Arial" w:cs="Arial" w:hint="eastAsia"/>
        </w:rPr>
        <w:t xml:space="preserve"> </w:t>
      </w:r>
      <w:r w:rsidR="006D6987" w:rsidRPr="00A17D32">
        <w:rPr>
          <w:rFonts w:ascii="Arial" w:hAnsi="Arial" w:cs="Arial"/>
        </w:rPr>
        <w:t>Sensitivity of SBL and SBL ratio to reference period</w:t>
      </w:r>
    </w:p>
    <w:p w14:paraId="3BC7354A" w14:textId="55C856E7" w:rsidR="006D3CBD" w:rsidRPr="00A17D32" w:rsidRDefault="00197468" w:rsidP="004E7D56">
      <w:pPr>
        <w:pStyle w:val="a9"/>
        <w:ind w:left="0"/>
        <w:rPr>
          <w:rFonts w:ascii="Arial" w:hAnsi="Arial" w:cs="Arial"/>
        </w:rPr>
      </w:pPr>
      <w:r>
        <w:rPr>
          <w:rFonts w:ascii="Arial" w:hAnsi="Arial" w:cs="Arial" w:hint="eastAsia"/>
        </w:rPr>
        <w:t>S5</w:t>
      </w:r>
      <w:r w:rsidR="004D1135">
        <w:rPr>
          <w:rFonts w:ascii="Arial" w:hAnsi="Arial" w:cs="Arial" w:hint="eastAsia"/>
        </w:rPr>
        <w:t>.</w:t>
      </w:r>
      <w:r>
        <w:rPr>
          <w:rFonts w:ascii="Arial" w:hAnsi="Arial" w:cs="Arial" w:hint="eastAsia"/>
        </w:rPr>
        <w:t xml:space="preserve"> </w:t>
      </w:r>
      <w:r w:rsidR="006D6987" w:rsidRPr="00A17D32">
        <w:rPr>
          <w:rFonts w:ascii="Arial" w:hAnsi="Arial" w:cs="Arial"/>
        </w:rPr>
        <w:t>Evaluation of linear trends in SBL variations for each period</w:t>
      </w:r>
    </w:p>
    <w:p w14:paraId="0DDECE0E" w14:textId="743C6C9B" w:rsidR="006D3CBD" w:rsidRPr="00A17D32" w:rsidRDefault="00197468" w:rsidP="004E7D56">
      <w:pPr>
        <w:pStyle w:val="a9"/>
        <w:ind w:left="0"/>
        <w:rPr>
          <w:rFonts w:ascii="Arial" w:hAnsi="Arial" w:cs="Arial"/>
        </w:rPr>
      </w:pPr>
      <w:r>
        <w:rPr>
          <w:rFonts w:ascii="Arial" w:hAnsi="Arial" w:cs="Arial" w:hint="eastAsia"/>
        </w:rPr>
        <w:t>S6</w:t>
      </w:r>
      <w:r w:rsidR="004D1135">
        <w:rPr>
          <w:rFonts w:ascii="Arial" w:hAnsi="Arial" w:cs="Arial" w:hint="eastAsia"/>
        </w:rPr>
        <w:t>.</w:t>
      </w:r>
      <w:r>
        <w:rPr>
          <w:rFonts w:ascii="Arial" w:hAnsi="Arial" w:cs="Arial" w:hint="eastAsia"/>
        </w:rPr>
        <w:t xml:space="preserve"> </w:t>
      </w:r>
      <w:r w:rsidR="00381918" w:rsidRPr="00A17D32">
        <w:rPr>
          <w:rFonts w:ascii="Arial" w:hAnsi="Arial" w:cs="Arial"/>
        </w:rPr>
        <w:t>Ground deformation by volcanic activity of Kusatsu-Shirane, Yugama area</w:t>
      </w:r>
    </w:p>
    <w:p w14:paraId="286DA881" w14:textId="3D4E7372" w:rsidR="00381918" w:rsidRPr="00A17D32" w:rsidRDefault="00197468" w:rsidP="004E7D56">
      <w:pPr>
        <w:pStyle w:val="a9"/>
        <w:ind w:left="0"/>
        <w:rPr>
          <w:rFonts w:ascii="Arial" w:hAnsi="Arial" w:cs="Arial"/>
        </w:rPr>
      </w:pPr>
      <w:r>
        <w:rPr>
          <w:rFonts w:ascii="Arial" w:hAnsi="Arial" w:cs="Arial" w:hint="eastAsia"/>
        </w:rPr>
        <w:t>S7</w:t>
      </w:r>
      <w:r w:rsidR="004D1135">
        <w:rPr>
          <w:rFonts w:ascii="Arial" w:hAnsi="Arial" w:cs="Arial" w:hint="eastAsia"/>
        </w:rPr>
        <w:t>.</w:t>
      </w:r>
      <w:r>
        <w:rPr>
          <w:rFonts w:ascii="Arial" w:hAnsi="Arial" w:cs="Arial" w:hint="eastAsia"/>
        </w:rPr>
        <w:t xml:space="preserve"> </w:t>
      </w:r>
      <w:r w:rsidR="00381918" w:rsidRPr="00A17D32">
        <w:rPr>
          <w:rFonts w:ascii="Arial" w:hAnsi="Arial" w:cs="Arial"/>
        </w:rPr>
        <w:t>Polarization analysis of SBL vibrations</w:t>
      </w:r>
    </w:p>
    <w:p w14:paraId="470F01B6" w14:textId="77777777" w:rsidR="00381918" w:rsidRDefault="00381918">
      <w:pPr>
        <w:rPr>
          <w:rFonts w:ascii="Arial" w:hAnsi="Arial" w:cs="Arial"/>
          <w:u w:val="single"/>
        </w:rPr>
      </w:pPr>
    </w:p>
    <w:p w14:paraId="09CFA118" w14:textId="49E8AC13" w:rsidR="00381918" w:rsidRDefault="00381918">
      <w:pPr>
        <w:rPr>
          <w:rFonts w:ascii="Arial" w:hAnsi="Arial" w:cs="Arial"/>
          <w:u w:val="single"/>
        </w:rPr>
      </w:pPr>
    </w:p>
    <w:p w14:paraId="79E500EB" w14:textId="3580C8E2" w:rsidR="00381918" w:rsidRPr="00A170B7" w:rsidRDefault="00381918">
      <w:pPr>
        <w:rPr>
          <w:rFonts w:ascii="Arial" w:hAnsi="Arial" w:cs="Arial"/>
          <w:u w:val="single"/>
        </w:rPr>
      </w:pPr>
    </w:p>
    <w:p w14:paraId="2D74B35D" w14:textId="77777777" w:rsidR="00950A59" w:rsidRPr="00950A59" w:rsidRDefault="00950A59">
      <w:pPr>
        <w:widowControl/>
        <w:rPr>
          <w:rFonts w:ascii="Arial" w:hAnsi="Arial" w:cs="Arial"/>
          <w:b/>
          <w:bCs/>
          <w:sz w:val="24"/>
        </w:rPr>
      </w:pPr>
      <w:r w:rsidRPr="00950A59">
        <w:rPr>
          <w:rFonts w:ascii="Arial" w:hAnsi="Arial" w:cs="Arial"/>
          <w:b/>
          <w:bCs/>
          <w:sz w:val="24"/>
        </w:rPr>
        <w:br w:type="page"/>
      </w:r>
    </w:p>
    <w:p w14:paraId="6BFEDAD9" w14:textId="33BFDBF2" w:rsidR="00950A59" w:rsidRPr="00950A59" w:rsidRDefault="00C12FBD" w:rsidP="00950A59">
      <w:pPr>
        <w:rPr>
          <w:rFonts w:ascii="Arial" w:hAnsi="Arial" w:cs="Arial"/>
          <w:b/>
          <w:bCs/>
          <w:sz w:val="24"/>
          <w:u w:val="single"/>
        </w:rPr>
      </w:pPr>
      <w:r>
        <w:rPr>
          <w:rFonts w:ascii="Arial" w:hAnsi="Arial" w:cs="Arial" w:hint="eastAsia"/>
          <w:b/>
          <w:bCs/>
          <w:sz w:val="24"/>
          <w:u w:val="single"/>
        </w:rPr>
        <w:lastRenderedPageBreak/>
        <w:t>S1</w:t>
      </w:r>
      <w:r w:rsidR="004D1135">
        <w:rPr>
          <w:rFonts w:ascii="Arial" w:hAnsi="Arial" w:cs="Arial" w:hint="eastAsia"/>
          <w:b/>
          <w:bCs/>
          <w:sz w:val="24"/>
          <w:u w:val="single"/>
        </w:rPr>
        <w:t>.</w:t>
      </w:r>
      <w:r>
        <w:rPr>
          <w:rFonts w:ascii="Arial" w:hAnsi="Arial" w:cs="Arial" w:hint="eastAsia"/>
          <w:b/>
          <w:bCs/>
          <w:sz w:val="24"/>
          <w:u w:val="single"/>
        </w:rPr>
        <w:t xml:space="preserve"> </w:t>
      </w:r>
      <w:r w:rsidR="00950A59" w:rsidRPr="00950A59">
        <w:rPr>
          <w:rFonts w:ascii="Arial" w:hAnsi="Arial" w:cs="Arial"/>
          <w:b/>
          <w:bCs/>
          <w:sz w:val="24"/>
          <w:u w:val="single"/>
        </w:rPr>
        <w:t>Sensitivity analysis of SBL to percentile selection</w:t>
      </w:r>
    </w:p>
    <w:p w14:paraId="2B1EB8E9" w14:textId="77777777" w:rsidR="00950A59" w:rsidRPr="00950A59" w:rsidRDefault="00950A59" w:rsidP="00950A59">
      <w:pPr>
        <w:rPr>
          <w:rFonts w:ascii="Arial" w:hAnsi="Arial" w:cs="Arial"/>
        </w:rPr>
      </w:pPr>
    </w:p>
    <w:p w14:paraId="54A882B5" w14:textId="0E834058" w:rsidR="00950A59" w:rsidRDefault="00950A59" w:rsidP="00950A59">
      <w:pPr>
        <w:rPr>
          <w:rFonts w:ascii="Arial" w:hAnsi="Arial" w:cs="Arial"/>
        </w:rPr>
      </w:pPr>
      <w:r w:rsidRPr="00950A59">
        <w:rPr>
          <w:rFonts w:ascii="Arial" w:hAnsi="Arial" w:cs="Arial"/>
        </w:rPr>
        <w:t>For higher percentiles (particularly ≥40th), the SBL is more strongly affected by noise. Before the seismometer replacement, seasonal variations, especially increased noise during winter, are more pronounced. In addition, the SBL shows temporarily elevated levels following the 2011 Tohoku</w:t>
      </w:r>
      <w:r w:rsidR="003604B4">
        <w:rPr>
          <w:rFonts w:ascii="Arial" w:hAnsi="Arial" w:cs="Arial" w:hint="eastAsia"/>
        </w:rPr>
        <w:t>–</w:t>
      </w:r>
      <w:r w:rsidRPr="00950A59">
        <w:rPr>
          <w:rFonts w:ascii="Arial" w:hAnsi="Arial" w:cs="Arial"/>
        </w:rPr>
        <w:t>Pacific Ocean earthquake, suggesting an influence of the event.</w:t>
      </w:r>
    </w:p>
    <w:p w14:paraId="65CE48B3" w14:textId="4DB1B0B8" w:rsidR="00F10298" w:rsidRDefault="00F10298" w:rsidP="00950A59">
      <w:pPr>
        <w:rPr>
          <w:rFonts w:ascii="Arial" w:hAnsi="Arial" w:cs="Arial"/>
        </w:rPr>
      </w:pPr>
      <w:r w:rsidRPr="00F10298">
        <w:rPr>
          <w:rFonts w:ascii="Arial" w:hAnsi="Arial" w:cs="Arial"/>
        </w:rPr>
        <w:t>These results indicate that the use of the 20th percentile provides a stable estimate of the background seismic level while suppressing noise effects.</w:t>
      </w:r>
    </w:p>
    <w:p w14:paraId="241F6268" w14:textId="77777777" w:rsidR="0022653C" w:rsidRPr="00950A59" w:rsidRDefault="0022653C" w:rsidP="00950A59">
      <w:pPr>
        <w:rPr>
          <w:rFonts w:ascii="Arial" w:hAnsi="Arial" w:cs="Arial"/>
        </w:rPr>
      </w:pPr>
    </w:p>
    <w:p w14:paraId="5FAB3F35" w14:textId="6CA0E12A" w:rsidR="00950A59" w:rsidRPr="00950A59" w:rsidRDefault="009E5118" w:rsidP="00950A59">
      <w:pPr>
        <w:jc w:val="center"/>
        <w:rPr>
          <w:rFonts w:ascii="Arial" w:hAnsi="Arial" w:cs="Arial"/>
        </w:rPr>
      </w:pPr>
      <w:r>
        <w:rPr>
          <w:rFonts w:ascii="Arial" w:hAnsi="Arial" w:cs="Arial"/>
          <w:noProof/>
        </w:rPr>
        <w:drawing>
          <wp:inline distT="0" distB="0" distL="0" distR="0" wp14:anchorId="72EAEFBB" wp14:editId="628C7CC0">
            <wp:extent cx="5400040" cy="5400040"/>
            <wp:effectExtent l="0" t="0" r="0" b="0"/>
            <wp:docPr id="62143584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435849" name="図 621435849"/>
                    <pic:cNvPicPr/>
                  </pic:nvPicPr>
                  <pic:blipFill>
                    <a:blip r:embed="rId8"/>
                    <a:stretch>
                      <a:fillRect/>
                    </a:stretch>
                  </pic:blipFill>
                  <pic:spPr>
                    <a:xfrm>
                      <a:off x="0" y="0"/>
                      <a:ext cx="5400040" cy="5400040"/>
                    </a:xfrm>
                    <a:prstGeom prst="rect">
                      <a:avLst/>
                    </a:prstGeom>
                  </pic:spPr>
                </pic:pic>
              </a:graphicData>
            </a:graphic>
          </wp:inline>
        </w:drawing>
      </w:r>
    </w:p>
    <w:p w14:paraId="47A4ABD8" w14:textId="398F0CC7" w:rsidR="00950A59" w:rsidRPr="00950A59" w:rsidRDefault="00950A59" w:rsidP="00950A59">
      <w:pPr>
        <w:rPr>
          <w:rFonts w:ascii="Arial" w:hAnsi="Arial" w:cs="Arial"/>
        </w:rPr>
      </w:pPr>
      <w:r w:rsidRPr="00950A59">
        <w:rPr>
          <w:rFonts w:ascii="Arial" w:hAnsi="Arial" w:cs="Arial"/>
        </w:rPr>
        <w:t>Figure S</w:t>
      </w:r>
      <w:r w:rsidR="00E80EC7">
        <w:rPr>
          <w:rFonts w:ascii="Arial" w:hAnsi="Arial" w:cs="Arial" w:hint="eastAsia"/>
        </w:rPr>
        <w:t>1</w:t>
      </w:r>
      <w:r w:rsidRPr="00950A59">
        <w:rPr>
          <w:rFonts w:ascii="Arial" w:hAnsi="Arial" w:cs="Arial"/>
        </w:rPr>
        <w:t xml:space="preserve">: Comparison of SBL at KSHA calculated </w:t>
      </w:r>
      <w:r w:rsidR="00B653AE">
        <w:rPr>
          <w:rFonts w:ascii="Arial" w:hAnsi="Arial" w:cs="Arial" w:hint="eastAsia"/>
        </w:rPr>
        <w:t>with</w:t>
      </w:r>
      <w:r w:rsidRPr="00950A59">
        <w:rPr>
          <w:rFonts w:ascii="Arial" w:hAnsi="Arial" w:cs="Arial"/>
        </w:rPr>
        <w:t xml:space="preserve"> different percentiles.</w:t>
      </w:r>
    </w:p>
    <w:p w14:paraId="13616446" w14:textId="56CC20C2" w:rsidR="00950A59" w:rsidRPr="00950A59" w:rsidRDefault="00950A59" w:rsidP="00950A59">
      <w:pPr>
        <w:rPr>
          <w:rFonts w:ascii="Arial" w:hAnsi="Arial" w:cs="Arial"/>
        </w:rPr>
      </w:pPr>
      <w:r w:rsidRPr="00950A59">
        <w:rPr>
          <w:rFonts w:ascii="Arial" w:hAnsi="Arial" w:cs="Arial"/>
        </w:rPr>
        <w:t xml:space="preserve">(a) SBL calculated at KSHA </w:t>
      </w:r>
      <w:r w:rsidR="00B653AE">
        <w:rPr>
          <w:rFonts w:ascii="Arial" w:hAnsi="Arial" w:cs="Arial" w:hint="eastAsia"/>
        </w:rPr>
        <w:t>with</w:t>
      </w:r>
      <w:r w:rsidRPr="00950A59">
        <w:rPr>
          <w:rFonts w:ascii="Arial" w:hAnsi="Arial" w:cs="Arial"/>
        </w:rPr>
        <w:t xml:space="preserve"> different percentiles. Black dashed lines indicate the date of the Tohoku</w:t>
      </w:r>
      <w:r w:rsidR="003604B4">
        <w:rPr>
          <w:rFonts w:ascii="Arial" w:hAnsi="Arial" w:cs="Arial" w:hint="eastAsia"/>
        </w:rPr>
        <w:t>–</w:t>
      </w:r>
      <w:r w:rsidRPr="00950A59">
        <w:rPr>
          <w:rFonts w:ascii="Arial" w:hAnsi="Arial" w:cs="Arial"/>
        </w:rPr>
        <w:t xml:space="preserve">Pacific Ocean earthquake (11 March 2011) and the seismometer </w:t>
      </w:r>
      <w:r w:rsidRPr="00950A59">
        <w:rPr>
          <w:rFonts w:ascii="Arial" w:hAnsi="Arial" w:cs="Arial"/>
        </w:rPr>
        <w:lastRenderedPageBreak/>
        <w:t>replacement (13 November 2012).</w:t>
      </w:r>
    </w:p>
    <w:p w14:paraId="1A508D00" w14:textId="132689DD" w:rsidR="00083BC5" w:rsidRDefault="00950A59" w:rsidP="00950A59">
      <w:pPr>
        <w:rPr>
          <w:rFonts w:ascii="Arial" w:hAnsi="Arial" w:cs="Arial"/>
        </w:rPr>
      </w:pPr>
      <w:r w:rsidRPr="00950A59">
        <w:rPr>
          <w:rFonts w:ascii="Arial" w:hAnsi="Arial" w:cs="Arial"/>
        </w:rPr>
        <w:t xml:space="preserve">(b) Ratio of SBL relative to that calculated </w:t>
      </w:r>
      <w:r w:rsidR="00B653AE">
        <w:rPr>
          <w:rFonts w:ascii="Arial" w:hAnsi="Arial" w:cs="Arial" w:hint="eastAsia"/>
        </w:rPr>
        <w:t>with</w:t>
      </w:r>
      <w:r w:rsidRPr="00950A59">
        <w:rPr>
          <w:rFonts w:ascii="Arial" w:hAnsi="Arial" w:cs="Arial"/>
        </w:rPr>
        <w:t xml:space="preserve"> the 20th percentile. The dashed lines are the same as in (a).</w:t>
      </w:r>
    </w:p>
    <w:p w14:paraId="1B9E3EF2" w14:textId="77777777" w:rsidR="00083BC5" w:rsidRDefault="00083BC5">
      <w:pPr>
        <w:widowControl/>
        <w:rPr>
          <w:rFonts w:ascii="Arial" w:hAnsi="Arial" w:cs="Arial"/>
        </w:rPr>
      </w:pPr>
      <w:r>
        <w:rPr>
          <w:rFonts w:ascii="Arial" w:hAnsi="Arial" w:cs="Arial"/>
        </w:rPr>
        <w:br w:type="page"/>
      </w:r>
    </w:p>
    <w:p w14:paraId="1F3DFBFD" w14:textId="406FB997" w:rsidR="00950A59" w:rsidRPr="00950A59" w:rsidRDefault="004D1135" w:rsidP="00950A59">
      <w:pPr>
        <w:rPr>
          <w:rFonts w:ascii="Arial" w:hAnsi="Arial" w:cs="Arial"/>
          <w:b/>
          <w:bCs/>
          <w:sz w:val="24"/>
          <w:u w:val="single"/>
        </w:rPr>
      </w:pPr>
      <w:r>
        <w:rPr>
          <w:rFonts w:ascii="Arial" w:hAnsi="Arial" w:cs="Arial" w:hint="eastAsia"/>
          <w:b/>
          <w:bCs/>
          <w:sz w:val="24"/>
          <w:u w:val="single"/>
        </w:rPr>
        <w:lastRenderedPageBreak/>
        <w:t xml:space="preserve">S2. </w:t>
      </w:r>
      <w:r w:rsidR="00950A59" w:rsidRPr="00950A59">
        <w:rPr>
          <w:rFonts w:ascii="Arial" w:hAnsi="Arial" w:cs="Arial"/>
          <w:b/>
          <w:bCs/>
          <w:sz w:val="24"/>
          <w:u w:val="single"/>
        </w:rPr>
        <w:t>Sensitivity analysis of SBL to selection of seismometer components</w:t>
      </w:r>
    </w:p>
    <w:p w14:paraId="27F8DB39" w14:textId="77777777" w:rsidR="00950A59" w:rsidRPr="00950A59" w:rsidRDefault="00950A59" w:rsidP="00950A59">
      <w:pPr>
        <w:rPr>
          <w:rFonts w:ascii="Arial" w:hAnsi="Arial" w:cs="Arial"/>
        </w:rPr>
      </w:pPr>
    </w:p>
    <w:p w14:paraId="10FEEA09" w14:textId="3CC036FF" w:rsidR="00950A59" w:rsidRPr="00950A59" w:rsidRDefault="00950A59" w:rsidP="00950A59">
      <w:pPr>
        <w:rPr>
          <w:rFonts w:ascii="Arial" w:hAnsi="Arial" w:cs="Arial"/>
        </w:rPr>
      </w:pPr>
      <w:r w:rsidRPr="00950A59">
        <w:rPr>
          <w:rFonts w:ascii="Arial" w:hAnsi="Arial" w:cs="Arial"/>
        </w:rPr>
        <w:t xml:space="preserve">To evaluate the influence of component selection, we compared SBL calculated </w:t>
      </w:r>
      <w:r w:rsidR="00C10687">
        <w:rPr>
          <w:rFonts w:ascii="Arial" w:hAnsi="Arial" w:cs="Arial" w:hint="eastAsia"/>
        </w:rPr>
        <w:t>from</w:t>
      </w:r>
      <w:r w:rsidRPr="00950A59">
        <w:rPr>
          <w:rFonts w:ascii="Arial" w:hAnsi="Arial" w:cs="Arial"/>
        </w:rPr>
        <w:t xml:space="preserve"> the vertical component, the </w:t>
      </w:r>
      <w:r w:rsidR="00802B22">
        <w:rPr>
          <w:rFonts w:ascii="Arial" w:hAnsi="Arial" w:cs="Arial" w:hint="eastAsia"/>
        </w:rPr>
        <w:t xml:space="preserve">two </w:t>
      </w:r>
      <w:r w:rsidRPr="00950A59">
        <w:rPr>
          <w:rFonts w:ascii="Arial" w:hAnsi="Arial" w:cs="Arial"/>
        </w:rPr>
        <w:t>horizontal components, and all three components at all stations. Excluding periods affected by known data-quality problems, the temporal variations of SBL were broadly similar among these calculations, including during the 2014 and 2018 unrest periods. The ratios among the different component combinations remained generally stable through time at KSHA, KSAO, KSS, and KSW.</w:t>
      </w:r>
    </w:p>
    <w:p w14:paraId="1E6503F5" w14:textId="11AE9BBF" w:rsidR="00950A59" w:rsidRPr="00950A59" w:rsidRDefault="00950A59" w:rsidP="00950A59">
      <w:pPr>
        <w:rPr>
          <w:rFonts w:ascii="Arial" w:hAnsi="Arial" w:cs="Arial"/>
        </w:rPr>
      </w:pPr>
      <w:r w:rsidRPr="00950A59">
        <w:rPr>
          <w:rFonts w:ascii="Arial" w:hAnsi="Arial" w:cs="Arial"/>
        </w:rPr>
        <w:t xml:space="preserve">KSE showed a different behavior. When only the horizontal components were used, the SBL during the 2014 unrest was larger than that during the 2018 unrest, which is opposite to the relationship observed for the vertical-component SBL. However, the SBL calculated </w:t>
      </w:r>
      <w:r w:rsidR="00C23ACA">
        <w:rPr>
          <w:rFonts w:ascii="Arial" w:hAnsi="Arial" w:cs="Arial" w:hint="eastAsia"/>
        </w:rPr>
        <w:t>with</w:t>
      </w:r>
      <w:r w:rsidRPr="00950A59">
        <w:rPr>
          <w:rFonts w:ascii="Arial" w:hAnsi="Arial" w:cs="Arial"/>
        </w:rPr>
        <w:t xml:space="preserve"> all three components showed the same overall behavior as the vertical-component SBL, namely that the SBL during the 2018 unrest was larger than that during the 2014 unrest. Therefore, although the relative contribution of different wavefield components may vary at KSE, the principal temporal variations discussed in this study are not substantially affected by the use of only the vertical component for SBL calculation.</w:t>
      </w:r>
    </w:p>
    <w:p w14:paraId="245599AF" w14:textId="77777777" w:rsidR="00950A59" w:rsidRPr="00950A59" w:rsidRDefault="00950A59" w:rsidP="00950A59">
      <w:pPr>
        <w:rPr>
          <w:rFonts w:ascii="Arial" w:hAnsi="Arial" w:cs="Arial"/>
        </w:rPr>
      </w:pPr>
    </w:p>
    <w:p w14:paraId="02F59396" w14:textId="77777777" w:rsidR="00950A59" w:rsidRPr="00950A59" w:rsidRDefault="00950A59" w:rsidP="00950A59">
      <w:pPr>
        <w:widowControl/>
        <w:rPr>
          <w:rFonts w:ascii="Arial" w:hAnsi="Arial" w:cs="Arial"/>
        </w:rPr>
      </w:pPr>
      <w:r w:rsidRPr="00950A59">
        <w:rPr>
          <w:rFonts w:ascii="Arial" w:hAnsi="Arial" w:cs="Arial"/>
        </w:rPr>
        <w:br w:type="page"/>
      </w:r>
    </w:p>
    <w:p w14:paraId="222BA022" w14:textId="77777777" w:rsidR="00950A59" w:rsidRPr="00950A59" w:rsidRDefault="00950A59" w:rsidP="00950A59">
      <w:pPr>
        <w:jc w:val="center"/>
        <w:rPr>
          <w:rFonts w:ascii="Arial" w:hAnsi="Arial" w:cs="Arial"/>
        </w:rPr>
      </w:pPr>
      <w:r w:rsidRPr="00950A59">
        <w:rPr>
          <w:rFonts w:ascii="Arial" w:hAnsi="Arial" w:cs="Arial"/>
          <w:noProof/>
        </w:rPr>
        <w:lastRenderedPageBreak/>
        <w:drawing>
          <wp:inline distT="0" distB="0" distL="0" distR="0" wp14:anchorId="0D849262" wp14:editId="0594444A">
            <wp:extent cx="4757959" cy="3171973"/>
            <wp:effectExtent l="0" t="0" r="5080" b="0"/>
            <wp:docPr id="12389479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947919" name="図 1"/>
                    <pic:cNvPicPr>
                      <a:picLocks noChangeAspect="1" noChangeArrowheads="1"/>
                    </pic:cNvPicPr>
                  </pic:nvPicPr>
                  <pic:blipFill>
                    <a:blip r:embed="rId9"/>
                    <a:stretch>
                      <a:fillRect/>
                    </a:stretch>
                  </pic:blipFill>
                  <pic:spPr bwMode="auto">
                    <a:xfrm>
                      <a:off x="0" y="0"/>
                      <a:ext cx="4757959" cy="3171973"/>
                    </a:xfrm>
                    <a:prstGeom prst="rect">
                      <a:avLst/>
                    </a:prstGeom>
                    <a:noFill/>
                    <a:ln>
                      <a:noFill/>
                    </a:ln>
                  </pic:spPr>
                </pic:pic>
              </a:graphicData>
            </a:graphic>
          </wp:inline>
        </w:drawing>
      </w:r>
    </w:p>
    <w:p w14:paraId="7EAB0C7F" w14:textId="77777777" w:rsidR="00950A59" w:rsidRPr="00950A59" w:rsidRDefault="00950A59" w:rsidP="00950A59">
      <w:pPr>
        <w:jc w:val="center"/>
        <w:rPr>
          <w:rFonts w:ascii="Arial" w:hAnsi="Arial" w:cs="Arial"/>
        </w:rPr>
      </w:pPr>
    </w:p>
    <w:p w14:paraId="030B544F" w14:textId="26F362B1" w:rsidR="00950A59" w:rsidRPr="00950A59" w:rsidRDefault="00950A59" w:rsidP="00950A59">
      <w:pPr>
        <w:rPr>
          <w:rFonts w:ascii="Arial" w:hAnsi="Arial" w:cs="Arial"/>
        </w:rPr>
      </w:pPr>
      <w:r w:rsidRPr="00950A59">
        <w:rPr>
          <w:rFonts w:ascii="Arial" w:hAnsi="Arial" w:cs="Arial"/>
        </w:rPr>
        <w:t>Figure S</w:t>
      </w:r>
      <w:r w:rsidR="00CD6A3D">
        <w:rPr>
          <w:rFonts w:ascii="Arial" w:hAnsi="Arial" w:cs="Arial" w:hint="eastAsia"/>
        </w:rPr>
        <w:t>2</w:t>
      </w:r>
      <w:r w:rsidRPr="00950A59">
        <w:rPr>
          <w:rFonts w:ascii="Arial" w:hAnsi="Arial" w:cs="Arial"/>
        </w:rPr>
        <w:t xml:space="preserve">: Comparison of SBL at KSHA calculated </w:t>
      </w:r>
      <w:r w:rsidR="009112D7">
        <w:rPr>
          <w:rFonts w:ascii="Arial" w:hAnsi="Arial" w:cs="Arial" w:hint="eastAsia"/>
        </w:rPr>
        <w:t>with</w:t>
      </w:r>
      <w:r w:rsidRPr="00950A59">
        <w:rPr>
          <w:rFonts w:ascii="Arial" w:hAnsi="Arial" w:cs="Arial"/>
        </w:rPr>
        <w:t xml:space="preserve"> different components.  </w:t>
      </w:r>
    </w:p>
    <w:p w14:paraId="64AE0B07" w14:textId="44D89477" w:rsidR="00950A59" w:rsidRPr="00950A59" w:rsidRDefault="00950A59" w:rsidP="00950A59">
      <w:pPr>
        <w:rPr>
          <w:rFonts w:ascii="Arial" w:hAnsi="Arial" w:cs="Arial"/>
        </w:rPr>
      </w:pPr>
      <w:r w:rsidRPr="00950A59">
        <w:rPr>
          <w:rFonts w:ascii="Arial" w:hAnsi="Arial" w:cs="Arial"/>
        </w:rPr>
        <w:t xml:space="preserve">(a) SBL at KSHA calculated </w:t>
      </w:r>
      <w:r w:rsidR="009112D7">
        <w:rPr>
          <w:rFonts w:ascii="Arial" w:hAnsi="Arial" w:cs="Arial" w:hint="eastAsia"/>
        </w:rPr>
        <w:t>with</w:t>
      </w:r>
      <w:r w:rsidRPr="00950A59">
        <w:rPr>
          <w:rFonts w:ascii="Arial" w:hAnsi="Arial" w:cs="Arial"/>
        </w:rPr>
        <w:t xml:space="preserve"> the vertical component, </w:t>
      </w:r>
      <w:r w:rsidR="00802B22">
        <w:rPr>
          <w:rFonts w:ascii="Arial" w:hAnsi="Arial" w:cs="Arial" w:hint="eastAsia"/>
        </w:rPr>
        <w:t xml:space="preserve">two </w:t>
      </w:r>
      <w:r w:rsidRPr="00950A59">
        <w:rPr>
          <w:rFonts w:ascii="Arial" w:hAnsi="Arial" w:cs="Arial"/>
        </w:rPr>
        <w:t>horizontal components, and all three components. The red shaded area indicates the polarization analysis period (December 2019–January 2020). Periods affected by known data-quality problems in the EW component show anomalously low SBL values.</w:t>
      </w:r>
    </w:p>
    <w:p w14:paraId="03E9EB75" w14:textId="1A20E0A3" w:rsidR="00950A59" w:rsidRPr="00950A59" w:rsidRDefault="00950A59" w:rsidP="00950A59">
      <w:pPr>
        <w:rPr>
          <w:rFonts w:ascii="Arial" w:hAnsi="Arial" w:cs="Arial"/>
        </w:rPr>
      </w:pPr>
      <w:r w:rsidRPr="00950A59">
        <w:rPr>
          <w:rFonts w:ascii="Arial" w:hAnsi="Arial" w:cs="Arial"/>
        </w:rPr>
        <w:t xml:space="preserve">(b) Ratios of SBL relative to that calculated </w:t>
      </w:r>
      <w:r w:rsidR="009112D7">
        <w:rPr>
          <w:rFonts w:ascii="Arial" w:hAnsi="Arial" w:cs="Arial" w:hint="eastAsia"/>
        </w:rPr>
        <w:t>with</w:t>
      </w:r>
      <w:r w:rsidRPr="00950A59">
        <w:rPr>
          <w:rFonts w:ascii="Arial" w:hAnsi="Arial" w:cs="Arial"/>
        </w:rPr>
        <w:t xml:space="preserve"> only the vertical component. The red shaded area is the same as in (a).</w:t>
      </w:r>
    </w:p>
    <w:p w14:paraId="3FFA9ECD" w14:textId="77777777" w:rsidR="00950A59" w:rsidRPr="00950A59" w:rsidRDefault="00950A59" w:rsidP="00950A59">
      <w:pPr>
        <w:widowControl/>
        <w:rPr>
          <w:rFonts w:ascii="Arial" w:hAnsi="Arial" w:cs="Arial"/>
        </w:rPr>
      </w:pPr>
      <w:r w:rsidRPr="00950A59">
        <w:rPr>
          <w:rFonts w:ascii="Arial" w:hAnsi="Arial" w:cs="Arial"/>
        </w:rPr>
        <w:br w:type="page"/>
      </w:r>
    </w:p>
    <w:p w14:paraId="0CAAFA43" w14:textId="77777777" w:rsidR="00950A59" w:rsidRPr="00950A59" w:rsidRDefault="00950A59" w:rsidP="00950A59">
      <w:pPr>
        <w:jc w:val="center"/>
        <w:rPr>
          <w:rFonts w:ascii="Arial" w:hAnsi="Arial" w:cs="Arial"/>
        </w:rPr>
      </w:pPr>
      <w:r w:rsidRPr="00950A59">
        <w:rPr>
          <w:rFonts w:ascii="Arial" w:hAnsi="Arial" w:cs="Arial"/>
          <w:noProof/>
        </w:rPr>
        <w:lastRenderedPageBreak/>
        <w:drawing>
          <wp:inline distT="0" distB="0" distL="0" distR="0" wp14:anchorId="6F814AD7" wp14:editId="3200144A">
            <wp:extent cx="4757958" cy="3171973"/>
            <wp:effectExtent l="0" t="0" r="5080" b="0"/>
            <wp:docPr id="17563979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97976" name="図 1"/>
                    <pic:cNvPicPr>
                      <a:picLocks noChangeAspect="1" noChangeArrowheads="1"/>
                    </pic:cNvPicPr>
                  </pic:nvPicPr>
                  <pic:blipFill>
                    <a:blip r:embed="rId10"/>
                    <a:stretch>
                      <a:fillRect/>
                    </a:stretch>
                  </pic:blipFill>
                  <pic:spPr bwMode="auto">
                    <a:xfrm>
                      <a:off x="0" y="0"/>
                      <a:ext cx="4757958" cy="3171973"/>
                    </a:xfrm>
                    <a:prstGeom prst="rect">
                      <a:avLst/>
                    </a:prstGeom>
                    <a:noFill/>
                    <a:ln>
                      <a:noFill/>
                    </a:ln>
                  </pic:spPr>
                </pic:pic>
              </a:graphicData>
            </a:graphic>
          </wp:inline>
        </w:drawing>
      </w:r>
    </w:p>
    <w:p w14:paraId="164FA360" w14:textId="77777777" w:rsidR="00950A59" w:rsidRPr="00950A59" w:rsidRDefault="00950A59" w:rsidP="00950A59">
      <w:pPr>
        <w:jc w:val="center"/>
        <w:rPr>
          <w:rFonts w:ascii="Arial" w:hAnsi="Arial" w:cs="Arial"/>
        </w:rPr>
      </w:pPr>
    </w:p>
    <w:p w14:paraId="083B54D9" w14:textId="7F886DAB" w:rsidR="00950A59" w:rsidRPr="00950A59" w:rsidRDefault="00950A59" w:rsidP="00950A59">
      <w:pPr>
        <w:rPr>
          <w:rFonts w:ascii="Arial" w:hAnsi="Arial" w:cs="Arial"/>
        </w:rPr>
      </w:pPr>
      <w:r w:rsidRPr="00950A59">
        <w:rPr>
          <w:rFonts w:ascii="Arial" w:hAnsi="Arial" w:cs="Arial"/>
        </w:rPr>
        <w:t>Figure S</w:t>
      </w:r>
      <w:r w:rsidR="00CD6A3D">
        <w:rPr>
          <w:rFonts w:ascii="Arial" w:hAnsi="Arial" w:cs="Arial" w:hint="eastAsia"/>
        </w:rPr>
        <w:t>3</w:t>
      </w:r>
      <w:r w:rsidRPr="00950A59">
        <w:rPr>
          <w:rFonts w:ascii="Arial" w:hAnsi="Arial" w:cs="Arial"/>
        </w:rPr>
        <w:t>: Same as Fig. S</w:t>
      </w:r>
      <w:r w:rsidR="00CD6A3D">
        <w:rPr>
          <w:rFonts w:ascii="Arial" w:hAnsi="Arial" w:cs="Arial" w:hint="eastAsia"/>
        </w:rPr>
        <w:t>2</w:t>
      </w:r>
      <w:r w:rsidRPr="00950A59">
        <w:rPr>
          <w:rFonts w:ascii="Arial" w:hAnsi="Arial" w:cs="Arial"/>
        </w:rPr>
        <w:t>, but for KSAO.</w:t>
      </w:r>
    </w:p>
    <w:p w14:paraId="6732BA6F" w14:textId="77777777" w:rsidR="00950A59" w:rsidRPr="00950A59" w:rsidRDefault="00950A59" w:rsidP="00950A59">
      <w:pPr>
        <w:rPr>
          <w:rFonts w:ascii="Arial" w:hAnsi="Arial" w:cs="Arial"/>
          <w:b/>
          <w:bCs/>
        </w:rPr>
      </w:pPr>
    </w:p>
    <w:p w14:paraId="2027179B" w14:textId="77777777" w:rsidR="00950A59" w:rsidRPr="00950A59" w:rsidRDefault="00950A59" w:rsidP="00950A59">
      <w:pPr>
        <w:rPr>
          <w:rFonts w:ascii="Arial" w:hAnsi="Arial" w:cs="Arial"/>
        </w:rPr>
      </w:pPr>
    </w:p>
    <w:p w14:paraId="16C162A3" w14:textId="77777777" w:rsidR="00950A59" w:rsidRPr="00950A59" w:rsidRDefault="00950A59" w:rsidP="00950A59">
      <w:pPr>
        <w:jc w:val="center"/>
        <w:rPr>
          <w:rFonts w:ascii="Arial" w:hAnsi="Arial" w:cs="Arial"/>
        </w:rPr>
      </w:pPr>
      <w:r w:rsidRPr="00950A59">
        <w:rPr>
          <w:rFonts w:ascii="Arial" w:hAnsi="Arial" w:cs="Arial"/>
          <w:noProof/>
        </w:rPr>
        <w:drawing>
          <wp:inline distT="0" distB="0" distL="0" distR="0" wp14:anchorId="657CCBB8" wp14:editId="2006C276">
            <wp:extent cx="4757958" cy="3171972"/>
            <wp:effectExtent l="0" t="0" r="5080" b="0"/>
            <wp:docPr id="11991307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130700" name="図 1"/>
                    <pic:cNvPicPr>
                      <a:picLocks noChangeAspect="1" noChangeArrowheads="1"/>
                    </pic:cNvPicPr>
                  </pic:nvPicPr>
                  <pic:blipFill>
                    <a:blip r:embed="rId11"/>
                    <a:stretch>
                      <a:fillRect/>
                    </a:stretch>
                  </pic:blipFill>
                  <pic:spPr bwMode="auto">
                    <a:xfrm>
                      <a:off x="0" y="0"/>
                      <a:ext cx="4757958" cy="3171972"/>
                    </a:xfrm>
                    <a:prstGeom prst="rect">
                      <a:avLst/>
                    </a:prstGeom>
                    <a:noFill/>
                    <a:ln>
                      <a:noFill/>
                    </a:ln>
                  </pic:spPr>
                </pic:pic>
              </a:graphicData>
            </a:graphic>
          </wp:inline>
        </w:drawing>
      </w:r>
    </w:p>
    <w:p w14:paraId="13F1CC14" w14:textId="77777777" w:rsidR="00950A59" w:rsidRPr="00950A59" w:rsidRDefault="00950A59" w:rsidP="00950A59">
      <w:pPr>
        <w:jc w:val="center"/>
        <w:rPr>
          <w:rFonts w:ascii="Arial" w:hAnsi="Arial" w:cs="Arial"/>
        </w:rPr>
      </w:pPr>
    </w:p>
    <w:p w14:paraId="3E2ECBF8" w14:textId="4D54DBE4" w:rsidR="00950A59" w:rsidRPr="00950A59" w:rsidRDefault="00950A59" w:rsidP="00950A59">
      <w:pPr>
        <w:rPr>
          <w:rFonts w:ascii="Arial" w:hAnsi="Arial" w:cs="Arial"/>
          <w:b/>
          <w:bCs/>
        </w:rPr>
      </w:pPr>
      <w:r w:rsidRPr="00950A59">
        <w:rPr>
          <w:rFonts w:ascii="Arial" w:hAnsi="Arial" w:cs="Arial"/>
        </w:rPr>
        <w:t>Figure S</w:t>
      </w:r>
      <w:r w:rsidR="00CD6A3D">
        <w:rPr>
          <w:rFonts w:ascii="Arial" w:hAnsi="Arial" w:cs="Arial" w:hint="eastAsia"/>
        </w:rPr>
        <w:t>4</w:t>
      </w:r>
      <w:r w:rsidRPr="00950A59">
        <w:rPr>
          <w:rFonts w:ascii="Arial" w:hAnsi="Arial" w:cs="Arial"/>
        </w:rPr>
        <w:t>: Same as Fig. S</w:t>
      </w:r>
      <w:r w:rsidR="00CD6A3D">
        <w:rPr>
          <w:rFonts w:ascii="Arial" w:hAnsi="Arial" w:cs="Arial" w:hint="eastAsia"/>
        </w:rPr>
        <w:t>2</w:t>
      </w:r>
      <w:r w:rsidRPr="00950A59">
        <w:rPr>
          <w:rFonts w:ascii="Arial" w:hAnsi="Arial" w:cs="Arial"/>
        </w:rPr>
        <w:t>, but for KSE.</w:t>
      </w:r>
    </w:p>
    <w:p w14:paraId="2453C57B" w14:textId="77777777" w:rsidR="00950A59" w:rsidRPr="00950A59" w:rsidRDefault="00950A59" w:rsidP="00950A59">
      <w:pPr>
        <w:rPr>
          <w:rFonts w:ascii="Arial" w:hAnsi="Arial" w:cs="Arial"/>
        </w:rPr>
      </w:pPr>
      <w:r w:rsidRPr="00950A59">
        <w:rPr>
          <w:rFonts w:ascii="Arial" w:hAnsi="Arial" w:cs="Arial"/>
        </w:rPr>
        <w:br w:type="page"/>
      </w:r>
    </w:p>
    <w:p w14:paraId="3CCBD819" w14:textId="77777777" w:rsidR="00950A59" w:rsidRPr="00950A59" w:rsidRDefault="00950A59" w:rsidP="00950A59">
      <w:pPr>
        <w:rPr>
          <w:rFonts w:ascii="Arial" w:hAnsi="Arial" w:cs="Arial"/>
        </w:rPr>
      </w:pPr>
    </w:p>
    <w:p w14:paraId="732E1DCE" w14:textId="77777777" w:rsidR="00950A59" w:rsidRPr="00950A59" w:rsidRDefault="00950A59" w:rsidP="00950A59">
      <w:pPr>
        <w:jc w:val="center"/>
        <w:rPr>
          <w:rFonts w:ascii="Arial" w:hAnsi="Arial" w:cs="Arial"/>
        </w:rPr>
      </w:pPr>
      <w:r w:rsidRPr="00950A59">
        <w:rPr>
          <w:rFonts w:ascii="Arial" w:hAnsi="Arial" w:cs="Arial"/>
          <w:noProof/>
        </w:rPr>
        <w:drawing>
          <wp:inline distT="0" distB="0" distL="0" distR="0" wp14:anchorId="42649FF5" wp14:editId="732ACED1">
            <wp:extent cx="4757958" cy="3171972"/>
            <wp:effectExtent l="0" t="0" r="5080" b="0"/>
            <wp:docPr id="7303930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393036" name="図 1"/>
                    <pic:cNvPicPr>
                      <a:picLocks noChangeAspect="1" noChangeArrowheads="1"/>
                    </pic:cNvPicPr>
                  </pic:nvPicPr>
                  <pic:blipFill>
                    <a:blip r:embed="rId12"/>
                    <a:stretch>
                      <a:fillRect/>
                    </a:stretch>
                  </pic:blipFill>
                  <pic:spPr bwMode="auto">
                    <a:xfrm>
                      <a:off x="0" y="0"/>
                      <a:ext cx="4757958" cy="3171972"/>
                    </a:xfrm>
                    <a:prstGeom prst="rect">
                      <a:avLst/>
                    </a:prstGeom>
                    <a:noFill/>
                    <a:ln>
                      <a:noFill/>
                    </a:ln>
                  </pic:spPr>
                </pic:pic>
              </a:graphicData>
            </a:graphic>
          </wp:inline>
        </w:drawing>
      </w:r>
    </w:p>
    <w:p w14:paraId="4B3A6929" w14:textId="77777777" w:rsidR="00950A59" w:rsidRPr="00950A59" w:rsidRDefault="00950A59" w:rsidP="00950A59">
      <w:pPr>
        <w:jc w:val="center"/>
        <w:rPr>
          <w:rFonts w:ascii="Arial" w:hAnsi="Arial" w:cs="Arial"/>
        </w:rPr>
      </w:pPr>
    </w:p>
    <w:p w14:paraId="1AE13784" w14:textId="32D0B1CA" w:rsidR="00950A59" w:rsidRPr="00950A59" w:rsidRDefault="00950A59" w:rsidP="00950A59">
      <w:pPr>
        <w:rPr>
          <w:rFonts w:ascii="Arial" w:hAnsi="Arial" w:cs="Arial"/>
        </w:rPr>
      </w:pPr>
      <w:r w:rsidRPr="00950A59">
        <w:rPr>
          <w:rFonts w:ascii="Arial" w:hAnsi="Arial" w:cs="Arial"/>
        </w:rPr>
        <w:t>Figure S</w:t>
      </w:r>
      <w:r w:rsidR="00CD6A3D">
        <w:rPr>
          <w:rFonts w:ascii="Arial" w:hAnsi="Arial" w:cs="Arial" w:hint="eastAsia"/>
        </w:rPr>
        <w:t>5</w:t>
      </w:r>
      <w:r w:rsidRPr="00950A59">
        <w:rPr>
          <w:rFonts w:ascii="Arial" w:hAnsi="Arial" w:cs="Arial"/>
        </w:rPr>
        <w:t>: Same as Fig. S</w:t>
      </w:r>
      <w:r w:rsidR="00CD6A3D">
        <w:rPr>
          <w:rFonts w:ascii="Arial" w:hAnsi="Arial" w:cs="Arial" w:hint="eastAsia"/>
        </w:rPr>
        <w:t>2</w:t>
      </w:r>
      <w:r w:rsidRPr="00950A59">
        <w:rPr>
          <w:rFonts w:ascii="Arial" w:hAnsi="Arial" w:cs="Arial"/>
        </w:rPr>
        <w:t>, but for KSS.</w:t>
      </w:r>
    </w:p>
    <w:p w14:paraId="4D1B92D4" w14:textId="77777777" w:rsidR="00950A59" w:rsidRPr="00950A59" w:rsidRDefault="00950A59" w:rsidP="00950A59">
      <w:pPr>
        <w:rPr>
          <w:rFonts w:ascii="Arial" w:hAnsi="Arial" w:cs="Arial"/>
        </w:rPr>
      </w:pPr>
    </w:p>
    <w:p w14:paraId="35DC9A9F" w14:textId="77777777" w:rsidR="00950A59" w:rsidRPr="00950A59" w:rsidRDefault="00950A59" w:rsidP="00950A59">
      <w:pPr>
        <w:rPr>
          <w:rFonts w:ascii="Arial" w:hAnsi="Arial" w:cs="Arial"/>
        </w:rPr>
      </w:pPr>
    </w:p>
    <w:p w14:paraId="6B2483CD" w14:textId="77777777" w:rsidR="00950A59" w:rsidRPr="00950A59" w:rsidRDefault="00950A59" w:rsidP="00950A59">
      <w:pPr>
        <w:jc w:val="center"/>
        <w:rPr>
          <w:rFonts w:ascii="Arial" w:hAnsi="Arial" w:cs="Arial"/>
        </w:rPr>
      </w:pPr>
      <w:r w:rsidRPr="00950A59">
        <w:rPr>
          <w:rFonts w:ascii="Arial" w:hAnsi="Arial" w:cs="Arial"/>
          <w:noProof/>
        </w:rPr>
        <w:drawing>
          <wp:inline distT="0" distB="0" distL="0" distR="0" wp14:anchorId="62292031" wp14:editId="648E0867">
            <wp:extent cx="4757956" cy="3171972"/>
            <wp:effectExtent l="0" t="0" r="5080" b="0"/>
            <wp:docPr id="7258750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75092" name="図 1"/>
                    <pic:cNvPicPr>
                      <a:picLocks noChangeAspect="1" noChangeArrowheads="1"/>
                    </pic:cNvPicPr>
                  </pic:nvPicPr>
                  <pic:blipFill>
                    <a:blip r:embed="rId13"/>
                    <a:stretch>
                      <a:fillRect/>
                    </a:stretch>
                  </pic:blipFill>
                  <pic:spPr bwMode="auto">
                    <a:xfrm>
                      <a:off x="0" y="0"/>
                      <a:ext cx="4757956" cy="3171972"/>
                    </a:xfrm>
                    <a:prstGeom prst="rect">
                      <a:avLst/>
                    </a:prstGeom>
                    <a:noFill/>
                    <a:ln>
                      <a:noFill/>
                    </a:ln>
                  </pic:spPr>
                </pic:pic>
              </a:graphicData>
            </a:graphic>
          </wp:inline>
        </w:drawing>
      </w:r>
    </w:p>
    <w:p w14:paraId="72E13898" w14:textId="77777777" w:rsidR="00950A59" w:rsidRPr="00950A59" w:rsidRDefault="00950A59" w:rsidP="00950A59">
      <w:pPr>
        <w:jc w:val="center"/>
        <w:rPr>
          <w:rFonts w:ascii="Arial" w:hAnsi="Arial" w:cs="Arial"/>
        </w:rPr>
      </w:pPr>
    </w:p>
    <w:p w14:paraId="5E06B008" w14:textId="419C0C8E" w:rsidR="00CD6A3D" w:rsidRDefault="00950A59" w:rsidP="00CD6A3D">
      <w:pPr>
        <w:rPr>
          <w:rFonts w:ascii="Arial" w:hAnsi="Arial" w:cs="Arial"/>
        </w:rPr>
      </w:pPr>
      <w:r w:rsidRPr="00950A59">
        <w:rPr>
          <w:rFonts w:ascii="Arial" w:hAnsi="Arial" w:cs="Arial"/>
        </w:rPr>
        <w:t>Figure S</w:t>
      </w:r>
      <w:r w:rsidR="00CD6A3D">
        <w:rPr>
          <w:rFonts w:ascii="Arial" w:hAnsi="Arial" w:cs="Arial" w:hint="eastAsia"/>
        </w:rPr>
        <w:t>6</w:t>
      </w:r>
      <w:r w:rsidRPr="00950A59">
        <w:rPr>
          <w:rFonts w:ascii="Arial" w:hAnsi="Arial" w:cs="Arial"/>
        </w:rPr>
        <w:t>: Same as Fig. S</w:t>
      </w:r>
      <w:r w:rsidR="00CD6A3D">
        <w:rPr>
          <w:rFonts w:ascii="Arial" w:hAnsi="Arial" w:cs="Arial" w:hint="eastAsia"/>
        </w:rPr>
        <w:t>2</w:t>
      </w:r>
      <w:r w:rsidRPr="00950A59">
        <w:rPr>
          <w:rFonts w:ascii="Arial" w:hAnsi="Arial" w:cs="Arial"/>
        </w:rPr>
        <w:t>, but for KSW.</w:t>
      </w:r>
      <w:r w:rsidR="00CD6A3D">
        <w:rPr>
          <w:rFonts w:ascii="Arial" w:hAnsi="Arial" w:cs="Arial"/>
        </w:rPr>
        <w:br w:type="page"/>
      </w:r>
    </w:p>
    <w:p w14:paraId="6F3FE957" w14:textId="59FF28FD" w:rsidR="00537B08" w:rsidRPr="00950A59" w:rsidRDefault="00D75C72">
      <w:pPr>
        <w:rPr>
          <w:rFonts w:ascii="Arial" w:hAnsi="Arial" w:cs="Arial"/>
          <w:b/>
          <w:bCs/>
          <w:sz w:val="24"/>
          <w:u w:val="single"/>
        </w:rPr>
      </w:pPr>
      <w:r>
        <w:rPr>
          <w:rFonts w:ascii="Arial" w:hAnsi="Arial" w:cs="Arial" w:hint="eastAsia"/>
          <w:b/>
          <w:bCs/>
          <w:sz w:val="24"/>
          <w:u w:val="single"/>
        </w:rPr>
        <w:lastRenderedPageBreak/>
        <w:t xml:space="preserve">S3. </w:t>
      </w:r>
      <w:r w:rsidR="00B919D0" w:rsidRPr="00B919D0">
        <w:rPr>
          <w:rFonts w:ascii="Arial" w:hAnsi="Arial" w:cs="Arial"/>
          <w:b/>
          <w:bCs/>
          <w:sz w:val="24"/>
          <w:u w:val="single"/>
        </w:rPr>
        <w:t>Sensitivity of SBL and SBL</w:t>
      </w:r>
      <w:r w:rsidR="005A0C8A">
        <w:rPr>
          <w:rFonts w:ascii="Arial" w:hAnsi="Arial" w:cs="Arial" w:hint="eastAsia"/>
          <w:b/>
          <w:bCs/>
          <w:sz w:val="24"/>
          <w:u w:val="single"/>
        </w:rPr>
        <w:t xml:space="preserve"> ratio </w:t>
      </w:r>
      <w:r w:rsidR="00B919D0" w:rsidRPr="00B919D0">
        <w:rPr>
          <w:rFonts w:ascii="Arial" w:hAnsi="Arial" w:cs="Arial"/>
          <w:b/>
          <w:bCs/>
          <w:sz w:val="24"/>
          <w:u w:val="single"/>
        </w:rPr>
        <w:t>to the lower frequency bound</w:t>
      </w:r>
    </w:p>
    <w:p w14:paraId="061B64DA" w14:textId="77777777" w:rsidR="007E5AB9" w:rsidRPr="00950A59" w:rsidRDefault="007E5AB9">
      <w:pPr>
        <w:rPr>
          <w:rFonts w:ascii="Arial" w:hAnsi="Arial" w:cs="Arial"/>
        </w:rPr>
      </w:pPr>
    </w:p>
    <w:p w14:paraId="5343D061" w14:textId="2FCE46F2" w:rsidR="00D60428" w:rsidRDefault="00C06287" w:rsidP="00C06287">
      <w:pPr>
        <w:rPr>
          <w:rFonts w:ascii="Arial" w:hAnsi="Arial" w:cs="Arial"/>
        </w:rPr>
      </w:pPr>
      <w:r w:rsidRPr="00C06287">
        <w:rPr>
          <w:rFonts w:ascii="Arial" w:hAnsi="Arial" w:cs="Arial"/>
        </w:rPr>
        <w:t xml:space="preserve">To further evaluate the influence of the lower frequency bound on the main results, we compared the </w:t>
      </w:r>
      <w:r w:rsidR="001A7070">
        <w:rPr>
          <w:rFonts w:ascii="Arial" w:hAnsi="Arial" w:cs="Arial"/>
        </w:rPr>
        <w:t>normalized</w:t>
      </w:r>
      <w:r w:rsidR="001A7070">
        <w:rPr>
          <w:rFonts w:ascii="Arial" w:hAnsi="Arial" w:cs="Arial" w:hint="eastAsia"/>
        </w:rPr>
        <w:t xml:space="preserve"> </w:t>
      </w:r>
      <w:r w:rsidRPr="00C06287">
        <w:rPr>
          <w:rFonts w:ascii="Arial" w:hAnsi="Arial" w:cs="Arial"/>
        </w:rPr>
        <w:t>SBL</w:t>
      </w:r>
      <w:r w:rsidR="00E4378E">
        <w:rPr>
          <w:rFonts w:ascii="Arial" w:hAnsi="Arial" w:cs="Arial" w:hint="eastAsia"/>
        </w:rPr>
        <w:t>s</w:t>
      </w:r>
      <w:r w:rsidRPr="00C06287">
        <w:rPr>
          <w:rFonts w:ascii="Arial" w:hAnsi="Arial" w:cs="Arial"/>
        </w:rPr>
        <w:t xml:space="preserve"> and SBL</w:t>
      </w:r>
      <w:r w:rsidR="005A0C8A">
        <w:rPr>
          <w:rFonts w:ascii="Arial" w:hAnsi="Arial" w:cs="Arial" w:hint="eastAsia"/>
        </w:rPr>
        <w:t xml:space="preserve"> ratios</w:t>
      </w:r>
      <w:r w:rsidRPr="00C06287">
        <w:rPr>
          <w:rFonts w:ascii="Arial" w:hAnsi="Arial" w:cs="Arial"/>
        </w:rPr>
        <w:t xml:space="preserve"> calculated </w:t>
      </w:r>
      <w:r w:rsidR="008A68C7">
        <w:rPr>
          <w:rFonts w:ascii="Arial" w:hAnsi="Arial" w:cs="Arial" w:hint="eastAsia"/>
        </w:rPr>
        <w:t>with</w:t>
      </w:r>
      <w:r w:rsidRPr="00C06287">
        <w:rPr>
          <w:rFonts w:ascii="Arial" w:hAnsi="Arial" w:cs="Arial"/>
        </w:rPr>
        <w:t xml:space="preserve"> the 3.</w:t>
      </w:r>
      <w:r w:rsidR="00C46B91">
        <w:rPr>
          <w:rFonts w:ascii="Arial" w:hAnsi="Arial" w:cs="Arial" w:hint="eastAsia"/>
        </w:rPr>
        <w:t>5</w:t>
      </w:r>
      <w:r w:rsidRPr="00C06287">
        <w:rPr>
          <w:rFonts w:ascii="Arial" w:hAnsi="Arial" w:cs="Arial"/>
        </w:rPr>
        <w:t xml:space="preserve">–7.0 Hz </w:t>
      </w:r>
      <w:r w:rsidR="002765E8">
        <w:rPr>
          <w:rFonts w:ascii="Arial" w:hAnsi="Arial" w:cs="Arial" w:hint="eastAsia"/>
        </w:rPr>
        <w:t xml:space="preserve">band </w:t>
      </w:r>
      <w:r w:rsidR="007C7A94">
        <w:rPr>
          <w:rFonts w:ascii="Arial" w:hAnsi="Arial" w:cs="Arial" w:hint="eastAsia"/>
        </w:rPr>
        <w:t>(Fig. S</w:t>
      </w:r>
      <w:r w:rsidR="00C46B91">
        <w:rPr>
          <w:rFonts w:ascii="Arial" w:hAnsi="Arial" w:cs="Arial" w:hint="eastAsia"/>
        </w:rPr>
        <w:t>7</w:t>
      </w:r>
      <w:r w:rsidR="007C7A94">
        <w:rPr>
          <w:rFonts w:ascii="Arial" w:hAnsi="Arial" w:cs="Arial" w:hint="eastAsia"/>
        </w:rPr>
        <w:t xml:space="preserve">) </w:t>
      </w:r>
      <w:r w:rsidRPr="00C06287">
        <w:rPr>
          <w:rFonts w:ascii="Arial" w:hAnsi="Arial" w:cs="Arial"/>
        </w:rPr>
        <w:t>and 3.</w:t>
      </w:r>
      <w:r w:rsidR="00C46B91">
        <w:rPr>
          <w:rFonts w:ascii="Arial" w:hAnsi="Arial" w:cs="Arial" w:hint="eastAsia"/>
        </w:rPr>
        <w:t>0</w:t>
      </w:r>
      <w:r w:rsidRPr="00C06287">
        <w:rPr>
          <w:rFonts w:ascii="Arial" w:hAnsi="Arial" w:cs="Arial"/>
        </w:rPr>
        <w:t>–7.0 Hz band</w:t>
      </w:r>
      <w:r w:rsidR="007C7A94">
        <w:rPr>
          <w:rFonts w:ascii="Arial" w:hAnsi="Arial" w:cs="Arial" w:hint="eastAsia"/>
        </w:rPr>
        <w:t xml:space="preserve"> (Fig. S</w:t>
      </w:r>
      <w:r w:rsidR="00C46B91">
        <w:rPr>
          <w:rFonts w:ascii="Arial" w:hAnsi="Arial" w:cs="Arial" w:hint="eastAsia"/>
        </w:rPr>
        <w:t>8</w:t>
      </w:r>
      <w:r w:rsidR="007C7A94">
        <w:rPr>
          <w:rFonts w:ascii="Arial" w:hAnsi="Arial" w:cs="Arial" w:hint="eastAsia"/>
        </w:rPr>
        <w:t>)</w:t>
      </w:r>
      <w:r w:rsidRPr="00C06287">
        <w:rPr>
          <w:rFonts w:ascii="Arial" w:hAnsi="Arial" w:cs="Arial"/>
        </w:rPr>
        <w:t>.</w:t>
      </w:r>
      <w:r w:rsidR="00D60428">
        <w:rPr>
          <w:rFonts w:ascii="Arial" w:hAnsi="Arial" w:cs="Arial" w:hint="eastAsia"/>
        </w:rPr>
        <w:t xml:space="preserve"> </w:t>
      </w:r>
      <w:r w:rsidRPr="00C06287">
        <w:rPr>
          <w:rFonts w:ascii="Arial" w:hAnsi="Arial" w:cs="Arial"/>
        </w:rPr>
        <w:t>The comparison was made for the period after 2012, focusing on the period relevant to the 2014 and 2018 unrest episodes.</w:t>
      </w:r>
    </w:p>
    <w:p w14:paraId="33D924DB" w14:textId="7C341875" w:rsidR="00D60428" w:rsidRPr="00C06287" w:rsidRDefault="00C06287" w:rsidP="00D60428">
      <w:pPr>
        <w:rPr>
          <w:rFonts w:ascii="Arial" w:hAnsi="Arial" w:cs="Arial"/>
        </w:rPr>
      </w:pPr>
      <w:r w:rsidRPr="00C06287">
        <w:rPr>
          <w:rFonts w:ascii="Arial" w:hAnsi="Arial" w:cs="Arial"/>
        </w:rPr>
        <w:t xml:space="preserve">In both frequency bands, </w:t>
      </w:r>
      <w:r w:rsidR="005A0C8A">
        <w:rPr>
          <w:rFonts w:ascii="Arial" w:hAnsi="Arial" w:cs="Arial" w:hint="eastAsia"/>
        </w:rPr>
        <w:t>t</w:t>
      </w:r>
      <w:r w:rsidR="005A0C8A" w:rsidRPr="005A0C8A">
        <w:rPr>
          <w:rFonts w:ascii="Arial" w:hAnsi="Arial" w:cs="Arial"/>
        </w:rPr>
        <w:t xml:space="preserve">he normalized SBLs indicate that the amplitudes at KSHA and KSE were larger during the 2018 unrest than during the 2014 unrest, whereas the opposite relationship </w:t>
      </w:r>
      <w:r w:rsidR="00D60428">
        <w:rPr>
          <w:rFonts w:ascii="Arial" w:hAnsi="Arial" w:cs="Arial" w:hint="eastAsia"/>
        </w:rPr>
        <w:t>wa</w:t>
      </w:r>
      <w:r w:rsidR="005A0C8A" w:rsidRPr="005A0C8A">
        <w:rPr>
          <w:rFonts w:ascii="Arial" w:hAnsi="Arial" w:cs="Arial"/>
        </w:rPr>
        <w:t>s observed at KSW, KSS, and KSAO.</w:t>
      </w:r>
      <w:r w:rsidR="005A0C8A">
        <w:rPr>
          <w:rFonts w:ascii="Arial" w:hAnsi="Arial" w:cs="Arial" w:hint="eastAsia"/>
        </w:rPr>
        <w:t xml:space="preserve"> </w:t>
      </w:r>
      <w:r w:rsidR="00D60428" w:rsidRPr="00D60428">
        <w:rPr>
          <w:rFonts w:ascii="Arial" w:hAnsi="Arial" w:cs="Arial"/>
        </w:rPr>
        <w:t>The SBL ratios further show that, for station pairs involving KSHA or KSE, the SBL ratios differed between the 2014 and 2018 unrests. In contrast, for pairs composed of any two of KSS, KSW, and KSAO, the SBL ratios remained approximately unity throughout both unrest periods.</w:t>
      </w:r>
    </w:p>
    <w:p w14:paraId="601E6042" w14:textId="30C0F26C" w:rsidR="007E5AB9" w:rsidRPr="00C06287" w:rsidRDefault="00C06287" w:rsidP="00C06287">
      <w:pPr>
        <w:rPr>
          <w:rFonts w:ascii="Arial" w:hAnsi="Arial" w:cs="Arial"/>
        </w:rPr>
      </w:pPr>
      <w:r w:rsidRPr="00C06287">
        <w:rPr>
          <w:rFonts w:ascii="Arial" w:hAnsi="Arial" w:cs="Arial"/>
        </w:rPr>
        <w:t xml:space="preserve">These results support the robustness of the main results </w:t>
      </w:r>
      <w:r w:rsidR="00B0497B">
        <w:rPr>
          <w:rFonts w:ascii="Arial" w:hAnsi="Arial" w:cs="Arial" w:hint="eastAsia"/>
        </w:rPr>
        <w:t>based on</w:t>
      </w:r>
      <w:r w:rsidRPr="00C06287">
        <w:rPr>
          <w:rFonts w:ascii="Arial" w:hAnsi="Arial" w:cs="Arial"/>
        </w:rPr>
        <w:t xml:space="preserve"> the 3.5–7.0 Hz band, at least for the period after 2012.</w:t>
      </w:r>
    </w:p>
    <w:p w14:paraId="5752BD80" w14:textId="77777777" w:rsidR="007E5AB9" w:rsidRPr="00950A59" w:rsidRDefault="007E5AB9">
      <w:pPr>
        <w:rPr>
          <w:rFonts w:ascii="Arial" w:hAnsi="Arial" w:cs="Arial"/>
        </w:rPr>
      </w:pPr>
    </w:p>
    <w:p w14:paraId="79DB4F70" w14:textId="63F8B55E" w:rsidR="00537B08" w:rsidRPr="00950A59" w:rsidRDefault="00537B08">
      <w:pPr>
        <w:rPr>
          <w:rFonts w:ascii="Arial" w:hAnsi="Arial" w:cs="Arial"/>
        </w:rPr>
      </w:pPr>
      <w:r w:rsidRPr="00950A59">
        <w:rPr>
          <w:rFonts w:ascii="Arial" w:hAnsi="Arial" w:cs="Arial"/>
          <w:b/>
          <w:bCs/>
          <w:noProof/>
          <w:color w:val="000000"/>
          <w:kern w:val="0"/>
        </w:rPr>
        <w:drawing>
          <wp:inline distT="0" distB="0" distL="0" distR="0" wp14:anchorId="0F61EB21" wp14:editId="531BED76">
            <wp:extent cx="5383105" cy="4037329"/>
            <wp:effectExtent l="0" t="0" r="8255" b="1905"/>
            <wp:docPr id="15060448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44838" name="図 1"/>
                    <pic:cNvPicPr>
                      <a:picLocks noChangeAspect="1" noChangeArrowheads="1"/>
                    </pic:cNvPicPr>
                  </pic:nvPicPr>
                  <pic:blipFill>
                    <a:blip r:embed="rId14"/>
                    <a:stretch>
                      <a:fillRect/>
                    </a:stretch>
                  </pic:blipFill>
                  <pic:spPr bwMode="auto">
                    <a:xfrm>
                      <a:off x="0" y="0"/>
                      <a:ext cx="5383105" cy="4037329"/>
                    </a:xfrm>
                    <a:prstGeom prst="rect">
                      <a:avLst/>
                    </a:prstGeom>
                    <a:noFill/>
                    <a:ln>
                      <a:noFill/>
                    </a:ln>
                  </pic:spPr>
                </pic:pic>
              </a:graphicData>
            </a:graphic>
          </wp:inline>
        </w:drawing>
      </w:r>
    </w:p>
    <w:p w14:paraId="1E7F5254" w14:textId="77777777" w:rsidR="00537B08" w:rsidRPr="00950A59" w:rsidRDefault="00537B08">
      <w:pPr>
        <w:rPr>
          <w:rFonts w:ascii="Arial" w:hAnsi="Arial" w:cs="Arial"/>
        </w:rPr>
      </w:pPr>
    </w:p>
    <w:p w14:paraId="4C0CAB36" w14:textId="23F062CF" w:rsidR="00186778" w:rsidRDefault="00537B08" w:rsidP="00CF6FDD">
      <w:pPr>
        <w:rPr>
          <w:rFonts w:ascii="Arial" w:hAnsi="Arial" w:cs="Arial"/>
        </w:rPr>
      </w:pPr>
      <w:r w:rsidRPr="00950A59">
        <w:rPr>
          <w:rFonts w:ascii="Arial" w:hAnsi="Arial" w:cs="Arial"/>
        </w:rPr>
        <w:t>Figure S</w:t>
      </w:r>
      <w:r w:rsidR="00CD6A3D">
        <w:rPr>
          <w:rFonts w:ascii="Arial" w:hAnsi="Arial" w:cs="Arial" w:hint="eastAsia"/>
        </w:rPr>
        <w:t>7</w:t>
      </w:r>
      <w:r w:rsidRPr="00950A59">
        <w:rPr>
          <w:rFonts w:ascii="Arial" w:hAnsi="Arial" w:cs="Arial"/>
        </w:rPr>
        <w:t>: Normalized SBL</w:t>
      </w:r>
      <w:r w:rsidR="00D257B3">
        <w:rPr>
          <w:rFonts w:ascii="Arial" w:hAnsi="Arial" w:cs="Arial" w:hint="eastAsia"/>
        </w:rPr>
        <w:t>s</w:t>
      </w:r>
      <w:r w:rsidRPr="00950A59">
        <w:rPr>
          <w:rFonts w:ascii="Arial" w:hAnsi="Arial" w:cs="Arial"/>
        </w:rPr>
        <w:t xml:space="preserve"> and SBL</w:t>
      </w:r>
      <w:r w:rsidR="00684EFD">
        <w:rPr>
          <w:rFonts w:ascii="Arial" w:hAnsi="Arial" w:cs="Arial" w:hint="eastAsia"/>
        </w:rPr>
        <w:t xml:space="preserve"> ratio</w:t>
      </w:r>
      <w:r w:rsidRPr="00950A59">
        <w:rPr>
          <w:rFonts w:ascii="Arial" w:hAnsi="Arial" w:cs="Arial"/>
        </w:rPr>
        <w:t>s for various station combinations</w:t>
      </w:r>
      <w:r w:rsidR="00B05873">
        <w:rPr>
          <w:rFonts w:ascii="Arial" w:hAnsi="Arial" w:cs="Arial" w:hint="eastAsia"/>
        </w:rPr>
        <w:t xml:space="preserve"> </w:t>
      </w:r>
      <w:r w:rsidR="00B05873" w:rsidRPr="00B05873">
        <w:rPr>
          <w:rFonts w:ascii="Arial" w:hAnsi="Arial" w:cs="Arial"/>
        </w:rPr>
        <w:t xml:space="preserve">calculated </w:t>
      </w:r>
      <w:r w:rsidR="008A68C7">
        <w:rPr>
          <w:rFonts w:ascii="Arial" w:hAnsi="Arial" w:cs="Arial" w:hint="eastAsia"/>
        </w:rPr>
        <w:t>with</w:t>
      </w:r>
      <w:r w:rsidR="00B05873" w:rsidRPr="00B05873">
        <w:rPr>
          <w:rFonts w:ascii="Arial" w:hAnsi="Arial" w:cs="Arial"/>
        </w:rPr>
        <w:t xml:space="preserve"> the 3.5–7.0 Hz band</w:t>
      </w:r>
      <w:r w:rsidR="002026B5">
        <w:rPr>
          <w:rFonts w:ascii="Arial" w:hAnsi="Arial" w:cs="Arial" w:hint="eastAsia"/>
        </w:rPr>
        <w:t>.</w:t>
      </w:r>
    </w:p>
    <w:p w14:paraId="2D9363D7" w14:textId="3D85AB62" w:rsidR="0060585B" w:rsidRDefault="00537B08" w:rsidP="00CF6FDD">
      <w:pPr>
        <w:rPr>
          <w:rFonts w:ascii="Arial" w:hAnsi="Arial" w:cs="Arial"/>
        </w:rPr>
      </w:pPr>
      <w:r w:rsidRPr="00950A59">
        <w:rPr>
          <w:rFonts w:ascii="Arial" w:hAnsi="Arial" w:cs="Arial"/>
        </w:rPr>
        <w:lastRenderedPageBreak/>
        <w:t>Colored plots show the normalized SBLs, and black plots show their ratios, with the row direction corresponding to the denominator station. Data are shown for the period from 201</w:t>
      </w:r>
      <w:r w:rsidR="002951EC" w:rsidRPr="00950A59">
        <w:rPr>
          <w:rFonts w:ascii="Arial" w:hAnsi="Arial" w:cs="Arial"/>
        </w:rPr>
        <w:t>2</w:t>
      </w:r>
      <w:r w:rsidRPr="00950A59">
        <w:rPr>
          <w:rFonts w:ascii="Arial" w:hAnsi="Arial" w:cs="Arial"/>
        </w:rPr>
        <w:t xml:space="preserve"> to 2023.</w:t>
      </w:r>
      <w:r w:rsidR="000718E1" w:rsidRPr="00950A59">
        <w:rPr>
          <w:rFonts w:ascii="Arial" w:hAnsi="Arial" w:cs="Arial"/>
        </w:rPr>
        <w:t xml:space="preserve"> </w:t>
      </w:r>
      <w:r w:rsidR="006B7BBD" w:rsidRPr="00950A59">
        <w:rPr>
          <w:rFonts w:ascii="Arial" w:hAnsi="Arial" w:cs="Arial"/>
        </w:rPr>
        <w:t>The orange and brown shaded areas indicate the 2014 unrest (Periods V–VI) and the 2018 unrest (Periods VII–IX), respectively.</w:t>
      </w:r>
    </w:p>
    <w:p w14:paraId="20B9B254" w14:textId="77777777" w:rsidR="00CF6FDD" w:rsidRDefault="00CF6FDD" w:rsidP="00CF6FDD">
      <w:pPr>
        <w:rPr>
          <w:rFonts w:ascii="Arial" w:hAnsi="Arial" w:cs="Arial"/>
        </w:rPr>
      </w:pPr>
    </w:p>
    <w:p w14:paraId="5508E6F5" w14:textId="77777777" w:rsidR="00A30215" w:rsidRPr="00950A59" w:rsidRDefault="00A30215" w:rsidP="00CF6FDD">
      <w:pPr>
        <w:rPr>
          <w:rFonts w:ascii="Arial" w:hAnsi="Arial" w:cs="Arial"/>
        </w:rPr>
      </w:pPr>
    </w:p>
    <w:p w14:paraId="55EC2994" w14:textId="30616093" w:rsidR="00BC08DA" w:rsidRPr="00950A59" w:rsidRDefault="005F3522">
      <w:pPr>
        <w:rPr>
          <w:rFonts w:ascii="Arial" w:hAnsi="Arial" w:cs="Arial"/>
        </w:rPr>
      </w:pPr>
      <w:r w:rsidRPr="00950A59">
        <w:rPr>
          <w:rFonts w:ascii="Arial" w:hAnsi="Arial" w:cs="Arial"/>
          <w:noProof/>
        </w:rPr>
        <w:drawing>
          <wp:inline distT="0" distB="0" distL="0" distR="0" wp14:anchorId="5C8648CC" wp14:editId="32074F64">
            <wp:extent cx="5397500" cy="4048125"/>
            <wp:effectExtent l="0" t="0" r="0" b="9525"/>
            <wp:docPr id="3455615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61546" name="図 1"/>
                    <pic:cNvPicPr>
                      <a:picLocks noChangeAspect="1" noChangeArrowheads="1"/>
                    </pic:cNvPicPr>
                  </pic:nvPicPr>
                  <pic:blipFill>
                    <a:blip r:embed="rId15"/>
                    <a:stretch>
                      <a:fillRect/>
                    </a:stretch>
                  </pic:blipFill>
                  <pic:spPr bwMode="auto">
                    <a:xfrm>
                      <a:off x="0" y="0"/>
                      <a:ext cx="5397500" cy="4048125"/>
                    </a:xfrm>
                    <a:prstGeom prst="rect">
                      <a:avLst/>
                    </a:prstGeom>
                    <a:noFill/>
                    <a:ln>
                      <a:noFill/>
                    </a:ln>
                  </pic:spPr>
                </pic:pic>
              </a:graphicData>
            </a:graphic>
          </wp:inline>
        </w:drawing>
      </w:r>
    </w:p>
    <w:p w14:paraId="22265419" w14:textId="77777777" w:rsidR="005F3522" w:rsidRPr="00950A59" w:rsidRDefault="005F3522">
      <w:pPr>
        <w:rPr>
          <w:rFonts w:ascii="Arial" w:hAnsi="Arial" w:cs="Arial"/>
        </w:rPr>
      </w:pPr>
    </w:p>
    <w:p w14:paraId="7DC0D080" w14:textId="2A609C06" w:rsidR="00773B4A" w:rsidRPr="00950A59" w:rsidRDefault="006B2B20" w:rsidP="005C7D5B">
      <w:pPr>
        <w:rPr>
          <w:rFonts w:ascii="Arial" w:hAnsi="Arial" w:cs="Arial"/>
        </w:rPr>
      </w:pPr>
      <w:r w:rsidRPr="00950A59">
        <w:rPr>
          <w:rFonts w:ascii="Arial" w:hAnsi="Arial" w:cs="Arial"/>
        </w:rPr>
        <w:t>Figure S</w:t>
      </w:r>
      <w:r w:rsidR="00AE3A2C">
        <w:rPr>
          <w:rFonts w:ascii="Arial" w:hAnsi="Arial" w:cs="Arial" w:hint="eastAsia"/>
        </w:rPr>
        <w:t>8</w:t>
      </w:r>
      <w:r w:rsidRPr="00950A59">
        <w:rPr>
          <w:rFonts w:ascii="Arial" w:hAnsi="Arial" w:cs="Arial"/>
        </w:rPr>
        <w:t xml:space="preserve">: </w:t>
      </w:r>
      <w:r w:rsidR="009A3524" w:rsidRPr="00950A59">
        <w:rPr>
          <w:rFonts w:ascii="Arial" w:hAnsi="Arial" w:cs="Arial"/>
        </w:rPr>
        <w:t>Same as Fig. S</w:t>
      </w:r>
      <w:r w:rsidR="00AE3A2C">
        <w:rPr>
          <w:rFonts w:ascii="Arial" w:hAnsi="Arial" w:cs="Arial" w:hint="eastAsia"/>
        </w:rPr>
        <w:t>7</w:t>
      </w:r>
      <w:r w:rsidR="009A3524" w:rsidRPr="00950A59">
        <w:rPr>
          <w:rFonts w:ascii="Arial" w:hAnsi="Arial" w:cs="Arial"/>
        </w:rPr>
        <w:t xml:space="preserve">, but calculated </w:t>
      </w:r>
      <w:r w:rsidR="00B30B83">
        <w:rPr>
          <w:rFonts w:ascii="Arial" w:hAnsi="Arial" w:cs="Arial" w:hint="eastAsia"/>
        </w:rPr>
        <w:t>with</w:t>
      </w:r>
      <w:r w:rsidR="009A3524" w:rsidRPr="00950A59">
        <w:rPr>
          <w:rFonts w:ascii="Arial" w:hAnsi="Arial" w:cs="Arial"/>
        </w:rPr>
        <w:t xml:space="preserve"> the 3.0–7.0 Hz band.</w:t>
      </w:r>
      <w:r w:rsidR="00773B4A" w:rsidRPr="00950A59">
        <w:rPr>
          <w:rFonts w:ascii="Arial" w:hAnsi="Arial" w:cs="Arial"/>
        </w:rPr>
        <w:br w:type="page"/>
      </w:r>
    </w:p>
    <w:p w14:paraId="554ACF81" w14:textId="2CD45D6F" w:rsidR="009159FA" w:rsidRPr="00950A59" w:rsidRDefault="00DD0F71" w:rsidP="009159FA">
      <w:pPr>
        <w:rPr>
          <w:rFonts w:ascii="Arial" w:hAnsi="Arial" w:cs="Arial"/>
          <w:b/>
          <w:bCs/>
          <w:sz w:val="24"/>
          <w:u w:val="single"/>
        </w:rPr>
      </w:pPr>
      <w:r>
        <w:rPr>
          <w:rFonts w:ascii="Arial" w:hAnsi="Arial" w:cs="Arial" w:hint="eastAsia"/>
          <w:b/>
          <w:bCs/>
          <w:sz w:val="24"/>
          <w:u w:val="single"/>
        </w:rPr>
        <w:lastRenderedPageBreak/>
        <w:t xml:space="preserve">S4. </w:t>
      </w:r>
      <w:r w:rsidR="009159FA" w:rsidRPr="00B919D0">
        <w:rPr>
          <w:rFonts w:ascii="Arial" w:hAnsi="Arial" w:cs="Arial"/>
          <w:b/>
          <w:bCs/>
          <w:sz w:val="24"/>
          <w:u w:val="single"/>
        </w:rPr>
        <w:t>Sensitivity of SBL and SBL</w:t>
      </w:r>
      <w:r w:rsidR="009159FA">
        <w:rPr>
          <w:rFonts w:ascii="Arial" w:hAnsi="Arial" w:cs="Arial" w:hint="eastAsia"/>
          <w:b/>
          <w:bCs/>
          <w:sz w:val="24"/>
          <w:u w:val="single"/>
        </w:rPr>
        <w:t xml:space="preserve"> ratio </w:t>
      </w:r>
      <w:r w:rsidR="009159FA" w:rsidRPr="00B919D0">
        <w:rPr>
          <w:rFonts w:ascii="Arial" w:hAnsi="Arial" w:cs="Arial"/>
          <w:b/>
          <w:bCs/>
          <w:sz w:val="24"/>
          <w:u w:val="single"/>
        </w:rPr>
        <w:t xml:space="preserve">to </w:t>
      </w:r>
      <w:r w:rsidR="009159FA">
        <w:rPr>
          <w:rFonts w:ascii="Arial" w:hAnsi="Arial" w:cs="Arial" w:hint="eastAsia"/>
          <w:b/>
          <w:bCs/>
          <w:sz w:val="24"/>
          <w:u w:val="single"/>
        </w:rPr>
        <w:t>reference period</w:t>
      </w:r>
    </w:p>
    <w:p w14:paraId="4F8879A3" w14:textId="77777777" w:rsidR="00856E0E" w:rsidRPr="009159FA" w:rsidRDefault="00856E0E" w:rsidP="00773B4A">
      <w:pPr>
        <w:rPr>
          <w:rFonts w:ascii="Arial" w:hAnsi="Arial" w:cs="Arial"/>
        </w:rPr>
      </w:pPr>
    </w:p>
    <w:p w14:paraId="589F3369" w14:textId="64DA0191" w:rsidR="006B5786" w:rsidRDefault="00A33AD3" w:rsidP="00773B4A">
      <w:pPr>
        <w:rPr>
          <w:rFonts w:ascii="Arial" w:hAnsi="Arial" w:cs="Arial"/>
        </w:rPr>
      </w:pPr>
      <w:r w:rsidRPr="00A33AD3">
        <w:rPr>
          <w:rFonts w:ascii="Arial" w:hAnsi="Arial" w:cs="Arial"/>
        </w:rPr>
        <w:t>To evaluate the influence of the reference period on the main results, we compared the normalized SBL</w:t>
      </w:r>
      <w:r w:rsidR="00277079">
        <w:rPr>
          <w:rFonts w:ascii="Arial" w:hAnsi="Arial" w:cs="Arial" w:hint="eastAsia"/>
        </w:rPr>
        <w:t>s</w:t>
      </w:r>
      <w:r w:rsidRPr="00A33AD3">
        <w:rPr>
          <w:rFonts w:ascii="Arial" w:hAnsi="Arial" w:cs="Arial"/>
        </w:rPr>
        <w:t xml:space="preserve"> and SBL ratios calculated </w:t>
      </w:r>
      <w:r w:rsidR="00E346A8">
        <w:rPr>
          <w:rFonts w:ascii="Arial" w:hAnsi="Arial" w:cs="Arial" w:hint="eastAsia"/>
        </w:rPr>
        <w:t>with</w:t>
      </w:r>
      <w:r w:rsidRPr="00A33AD3">
        <w:rPr>
          <w:rFonts w:ascii="Arial" w:hAnsi="Arial" w:cs="Arial"/>
        </w:rPr>
        <w:t xml:space="preserve"> December 2019 to January 2020 (Fig. S7) and 11 November to 23 December 2012 (Fig. S9) as the reference periods. The two results show no substantial differences in their temporal trends. These results indicate that the main features discussed in this study are robust with respect to the choice of the reference period, although the absolute values differ due to normalization.</w:t>
      </w:r>
    </w:p>
    <w:p w14:paraId="5AE17BFF" w14:textId="77777777" w:rsidR="00A33AD3" w:rsidRDefault="00A33AD3" w:rsidP="00773B4A">
      <w:pPr>
        <w:rPr>
          <w:rFonts w:ascii="Arial" w:hAnsi="Arial" w:cs="Arial"/>
        </w:rPr>
      </w:pPr>
    </w:p>
    <w:p w14:paraId="38C36BDC" w14:textId="586255F5" w:rsidR="00773B4A" w:rsidRPr="00950A59" w:rsidRDefault="00773B4A" w:rsidP="00773B4A">
      <w:pPr>
        <w:rPr>
          <w:rFonts w:ascii="Arial" w:hAnsi="Arial" w:cs="Arial"/>
        </w:rPr>
      </w:pPr>
      <w:r w:rsidRPr="00950A59">
        <w:rPr>
          <w:rFonts w:ascii="Arial" w:hAnsi="Arial" w:cs="Arial"/>
          <w:noProof/>
        </w:rPr>
        <w:drawing>
          <wp:inline distT="0" distB="0" distL="0" distR="0" wp14:anchorId="4E82CA61" wp14:editId="2F7ABC8B">
            <wp:extent cx="5397500" cy="4048125"/>
            <wp:effectExtent l="0" t="0" r="0" b="9525"/>
            <wp:docPr id="7606232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23238" name="図 1"/>
                    <pic:cNvPicPr>
                      <a:picLocks noChangeAspect="1" noChangeArrowheads="1"/>
                    </pic:cNvPicPr>
                  </pic:nvPicPr>
                  <pic:blipFill>
                    <a:blip r:embed="rId16"/>
                    <a:stretch>
                      <a:fillRect/>
                    </a:stretch>
                  </pic:blipFill>
                  <pic:spPr bwMode="auto">
                    <a:xfrm>
                      <a:off x="0" y="0"/>
                      <a:ext cx="5397500" cy="4048125"/>
                    </a:xfrm>
                    <a:prstGeom prst="rect">
                      <a:avLst/>
                    </a:prstGeom>
                    <a:noFill/>
                    <a:ln>
                      <a:noFill/>
                    </a:ln>
                  </pic:spPr>
                </pic:pic>
              </a:graphicData>
            </a:graphic>
          </wp:inline>
        </w:drawing>
      </w:r>
    </w:p>
    <w:p w14:paraId="3C0DA094" w14:textId="77777777" w:rsidR="00773B4A" w:rsidRPr="00950A59" w:rsidRDefault="00773B4A" w:rsidP="00773B4A">
      <w:pPr>
        <w:rPr>
          <w:rFonts w:ascii="Arial" w:hAnsi="Arial" w:cs="Arial"/>
        </w:rPr>
      </w:pPr>
    </w:p>
    <w:p w14:paraId="40DF5BB0" w14:textId="64F0D83B" w:rsidR="00773B4A" w:rsidRPr="00950A59" w:rsidRDefault="001E20BF" w:rsidP="00773B4A">
      <w:pPr>
        <w:rPr>
          <w:rFonts w:ascii="Arial" w:hAnsi="Arial" w:cs="Arial"/>
        </w:rPr>
      </w:pPr>
      <w:r w:rsidRPr="00950A59">
        <w:rPr>
          <w:rFonts w:ascii="Arial" w:hAnsi="Arial" w:cs="Arial"/>
        </w:rPr>
        <w:t>Figure S</w:t>
      </w:r>
      <w:r w:rsidR="00AE3A2C">
        <w:rPr>
          <w:rFonts w:ascii="Arial" w:hAnsi="Arial" w:cs="Arial" w:hint="eastAsia"/>
        </w:rPr>
        <w:t>9</w:t>
      </w:r>
      <w:r w:rsidR="000F4D9B">
        <w:rPr>
          <w:rFonts w:ascii="Arial" w:hAnsi="Arial" w:cs="Arial" w:hint="eastAsia"/>
        </w:rPr>
        <w:t>:</w:t>
      </w:r>
      <w:r w:rsidRPr="00950A59">
        <w:rPr>
          <w:rFonts w:ascii="Arial" w:hAnsi="Arial" w:cs="Arial"/>
        </w:rPr>
        <w:t xml:space="preserve"> Same as Fig. S</w:t>
      </w:r>
      <w:r w:rsidR="00AE3A2C">
        <w:rPr>
          <w:rFonts w:ascii="Arial" w:hAnsi="Arial" w:cs="Arial" w:hint="eastAsia"/>
        </w:rPr>
        <w:t>7</w:t>
      </w:r>
      <w:r w:rsidRPr="00950A59">
        <w:rPr>
          <w:rFonts w:ascii="Arial" w:hAnsi="Arial" w:cs="Arial"/>
        </w:rPr>
        <w:t xml:space="preserve">, but </w:t>
      </w:r>
      <w:r w:rsidR="00E346A8">
        <w:rPr>
          <w:rFonts w:ascii="Arial" w:hAnsi="Arial" w:cs="Arial" w:hint="eastAsia"/>
        </w:rPr>
        <w:t>with</w:t>
      </w:r>
      <w:r w:rsidRPr="00950A59">
        <w:rPr>
          <w:rFonts w:ascii="Arial" w:hAnsi="Arial" w:cs="Arial"/>
        </w:rPr>
        <w:t xml:space="preserve"> the mean SBL during the period from 11 November to 23 December 2012 as the reference.</w:t>
      </w:r>
    </w:p>
    <w:p w14:paraId="115BFD30" w14:textId="77777777" w:rsidR="001F2A57" w:rsidRPr="00950A59" w:rsidRDefault="001F2A57">
      <w:pPr>
        <w:rPr>
          <w:rFonts w:ascii="Arial" w:hAnsi="Arial" w:cs="Arial"/>
        </w:rPr>
      </w:pPr>
    </w:p>
    <w:p w14:paraId="320B09C7" w14:textId="77777777" w:rsidR="001F2A57" w:rsidRPr="00950A59" w:rsidRDefault="001F2A57">
      <w:pPr>
        <w:rPr>
          <w:rFonts w:ascii="Arial" w:hAnsi="Arial" w:cs="Arial"/>
        </w:rPr>
      </w:pPr>
    </w:p>
    <w:p w14:paraId="74ABEB11" w14:textId="0F4DD3AD" w:rsidR="00C92136" w:rsidRPr="00950A59" w:rsidRDefault="00C92136">
      <w:pPr>
        <w:widowControl/>
        <w:rPr>
          <w:rFonts w:ascii="Arial" w:hAnsi="Arial" w:cs="Arial"/>
        </w:rPr>
      </w:pPr>
      <w:r w:rsidRPr="00950A59">
        <w:rPr>
          <w:rFonts w:ascii="Arial" w:hAnsi="Arial" w:cs="Arial"/>
        </w:rPr>
        <w:br w:type="page"/>
      </w:r>
    </w:p>
    <w:p w14:paraId="542857BA" w14:textId="685DA1F3" w:rsidR="00763B80" w:rsidRPr="00950A59" w:rsidRDefault="00FF0421">
      <w:pPr>
        <w:widowControl/>
        <w:rPr>
          <w:rFonts w:ascii="Arial" w:hAnsi="Arial" w:cs="Arial"/>
          <w:b/>
          <w:bCs/>
          <w:sz w:val="24"/>
          <w:u w:val="single"/>
        </w:rPr>
      </w:pPr>
      <w:r>
        <w:rPr>
          <w:rFonts w:ascii="Arial" w:hAnsi="Arial" w:cs="Arial" w:hint="eastAsia"/>
          <w:b/>
          <w:bCs/>
          <w:sz w:val="24"/>
          <w:u w:val="single"/>
        </w:rPr>
        <w:lastRenderedPageBreak/>
        <w:t xml:space="preserve">S5. </w:t>
      </w:r>
      <w:r w:rsidR="00763B80" w:rsidRPr="00950A59">
        <w:rPr>
          <w:rFonts w:ascii="Arial" w:hAnsi="Arial" w:cs="Arial"/>
          <w:b/>
          <w:bCs/>
          <w:sz w:val="24"/>
          <w:u w:val="single"/>
        </w:rPr>
        <w:t xml:space="preserve">Evaluation of </w:t>
      </w:r>
      <w:r w:rsidR="000B1D15" w:rsidRPr="00950A59">
        <w:rPr>
          <w:rFonts w:ascii="Arial" w:hAnsi="Arial" w:cs="Arial"/>
          <w:b/>
          <w:bCs/>
          <w:sz w:val="24"/>
          <w:u w:val="single"/>
        </w:rPr>
        <w:t xml:space="preserve">linear </w:t>
      </w:r>
      <w:r w:rsidR="00763B80" w:rsidRPr="00950A59">
        <w:rPr>
          <w:rFonts w:ascii="Arial" w:hAnsi="Arial" w:cs="Arial"/>
          <w:b/>
          <w:bCs/>
          <w:sz w:val="24"/>
          <w:u w:val="single"/>
        </w:rPr>
        <w:t>trend</w:t>
      </w:r>
      <w:r w:rsidR="000B1D15" w:rsidRPr="00950A59">
        <w:rPr>
          <w:rFonts w:ascii="Arial" w:hAnsi="Arial" w:cs="Arial"/>
          <w:b/>
          <w:bCs/>
          <w:sz w:val="24"/>
          <w:u w:val="single"/>
        </w:rPr>
        <w:t>s</w:t>
      </w:r>
      <w:r w:rsidR="00763B80" w:rsidRPr="00950A59">
        <w:rPr>
          <w:rFonts w:ascii="Arial" w:hAnsi="Arial" w:cs="Arial"/>
          <w:b/>
          <w:bCs/>
          <w:sz w:val="24"/>
          <w:u w:val="single"/>
        </w:rPr>
        <w:t xml:space="preserve"> </w:t>
      </w:r>
      <w:r w:rsidR="000B1D15" w:rsidRPr="00950A59">
        <w:rPr>
          <w:rFonts w:ascii="Arial" w:hAnsi="Arial" w:cs="Arial"/>
          <w:b/>
          <w:bCs/>
          <w:sz w:val="24"/>
          <w:u w:val="single"/>
        </w:rPr>
        <w:t>in</w:t>
      </w:r>
      <w:r w:rsidR="00763B80" w:rsidRPr="00950A59">
        <w:rPr>
          <w:rFonts w:ascii="Arial" w:hAnsi="Arial" w:cs="Arial"/>
          <w:b/>
          <w:bCs/>
          <w:sz w:val="24"/>
          <w:u w:val="single"/>
        </w:rPr>
        <w:t xml:space="preserve"> SBL variations</w:t>
      </w:r>
      <w:r w:rsidR="000B1D15" w:rsidRPr="00950A59">
        <w:rPr>
          <w:rFonts w:ascii="Arial" w:hAnsi="Arial" w:cs="Arial"/>
          <w:b/>
          <w:bCs/>
          <w:sz w:val="24"/>
          <w:u w:val="single"/>
        </w:rPr>
        <w:t xml:space="preserve"> for each period</w:t>
      </w:r>
    </w:p>
    <w:p w14:paraId="6FAA9CFE" w14:textId="77777777" w:rsidR="001B33BA" w:rsidRPr="00617F87" w:rsidRDefault="001B33BA">
      <w:pPr>
        <w:widowControl/>
        <w:rPr>
          <w:rFonts w:ascii="Arial" w:hAnsi="Arial" w:cs="Arial"/>
          <w:szCs w:val="21"/>
        </w:rPr>
      </w:pPr>
    </w:p>
    <w:p w14:paraId="2FA53691" w14:textId="12905EE6" w:rsidR="00617F87" w:rsidRPr="00617F87" w:rsidRDefault="00617F87">
      <w:pPr>
        <w:widowControl/>
        <w:rPr>
          <w:rFonts w:ascii="Arial" w:hAnsi="Arial" w:cs="Arial"/>
          <w:szCs w:val="21"/>
        </w:rPr>
      </w:pPr>
      <w:r w:rsidRPr="00617F87">
        <w:rPr>
          <w:rFonts w:ascii="Arial" w:hAnsi="Arial" w:cs="Arial"/>
          <w:szCs w:val="21"/>
        </w:rPr>
        <w:t>To quantitatively evaluate the long-term temporal trends of the SBL, we performed linear regression analysis for each period.</w:t>
      </w:r>
      <w:r w:rsidR="002160E0">
        <w:rPr>
          <w:rFonts w:ascii="Arial" w:hAnsi="Arial" w:cs="Arial" w:hint="eastAsia"/>
          <w:szCs w:val="21"/>
        </w:rPr>
        <w:t xml:space="preserve"> </w:t>
      </w:r>
      <w:r w:rsidR="00743A2D" w:rsidRPr="00743A2D">
        <w:rPr>
          <w:rFonts w:ascii="Arial" w:hAnsi="Arial" w:cs="Arial"/>
          <w:szCs w:val="21"/>
        </w:rPr>
        <w:t>We regressed log10(SBL) against elapsed time for each period.</w:t>
      </w:r>
      <w:r w:rsidR="002160E0" w:rsidRPr="002160E0">
        <w:rPr>
          <w:rFonts w:ascii="Arial" w:hAnsi="Arial" w:cs="Arial"/>
          <w:szCs w:val="21"/>
        </w:rPr>
        <w:t xml:space="preserve"> Figure S10 shows the SBL time series at station KSHA together with the linear trends estimated for each period.</w:t>
      </w:r>
    </w:p>
    <w:p w14:paraId="5D0B93E8" w14:textId="77777777" w:rsidR="00617F87" w:rsidRPr="00617F87" w:rsidRDefault="00617F87">
      <w:pPr>
        <w:widowControl/>
        <w:rPr>
          <w:rFonts w:ascii="Arial" w:hAnsi="Arial" w:cs="Arial"/>
          <w:szCs w:val="21"/>
        </w:rPr>
      </w:pPr>
    </w:p>
    <w:p w14:paraId="4544C76E" w14:textId="55D6DE3D" w:rsidR="002407D9" w:rsidRPr="00617F87" w:rsidRDefault="00B7201A">
      <w:pPr>
        <w:widowControl/>
        <w:rPr>
          <w:rFonts w:ascii="Arial" w:hAnsi="Arial" w:cs="Arial"/>
          <w:szCs w:val="21"/>
        </w:rPr>
      </w:pPr>
      <w:r w:rsidRPr="00617F87">
        <w:rPr>
          <w:rFonts w:ascii="Arial" w:hAnsi="Arial" w:cs="Arial"/>
          <w:noProof/>
          <w:szCs w:val="21"/>
        </w:rPr>
        <w:drawing>
          <wp:inline distT="0" distB="0" distL="0" distR="0" wp14:anchorId="2F18B05D" wp14:editId="431902A8">
            <wp:extent cx="5400040" cy="2314575"/>
            <wp:effectExtent l="0" t="0" r="0" b="9525"/>
            <wp:docPr id="147766498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64981" name="図 1477664981"/>
                    <pic:cNvPicPr/>
                  </pic:nvPicPr>
                  <pic:blipFill>
                    <a:blip r:embed="rId17"/>
                    <a:stretch>
                      <a:fillRect/>
                    </a:stretch>
                  </pic:blipFill>
                  <pic:spPr>
                    <a:xfrm>
                      <a:off x="0" y="0"/>
                      <a:ext cx="5400040" cy="2314575"/>
                    </a:xfrm>
                    <a:prstGeom prst="rect">
                      <a:avLst/>
                    </a:prstGeom>
                  </pic:spPr>
                </pic:pic>
              </a:graphicData>
            </a:graphic>
          </wp:inline>
        </w:drawing>
      </w:r>
    </w:p>
    <w:p w14:paraId="3542DC6A" w14:textId="77777777" w:rsidR="00A159A6" w:rsidRPr="00617F87" w:rsidRDefault="00A159A6">
      <w:pPr>
        <w:widowControl/>
        <w:rPr>
          <w:rFonts w:ascii="Arial" w:hAnsi="Arial" w:cs="Arial"/>
          <w:szCs w:val="21"/>
        </w:rPr>
      </w:pPr>
    </w:p>
    <w:p w14:paraId="3786492A" w14:textId="44FE9899" w:rsidR="006F1D1B" w:rsidRPr="00950A59" w:rsidRDefault="006F1D1B" w:rsidP="006F1D1B">
      <w:pPr>
        <w:widowControl/>
        <w:rPr>
          <w:rFonts w:ascii="Arial" w:hAnsi="Arial" w:cs="Arial"/>
        </w:rPr>
      </w:pPr>
      <w:r w:rsidRPr="00950A59">
        <w:rPr>
          <w:rFonts w:ascii="Arial" w:hAnsi="Arial" w:cs="Arial"/>
        </w:rPr>
        <w:t>Figure S</w:t>
      </w:r>
      <w:r w:rsidR="00AE3A2C">
        <w:rPr>
          <w:rFonts w:ascii="Arial" w:hAnsi="Arial" w:cs="Arial" w:hint="eastAsia"/>
        </w:rPr>
        <w:t>10</w:t>
      </w:r>
      <w:r w:rsidRPr="00950A59">
        <w:rPr>
          <w:rFonts w:ascii="Arial" w:hAnsi="Arial" w:cs="Arial"/>
        </w:rPr>
        <w:t>: Time series of SBL at station KSHA with period-based linear trends.</w:t>
      </w:r>
    </w:p>
    <w:p w14:paraId="09B95761" w14:textId="29A565B5" w:rsidR="00A159A6" w:rsidRPr="00950A59" w:rsidRDefault="002160E0" w:rsidP="006F1D1B">
      <w:pPr>
        <w:widowControl/>
        <w:rPr>
          <w:rFonts w:ascii="Arial" w:hAnsi="Arial" w:cs="Arial"/>
        </w:rPr>
      </w:pPr>
      <w:r w:rsidRPr="002160E0">
        <w:rPr>
          <w:rFonts w:ascii="Arial" w:hAnsi="Arial" w:cs="Arial"/>
        </w:rPr>
        <w:t xml:space="preserve">Solid lines indicate the fitted regression lines, while </w:t>
      </w:r>
      <w:r w:rsidR="00D1399E" w:rsidRPr="00D1399E">
        <w:rPr>
          <w:rFonts w:ascii="Arial" w:hAnsi="Arial" w:cs="Arial"/>
        </w:rPr>
        <w:t>dashed lines show the fitted trends corresponding to the 95% confidence limits of the slope, with the intercept fixed.</w:t>
      </w:r>
      <w:r w:rsidR="006F1D1B" w:rsidRPr="00950A59">
        <w:rPr>
          <w:rFonts w:ascii="Arial" w:hAnsi="Arial" w:cs="Arial"/>
        </w:rPr>
        <w:t xml:space="preserve"> Red and blue lines indicate increasing and decreasing trends, respectively, while black lines denote periods with weak or no substantial change. Details of the regression analysis are provided in Figure S</w:t>
      </w:r>
      <w:r w:rsidR="00070868">
        <w:rPr>
          <w:rFonts w:ascii="Arial" w:hAnsi="Arial" w:cs="Arial" w:hint="eastAsia"/>
        </w:rPr>
        <w:t>11</w:t>
      </w:r>
      <w:r w:rsidR="006F1D1B" w:rsidRPr="00950A59">
        <w:rPr>
          <w:rFonts w:ascii="Arial" w:hAnsi="Arial" w:cs="Arial"/>
        </w:rPr>
        <w:t>.</w:t>
      </w:r>
    </w:p>
    <w:p w14:paraId="4494812F" w14:textId="77777777" w:rsidR="00B70F9A" w:rsidRPr="00950A59" w:rsidRDefault="00B70F9A" w:rsidP="00DC2BDD">
      <w:pPr>
        <w:widowControl/>
        <w:rPr>
          <w:rFonts w:ascii="Arial" w:hAnsi="Arial" w:cs="Arial"/>
        </w:rPr>
      </w:pPr>
    </w:p>
    <w:p w14:paraId="1E911145" w14:textId="77777777" w:rsidR="00B70F9A" w:rsidRPr="00950A59" w:rsidRDefault="00B70F9A" w:rsidP="00DC2BDD">
      <w:pPr>
        <w:widowControl/>
        <w:rPr>
          <w:rFonts w:ascii="Arial" w:hAnsi="Arial" w:cs="Arial"/>
        </w:rPr>
      </w:pPr>
    </w:p>
    <w:p w14:paraId="29DF3999" w14:textId="2BB1579D" w:rsidR="00B70F9A" w:rsidRPr="00950A59" w:rsidRDefault="00B70F9A" w:rsidP="00DC2BDD">
      <w:pPr>
        <w:widowControl/>
        <w:rPr>
          <w:rFonts w:ascii="Arial" w:hAnsi="Arial" w:cs="Arial"/>
        </w:rPr>
      </w:pPr>
      <w:r w:rsidRPr="00950A59">
        <w:rPr>
          <w:rFonts w:ascii="Arial" w:hAnsi="Arial" w:cs="Arial"/>
          <w:noProof/>
        </w:rPr>
        <w:lastRenderedPageBreak/>
        <w:drawing>
          <wp:inline distT="0" distB="0" distL="0" distR="0" wp14:anchorId="31F1127C" wp14:editId="26AAFDC5">
            <wp:extent cx="5396230" cy="5995810"/>
            <wp:effectExtent l="0" t="0" r="0" b="5080"/>
            <wp:docPr id="5082506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25063" name="図 3"/>
                    <pic:cNvPicPr>
                      <a:picLocks noChangeAspect="1" noChangeArrowheads="1"/>
                    </pic:cNvPicPr>
                  </pic:nvPicPr>
                  <pic:blipFill>
                    <a:blip r:embed="rId18"/>
                    <a:stretch>
                      <a:fillRect/>
                    </a:stretch>
                  </pic:blipFill>
                  <pic:spPr bwMode="auto">
                    <a:xfrm>
                      <a:off x="0" y="0"/>
                      <a:ext cx="5396230" cy="5995810"/>
                    </a:xfrm>
                    <a:prstGeom prst="rect">
                      <a:avLst/>
                    </a:prstGeom>
                    <a:noFill/>
                    <a:ln>
                      <a:noFill/>
                    </a:ln>
                  </pic:spPr>
                </pic:pic>
              </a:graphicData>
            </a:graphic>
          </wp:inline>
        </w:drawing>
      </w:r>
    </w:p>
    <w:p w14:paraId="01C19630" w14:textId="77777777" w:rsidR="00B70F9A" w:rsidRPr="00950A59" w:rsidRDefault="00B70F9A" w:rsidP="00DC2BDD">
      <w:pPr>
        <w:widowControl/>
        <w:rPr>
          <w:rFonts w:ascii="Arial" w:hAnsi="Arial" w:cs="Arial"/>
        </w:rPr>
      </w:pPr>
    </w:p>
    <w:p w14:paraId="6CA37D5B" w14:textId="3F5E0CCD" w:rsidR="00B70F9A" w:rsidRPr="00950A59" w:rsidRDefault="00B70F9A" w:rsidP="00B70F9A">
      <w:pPr>
        <w:widowControl/>
        <w:rPr>
          <w:rFonts w:ascii="Arial" w:hAnsi="Arial" w:cs="Arial"/>
        </w:rPr>
      </w:pPr>
      <w:r w:rsidRPr="00950A59">
        <w:rPr>
          <w:rFonts w:ascii="Arial" w:hAnsi="Arial" w:cs="Arial"/>
        </w:rPr>
        <w:t>Figure S</w:t>
      </w:r>
      <w:r w:rsidR="00070868">
        <w:rPr>
          <w:rFonts w:ascii="Arial" w:hAnsi="Arial" w:cs="Arial" w:hint="eastAsia"/>
        </w:rPr>
        <w:t>11</w:t>
      </w:r>
      <w:r w:rsidR="000F4D9B">
        <w:rPr>
          <w:rFonts w:ascii="Arial" w:hAnsi="Arial" w:cs="Arial" w:hint="eastAsia"/>
        </w:rPr>
        <w:t>:</w:t>
      </w:r>
      <w:r w:rsidRPr="00950A59">
        <w:rPr>
          <w:rFonts w:ascii="Arial" w:hAnsi="Arial" w:cs="Arial"/>
        </w:rPr>
        <w:t xml:space="preserve"> Detailed linear regression analysis for each period.</w:t>
      </w:r>
    </w:p>
    <w:p w14:paraId="0EA19783" w14:textId="0A8654E8" w:rsidR="00B70F9A" w:rsidRPr="00950A59" w:rsidRDefault="00F4099E" w:rsidP="00DC2BDD">
      <w:pPr>
        <w:widowControl/>
        <w:rPr>
          <w:rFonts w:ascii="Arial" w:hAnsi="Arial" w:cs="Arial"/>
        </w:rPr>
      </w:pPr>
      <w:r w:rsidRPr="00F4099E">
        <w:rPr>
          <w:rFonts w:ascii="Arial" w:hAnsi="Arial" w:cs="Arial"/>
        </w:rPr>
        <w:t>Each panel shows the SBL data and the corresponding linear regression for one period. We performed the regression on log10(SBL) as a function of elapsed time.</w:t>
      </w:r>
      <w:r>
        <w:rPr>
          <w:rFonts w:ascii="Arial" w:hAnsi="Arial" w:cs="Arial" w:hint="eastAsia"/>
        </w:rPr>
        <w:t xml:space="preserve"> </w:t>
      </w:r>
      <w:r w:rsidRPr="00F4099E">
        <w:rPr>
          <w:rFonts w:ascii="Arial" w:hAnsi="Arial" w:cs="Arial"/>
        </w:rPr>
        <w:t>Each panel lists the duration, slope, coefficient of determination (R²), p-value, total change, and residual standard deviation. Red and blue lines indicate increasing and decreasing trends, respectively, while black lines denote periods with small slopes (|slope| &lt; 1 × 10</w:t>
      </w:r>
      <w:r w:rsidRPr="00F4099E">
        <w:rPr>
          <w:rFonts w:ascii="Cambria Math" w:hAnsi="Cambria Math" w:cs="Cambria Math"/>
        </w:rPr>
        <w:t>⁻</w:t>
      </w:r>
      <w:r w:rsidRPr="00F4099E">
        <w:rPr>
          <w:rFonts w:ascii="Arial" w:hAnsi="Arial" w:cs="Arial"/>
        </w:rPr>
        <w:t>⁴), indicating minor changes in SBL.</w:t>
      </w:r>
    </w:p>
    <w:p w14:paraId="7838991E" w14:textId="77777777" w:rsidR="002407D9" w:rsidRPr="00950A59" w:rsidRDefault="002407D9">
      <w:pPr>
        <w:widowControl/>
        <w:rPr>
          <w:rFonts w:ascii="Arial" w:hAnsi="Arial" w:cs="Arial"/>
        </w:rPr>
      </w:pPr>
      <w:r w:rsidRPr="00950A59">
        <w:rPr>
          <w:rFonts w:ascii="Arial" w:hAnsi="Arial" w:cs="Arial"/>
        </w:rPr>
        <w:br w:type="page"/>
      </w:r>
    </w:p>
    <w:p w14:paraId="5A690D0B" w14:textId="5B9F525F" w:rsidR="005C3E78" w:rsidRPr="00950A59" w:rsidRDefault="00FF0421" w:rsidP="005C3E78">
      <w:pPr>
        <w:rPr>
          <w:rFonts w:ascii="Arial" w:hAnsi="Arial" w:cs="Arial"/>
          <w:b/>
          <w:bCs/>
          <w:u w:val="single"/>
        </w:rPr>
      </w:pPr>
      <w:r>
        <w:rPr>
          <w:rFonts w:ascii="Arial" w:hAnsi="Arial" w:cs="Arial" w:hint="eastAsia"/>
          <w:b/>
          <w:bCs/>
          <w:sz w:val="24"/>
          <w:u w:val="single"/>
        </w:rPr>
        <w:lastRenderedPageBreak/>
        <w:t xml:space="preserve">S6. </w:t>
      </w:r>
      <w:r w:rsidR="00DB368D">
        <w:rPr>
          <w:rFonts w:ascii="Arial" w:hAnsi="Arial" w:cs="Arial" w:hint="eastAsia"/>
          <w:b/>
          <w:bCs/>
          <w:sz w:val="24"/>
          <w:u w:val="single"/>
        </w:rPr>
        <w:t>G</w:t>
      </w:r>
      <w:r w:rsidR="004E1DE1" w:rsidRPr="00950A59">
        <w:rPr>
          <w:rFonts w:ascii="Arial" w:hAnsi="Arial" w:cs="Arial"/>
          <w:b/>
          <w:bCs/>
          <w:sz w:val="24"/>
          <w:u w:val="single"/>
        </w:rPr>
        <w:t>round deformation by volcanic activity of Kusatsu-Shirane, Yugama area</w:t>
      </w:r>
    </w:p>
    <w:p w14:paraId="6FBF1E0E" w14:textId="77777777" w:rsidR="0071019B" w:rsidRPr="00950A59" w:rsidRDefault="0071019B" w:rsidP="000E12E6">
      <w:pPr>
        <w:rPr>
          <w:rFonts w:ascii="Arial" w:hAnsi="Arial" w:cs="Arial"/>
        </w:rPr>
      </w:pPr>
    </w:p>
    <w:p w14:paraId="2CD424F6" w14:textId="77777777" w:rsidR="00857BA7" w:rsidRPr="00950A59" w:rsidRDefault="00857BA7" w:rsidP="00857BA7">
      <w:pPr>
        <w:rPr>
          <w:rFonts w:ascii="Arial" w:hAnsi="Arial" w:cs="Arial"/>
        </w:rPr>
      </w:pPr>
      <w:r w:rsidRPr="00950A59">
        <w:rPr>
          <w:rFonts w:ascii="Arial" w:hAnsi="Arial" w:cs="Arial"/>
        </w:rPr>
        <w:t>Two major sources of ground deformation have been reported to be associated with the volcanic activity around the Yugama crater of Kusatsu-Shirane volcano.</w:t>
      </w:r>
    </w:p>
    <w:p w14:paraId="619ACECD" w14:textId="77777777" w:rsidR="00857BA7" w:rsidRPr="00950A59" w:rsidRDefault="00857BA7" w:rsidP="00857BA7">
      <w:pPr>
        <w:rPr>
          <w:rFonts w:ascii="Arial" w:hAnsi="Arial" w:cs="Arial"/>
          <w:b/>
          <w:bCs/>
        </w:rPr>
      </w:pPr>
      <w:r w:rsidRPr="00950A59">
        <w:rPr>
          <w:rFonts w:ascii="Arial" w:hAnsi="Arial" w:cs="Arial"/>
          <w:b/>
          <w:bCs/>
        </w:rPr>
        <w:t>Shallow source beneath Yugama crater lake</w:t>
      </w:r>
    </w:p>
    <w:p w14:paraId="0AFC7BB9" w14:textId="493B6856" w:rsidR="00857BA7" w:rsidRPr="00950A59" w:rsidRDefault="00B33429" w:rsidP="00857BA7">
      <w:pPr>
        <w:rPr>
          <w:rFonts w:ascii="Arial" w:hAnsi="Arial" w:cs="Arial"/>
        </w:rPr>
      </w:pPr>
      <w:r w:rsidRPr="00950A59">
        <w:rPr>
          <w:rFonts w:ascii="Arial" w:hAnsi="Arial" w:cs="Arial"/>
        </w:rPr>
        <w:fldChar w:fldCharType="begin"/>
      </w:r>
      <w:r w:rsidRPr="00950A59">
        <w:rPr>
          <w:rFonts w:ascii="Arial" w:hAnsi="Arial" w:cs="Arial"/>
        </w:rPr>
        <w:instrText xml:space="preserve"> ADDIN ZOTERO_ITEM CSL_CITATION {"citationID":"RmG083oc","properties":{"formattedCitation":"(Japan Meteorological Agency 2016)","plainCitation":"(Japan Meteorological Agency 2016)","noteIndex":0},"citationItems":[{"id":202,"uris":["http://zotero.org/users/local/K24SBYs1/items/5R238T8N"],"itemData":{"id":202,"type":"webpage","container-title":"Report of the Coordinating Committee for Prediction of Volcanic Eruption","note":"(in Japanease)","title":"Volcanic Activity of Kusatsu-Shiranesan Volcano (October 2014 –February 23, 2015)","URL":"https://www.jma.go.jp/jma/kishou/shingikai/ccpve/Report/120/kaiho_120_06.pdf","author":[{"family":"Japan Meteorological Agency","given":""}],"accessed":{"date-parts":[["2025",11,1]]},"issued":{"date-parts":[["2016",3]]}}}],"schema":"https://github.com/citation-style-language/schema/raw/master/csl-citation.json"} </w:instrText>
      </w:r>
      <w:r w:rsidRPr="00950A59">
        <w:rPr>
          <w:rFonts w:ascii="Arial" w:hAnsi="Arial" w:cs="Arial"/>
        </w:rPr>
        <w:fldChar w:fldCharType="separate"/>
      </w:r>
      <w:r w:rsidRPr="00950A59">
        <w:rPr>
          <w:rFonts w:ascii="Arial" w:hAnsi="Arial" w:cs="Arial"/>
        </w:rPr>
        <w:t>JMA (2016)</w:t>
      </w:r>
      <w:r w:rsidRPr="00950A59">
        <w:rPr>
          <w:rFonts w:ascii="Arial" w:hAnsi="Arial" w:cs="Arial"/>
        </w:rPr>
        <w:fldChar w:fldCharType="end"/>
      </w:r>
      <w:r w:rsidR="00857BA7" w:rsidRPr="00950A59">
        <w:rPr>
          <w:rFonts w:ascii="Arial" w:hAnsi="Arial" w:cs="Arial"/>
        </w:rPr>
        <w:t xml:space="preserve"> reported the presence of an inflation source located in the very shallow region directly beneath the Yugama crater (at an elevation of approximately 1660 m), based on the results of GNSS campaign observations conducted in July and November 2014. The GNSS stations used for the baseline length changes shown in Fig. </w:t>
      </w:r>
      <w:r w:rsidR="00943954">
        <w:rPr>
          <w:rFonts w:ascii="Arial" w:hAnsi="Arial" w:cs="Arial" w:hint="eastAsia"/>
        </w:rPr>
        <w:t>5</w:t>
      </w:r>
      <w:r w:rsidR="00857BA7" w:rsidRPr="00950A59">
        <w:rPr>
          <w:rFonts w:ascii="Arial" w:hAnsi="Arial" w:cs="Arial"/>
        </w:rPr>
        <w:t xml:space="preserve">e are the same as those used in that report. Therefore, we infer that the baseline length changes in Fig. </w:t>
      </w:r>
      <w:r w:rsidR="00943954">
        <w:rPr>
          <w:rFonts w:ascii="Arial" w:hAnsi="Arial" w:cs="Arial" w:hint="eastAsia"/>
        </w:rPr>
        <w:t>5</w:t>
      </w:r>
      <w:r w:rsidR="00857BA7" w:rsidRPr="00950A59">
        <w:rPr>
          <w:rFonts w:ascii="Arial" w:hAnsi="Arial" w:cs="Arial"/>
        </w:rPr>
        <w:t xml:space="preserve">e reflect the inflation of the shallow deformation source beneath Yugama. Similarly, an analysis of tiltmeter data around Yugama also revealed a shallow deformation source beneath the crater </w:t>
      </w:r>
      <w:r w:rsidR="00547D70" w:rsidRPr="00950A59">
        <w:rPr>
          <w:rFonts w:ascii="Arial" w:hAnsi="Arial" w:cs="Arial"/>
        </w:rPr>
        <w:t>(</w:t>
      </w:r>
      <w:r w:rsidR="00DB7667" w:rsidRPr="00950A59">
        <w:rPr>
          <w:rFonts w:ascii="Arial" w:hAnsi="Arial" w:cs="Arial"/>
        </w:rPr>
        <w:fldChar w:fldCharType="begin"/>
      </w:r>
      <w:r w:rsidR="00DB7667" w:rsidRPr="00950A59">
        <w:rPr>
          <w:rFonts w:ascii="Arial" w:hAnsi="Arial" w:cs="Arial"/>
        </w:rPr>
        <w:instrText xml:space="preserve"> ADDIN ZOTERO_ITEM CSL_CITATION {"citationID":"ri1XtjDB","properties":{"formattedCitation":"(Terada et al. 2025)","plainCitation":"(Terada et al. 2025)","noteIndex":0},"citationItems":[{"id":35,"uris":["http://zotero.org/users/local/K24SBYs1/items/E43A8ZQ7"],"itemData":{"id":35,"type":"chapter","container-title":"Kusatsu-Shirane Volcano","DOI":"10.1007/978-3-031-86137-6_8","ISBN":"978-3-031-86136-9","language":"en","note":"collection-title: Active Volcanoes of the World","page":"159-184","publisher":"Springer Nature Switzerland","publisher-place":"Cham","source":"DOI.org (Crossref)","title":"Geophysical Observations of Kusatsu–Shirane Volcano: Conceptual Model of the Hydrothermal System as a Site of Phreatic Eruptions","title-short":"Geophysical Observations of Kusatsu–Shirane Volcano","URL":"https://link.springer.com/10.1007/978-3-031-86137-6_8","editor":[{"family":"Ohba","given":"Takeshi"},{"family":"Terada","given":"Akihiko"}],"author":[{"family":"Terada","given":"Akihiko"},{"family":"Aoyama","given":"Hiroshi"},{"family":"Yamada","given":"Taishi"},{"family":"Yamamoto","given":"Mare"}],"accessed":{"date-parts":[["2025",9,30]]},"issued":{"date-parts":[["2025"]]}}}],"schema":"https://github.com/citation-style-language/schema/raw/master/csl-citation.json"} </w:instrText>
      </w:r>
      <w:r w:rsidR="00DB7667" w:rsidRPr="00950A59">
        <w:rPr>
          <w:rFonts w:ascii="Arial" w:hAnsi="Arial" w:cs="Arial"/>
        </w:rPr>
        <w:fldChar w:fldCharType="separate"/>
      </w:r>
      <w:r w:rsidR="00DB7667" w:rsidRPr="00950A59">
        <w:rPr>
          <w:rFonts w:ascii="Arial" w:hAnsi="Arial" w:cs="Arial"/>
        </w:rPr>
        <w:t>Terada et al. 2025)</w:t>
      </w:r>
      <w:r w:rsidR="00DB7667" w:rsidRPr="00950A59">
        <w:rPr>
          <w:rFonts w:ascii="Arial" w:hAnsi="Arial" w:cs="Arial"/>
        </w:rPr>
        <w:fldChar w:fldCharType="end"/>
      </w:r>
      <w:r w:rsidR="00857BA7" w:rsidRPr="00950A59">
        <w:rPr>
          <w:rFonts w:ascii="Arial" w:hAnsi="Arial" w:cs="Arial"/>
        </w:rPr>
        <w:t>.</w:t>
      </w:r>
    </w:p>
    <w:p w14:paraId="1323153E" w14:textId="77777777" w:rsidR="00857BA7" w:rsidRPr="00950A59" w:rsidRDefault="00857BA7" w:rsidP="00857BA7">
      <w:pPr>
        <w:rPr>
          <w:rFonts w:ascii="Arial" w:hAnsi="Arial" w:cs="Arial"/>
          <w:b/>
          <w:bCs/>
        </w:rPr>
      </w:pPr>
      <w:r w:rsidRPr="00950A59">
        <w:rPr>
          <w:rFonts w:ascii="Arial" w:hAnsi="Arial" w:cs="Arial"/>
          <w:b/>
          <w:bCs/>
        </w:rPr>
        <w:t>Deep source at approximately 2km northwest from the Yugama area</w:t>
      </w:r>
    </w:p>
    <w:p w14:paraId="43F2A55E" w14:textId="4A3D72DC" w:rsidR="00857BA7" w:rsidRPr="00950A59" w:rsidRDefault="00DB7667" w:rsidP="00857BA7">
      <w:pPr>
        <w:rPr>
          <w:rFonts w:ascii="Arial" w:hAnsi="Arial" w:cs="Arial"/>
        </w:rPr>
      </w:pPr>
      <w:r w:rsidRPr="00950A59">
        <w:rPr>
          <w:rFonts w:ascii="Arial" w:hAnsi="Arial" w:cs="Arial"/>
        </w:rPr>
        <w:fldChar w:fldCharType="begin"/>
      </w:r>
      <w:r w:rsidRPr="00950A59">
        <w:rPr>
          <w:rFonts w:ascii="Arial" w:hAnsi="Arial" w:cs="Arial"/>
        </w:rPr>
        <w:instrText xml:space="preserve"> ADDIN ZOTERO_ITEM CSL_CITATION {"citationID":"LuPSpxTk","properties":{"formattedCitation":"(Munekane 2021)","plainCitation":"(Munekane 2021)","noteIndex":0},"citationItems":[{"id":114,"uris":["http://zotero.org/users/local/K24SBYs1/items/HDVNA73I"],"itemData":{"id":114,"type":"article-journal","abstract":"Long-term deformation of Kusatsu-Shirane and Asama volcanoes in central Japan were investigated using Global Navigation Satellite System (GNSS) measurements. Large postseismic deformation caused by the 2011 Tohoku earthquake—which obscures the long-term volcanic deformation—was effectively removed by approximating the postseismic and other recent tectonic deformation in terms of quadrature of the geographical eastings/northings. Subsequently, deformation source parameters were estimated by the Markov Chain Monte Carlo (MCMC) method and linear inversion, employing an analytical model that calculates the deformation from an arbitrary oriented prolate/oblate spheroid. The deformation source of Kusatsu-Shirane volcano was found to be a sill-like oblate spheroid located a few kilometers northwest of the Yugama crater at a depth of approximately 4 $$\\text {km}$$, while that of Asama was also estimated to be a sill-like oblate spheroid beneath the western flank of the edifice at a depth of approximately 12 $$\\text {km}$$, along with the previously reported shallow east–west striking dike at a depth of approximately 1 $$\\text {km}$$. It was revealed that (1) volume changes of the Kusatsu-Shirane deformation source and the shallow deformation source of Asama were correlated with the volcanic activities of the corresponding volcanoes, and (2) the Asama deep source has been steadily losing volume, which may indicate that the volcano will experience fewer eruptions in the near future.","container-title":"Earth, Planets and Space","DOI":"10.1186/s40623-021-01512-2","ISSN":"1880-5981","issue":"1","journalAbbreviation":"Earth, Planets and Space","page":"192","source":"BioMed Central","title":"Modeling long-term volcanic deformation at Kusatsu-Shirane and Asama volcanoes, Japan, using the GNSS coordinate time series","volume":"73","author":[{"family":"Munekane","given":"Hiroshi"}],"issued":{"date-parts":[["2021",10,19]]}}}],"schema":"https://github.com/citation-style-language/schema/raw/master/csl-citation.json"} </w:instrText>
      </w:r>
      <w:r w:rsidRPr="00950A59">
        <w:rPr>
          <w:rFonts w:ascii="Arial" w:hAnsi="Arial" w:cs="Arial"/>
        </w:rPr>
        <w:fldChar w:fldCharType="separate"/>
      </w:r>
      <w:r w:rsidRPr="00950A59">
        <w:rPr>
          <w:rFonts w:ascii="Arial" w:hAnsi="Arial" w:cs="Arial"/>
        </w:rPr>
        <w:t>Munekane (2021)</w:t>
      </w:r>
      <w:r w:rsidRPr="00950A59">
        <w:rPr>
          <w:rFonts w:ascii="Arial" w:hAnsi="Arial" w:cs="Arial"/>
        </w:rPr>
        <w:fldChar w:fldCharType="end"/>
      </w:r>
      <w:r w:rsidR="00857BA7" w:rsidRPr="00950A59">
        <w:rPr>
          <w:rFonts w:ascii="Arial" w:hAnsi="Arial" w:cs="Arial"/>
        </w:rPr>
        <w:t xml:space="preserve"> analyzed GEONET data and identified a deformation source located approximately 2 km northwest of the Yugama crater at a depth of about 4 km. According to that study, the Kusatsu-Shirane source was generally inflating after 2013, with distinct inflation episodes from late 2013 to 2015 and again from late 2017 onward, which corresponded to the periods of volcanic unrest around Yugama in 2014 and 2018, respectively.</w:t>
      </w:r>
    </w:p>
    <w:p w14:paraId="13289411" w14:textId="1FADFB8E" w:rsidR="00857BA7" w:rsidRPr="00950A59" w:rsidRDefault="00A078F0" w:rsidP="00857BA7">
      <w:pPr>
        <w:rPr>
          <w:rFonts w:ascii="Arial" w:hAnsi="Arial" w:cs="Arial"/>
        </w:rPr>
      </w:pPr>
      <w:r w:rsidRPr="00950A59">
        <w:rPr>
          <w:rFonts w:ascii="Arial" w:hAnsi="Arial" w:cs="Arial"/>
        </w:rPr>
        <w:fldChar w:fldCharType="begin"/>
      </w:r>
      <w:r w:rsidRPr="00950A59">
        <w:rPr>
          <w:rFonts w:ascii="Arial" w:hAnsi="Arial" w:cs="Arial"/>
        </w:rPr>
        <w:instrText xml:space="preserve"> ADDIN ZOTERO_ITEM CSL_CITATION {"citationID":"YzRlVB3n","properties":{"formattedCitation":"(Munekane 2021)","plainCitation":"(Munekane 2021)","noteIndex":0},"citationItems":[{"id":114,"uris":["http://zotero.org/users/local/K24SBYs1/items/HDVNA73I"],"itemData":{"id":114,"type":"article-journal","abstract":"Long-term deformation of Kusatsu-Shirane and Asama volcanoes in central Japan were investigated using Global Navigation Satellite System (GNSS) measurements. Large postseismic deformation caused by the 2011 Tohoku earthquake—which obscures the long-term volcanic deformation—was effectively removed by approximating the postseismic and other recent tectonic deformation in terms of quadrature of the geographical eastings/northings. Subsequently, deformation source parameters were estimated by the Markov Chain Monte Carlo (MCMC) method and linear inversion, employing an analytical model that calculates the deformation from an arbitrary oriented prolate/oblate spheroid. The deformation source of Kusatsu-Shirane volcano was found to be a sill-like oblate spheroid located a few kilometers northwest of the Yugama crater at a depth of approximately 4 $$\\text {km}$$, while that of Asama was also estimated to be a sill-like oblate spheroid beneath the western flank of the edifice at a depth of approximately 12 $$\\text {km}$$, along with the previously reported shallow east–west striking dike at a depth of approximately 1 $$\\text {km}$$. It was revealed that (1) volume changes of the Kusatsu-Shirane deformation source and the shallow deformation source of Asama were correlated with the volcanic activities of the corresponding volcanoes, and (2) the Asama deep source has been steadily losing volume, which may indicate that the volcano will experience fewer eruptions in the near future.","container-title":"Earth, Planets and Space","DOI":"10.1186/s40623-021-01512-2","ISSN":"1880-5981","issue":"1","journalAbbreviation":"Earth, Planets and Space","page":"192","source":"BioMed Central","title":"Modeling long-term volcanic deformation at Kusatsu-Shirane and Asama volcanoes, Japan, using the GNSS coordinate time series","volume":"73","author":[{"family":"Munekane","given":"Hiroshi"}],"issued":{"date-parts":[["2021",10,19]]}}}],"schema":"https://github.com/citation-style-language/schema/raw/master/csl-citation.json"} </w:instrText>
      </w:r>
      <w:r w:rsidRPr="00950A59">
        <w:rPr>
          <w:rFonts w:ascii="Arial" w:hAnsi="Arial" w:cs="Arial"/>
        </w:rPr>
        <w:fldChar w:fldCharType="separate"/>
      </w:r>
      <w:r w:rsidRPr="00950A59">
        <w:rPr>
          <w:rFonts w:ascii="Arial" w:hAnsi="Arial" w:cs="Arial"/>
        </w:rPr>
        <w:t>Munekane (2021)</w:t>
      </w:r>
      <w:r w:rsidRPr="00950A59">
        <w:rPr>
          <w:rFonts w:ascii="Arial" w:hAnsi="Arial" w:cs="Arial"/>
        </w:rPr>
        <w:fldChar w:fldCharType="end"/>
      </w:r>
      <w:r w:rsidR="00857BA7" w:rsidRPr="00950A59">
        <w:rPr>
          <w:rFonts w:ascii="Arial" w:hAnsi="Arial" w:cs="Arial"/>
        </w:rPr>
        <w:t xml:space="preserve"> reported results only for the period from 2013 to 2020 and therefore did not cover the full duration of our SBL analysis. To examine longer-term changes, we calculated the areal strain for the GNSS stations shown in Fig. 2a </w:t>
      </w:r>
      <w:r w:rsidR="000A6CBD">
        <w:rPr>
          <w:rFonts w:ascii="Arial" w:hAnsi="Arial" w:cs="Arial" w:hint="eastAsia"/>
        </w:rPr>
        <w:t>from</w:t>
      </w:r>
      <w:r w:rsidR="00857BA7" w:rsidRPr="00950A59">
        <w:rPr>
          <w:rFonts w:ascii="Arial" w:hAnsi="Arial" w:cs="Arial"/>
        </w:rPr>
        <w:t xml:space="preserve"> the GEONET F5 </w:t>
      </w:r>
      <w:r w:rsidR="00E52E1B">
        <w:rPr>
          <w:rFonts w:ascii="Arial" w:hAnsi="Arial" w:cs="Arial" w:hint="eastAsia"/>
        </w:rPr>
        <w:t xml:space="preserve">data </w:t>
      </w:r>
      <w:r w:rsidR="00857BA7" w:rsidRPr="00950A59">
        <w:rPr>
          <w:rFonts w:ascii="Arial" w:hAnsi="Arial" w:cs="Arial"/>
        </w:rPr>
        <w:t xml:space="preserve">provided by the Geospatial Information Authority of Japan </w:t>
      </w:r>
      <w:r w:rsidRPr="00950A59">
        <w:rPr>
          <w:rFonts w:ascii="Arial" w:hAnsi="Arial" w:cs="Arial"/>
        </w:rPr>
        <w:fldChar w:fldCharType="begin"/>
      </w:r>
      <w:r w:rsidRPr="00950A59">
        <w:rPr>
          <w:rFonts w:ascii="Arial" w:hAnsi="Arial" w:cs="Arial"/>
        </w:rPr>
        <w:instrText xml:space="preserve"> ADDIN ZOTERO_ITEM CSL_CITATION {"citationID":"LU8OqJ5N","properties":{"formattedCitation":"(Takamatsu et al. 2023)","plainCitation":"(Takamatsu et al. 2023)","noteIndex":0},"citationItems":[{"id":210,"uris":["http://zotero.org/users/local/K24SBYs1/items/D5Z4ZUWP"],"itemData":{"id":210,"type":"article-journal","abstract":"The station coordinates derived from GNSS (Global Navigation Satellite System) with a conventional static method underpin the study of Earth and planetary science and surveying and mapping. For the continuous provision of high-quality coordinates, it is mandatory to cope with the increasing deviation from the global standard reference frame and the launch of modern GPS (Global Positioning System) satellites. To provide coordinates agreed with ITRF2014 (International Terrestrial Reference Frame 2014) at several millimeters for GEONET (GNSS Earth Observation Network System) in Japan, we developed a new analysis strategy named F5 and assessed the reprocessed station coordinates from 1996. The major updates in F5 can be summarized as incorporating global network processing and enhancements in troposphere modeling. As for the troposphere enhancements, a modern mapping function VMF1 (Vienna Mapping Functions 1) was employed and time intervals for troposphere estimates were shortened. Station coordinates in the global network showed a great agreement with ITRF2014 at several millimeters in the recent 20 years and comparable or slightly better performance with IGS (International GNSS Services) Analysis Centers. The RMS (root mean square) averaged over all GEONET stations indicated very high accuracy of 3.2 mm (horizontal) and 7.3 mm (vertical); the latter accounts for an improvement of roughly 10% from the previous strategy. Sensitivity tests about troposphere estimates revealed that the reduced RMS was completely due to the short time intervals, not the use of VMF1, which contributed to partly suppressing the spurious vertical annual deformation. These results confirm that F5 is sufficiently accurate for the requirements of individual applications and infer the capability of detecting smaller signals the previous strategy could not resolve.","container-title":"Earth, Planets and Space","DOI":"10.1186/s40623-023-01787-7","ISSN":"1880-5981","issue":"1","journalAbbreviation":"Earth, Planets and Space","page":"49","source":"BioMed Central","title":"New GEONET analysis strategy at GSI: daily coordinates of over 1300 GNSS CORS in Japan throughout the last quarter century","title-short":"New GEONET analysis strategy at GSI","volume":"75","author":[{"family":"Takamatsu","given":"Naofumi"},{"family":"Muramatsu","given":"Hiroki"},{"family":"Abe","given":"Satoshi"},{"family":"Hatanaka","given":"Yuki"},{"family":"Furuya","given":"Tomoaki"},{"family":"Kakiage","given":"Yasuaki"},{"family":"Ohashi","given":"Kazuyuki"},{"family":"Kato","given":"Chiaki"},{"family":"Ohno","given":"Keitaro"},{"family":"Kawamoto","given":"Satoshi"}],"issued":{"date-parts":[["2023",4,6]]}}}],"schema":"https://github.com/citation-style-language/schema/raw/master/csl-citation.json"} </w:instrText>
      </w:r>
      <w:r w:rsidRPr="00950A59">
        <w:rPr>
          <w:rFonts w:ascii="Arial" w:hAnsi="Arial" w:cs="Arial"/>
        </w:rPr>
        <w:fldChar w:fldCharType="separate"/>
      </w:r>
      <w:r w:rsidRPr="00950A59">
        <w:rPr>
          <w:rFonts w:ascii="Arial" w:hAnsi="Arial" w:cs="Arial"/>
        </w:rPr>
        <w:t>(Takamatsu et al. 2023)</w:t>
      </w:r>
      <w:r w:rsidRPr="00950A59">
        <w:rPr>
          <w:rFonts w:ascii="Arial" w:hAnsi="Arial" w:cs="Arial"/>
        </w:rPr>
        <w:fldChar w:fldCharType="end"/>
      </w:r>
      <w:r w:rsidR="00857BA7" w:rsidRPr="00950A59">
        <w:rPr>
          <w:rFonts w:ascii="Arial" w:hAnsi="Arial" w:cs="Arial"/>
        </w:rPr>
        <w:t>. To reduce short-term fluctuations, a 30-day moving average was applied. Seasonal variations were extracted from the stable period of 2008–2010 and removed from the entire dataset using the obtained seasonal component. The resulting areal strain was compared with that estimated from the volume change reported by</w:t>
      </w:r>
      <w:r w:rsidR="00E07A5A" w:rsidRPr="00950A59">
        <w:rPr>
          <w:rFonts w:ascii="Arial" w:hAnsi="Arial" w:cs="Arial"/>
        </w:rPr>
        <w:t xml:space="preserve"> </w:t>
      </w:r>
      <w:r w:rsidR="00E07A5A" w:rsidRPr="00950A59">
        <w:rPr>
          <w:rFonts w:ascii="Arial" w:hAnsi="Arial" w:cs="Arial"/>
        </w:rPr>
        <w:fldChar w:fldCharType="begin"/>
      </w:r>
      <w:r w:rsidR="00E07A5A" w:rsidRPr="00950A59">
        <w:rPr>
          <w:rFonts w:ascii="Arial" w:hAnsi="Arial" w:cs="Arial"/>
        </w:rPr>
        <w:instrText xml:space="preserve"> ADDIN ZOTERO_ITEM CSL_CITATION {"citationID":"CEhzerN9","properties":{"formattedCitation":"(Munekane 2021)","plainCitation":"(Munekane 2021)","noteIndex":0},"citationItems":[{"id":114,"uris":["http://zotero.org/users/local/K24SBYs1/items/HDVNA73I"],"itemData":{"id":114,"type":"article-journal","abstract":"Long-term deformation of Kusatsu-Shirane and Asama volcanoes in central Japan were investigated using Global Navigation Satellite System (GNSS) measurements. Large postseismic deformation caused by the 2011 Tohoku earthquake—which obscures the long-term volcanic deformation—was effectively removed by approximating the postseismic and other recent tectonic deformation in terms of quadrature of the geographical eastings/northings. Subsequently, deformation source parameters were estimated by the Markov Chain Monte Carlo (MCMC) method and linear inversion, employing an analytical model that calculates the deformation from an arbitrary oriented prolate/oblate spheroid. The deformation source of Kusatsu-Shirane volcano was found to be a sill-like oblate spheroid located a few kilometers northwest of the Yugama crater at a depth of approximately 4 $$\\text {km}$$, while that of Asama was also estimated to be a sill-like oblate spheroid beneath the western flank of the edifice at a depth of approximately 12 $$\\text {km}$$, along with the previously reported shallow east–west striking dike at a depth of approximately 1 $$\\text {km}$$. It was revealed that (1) volume changes of the Kusatsu-Shirane deformation source and the shallow deformation source of Asama were correlated with the volcanic activities of the corresponding volcanoes, and (2) the Asama deep source has been steadily losing volume, which may indicate that the volcano will experience fewer eruptions in the near future.","container-title":"Earth, Planets and Space","DOI":"10.1186/s40623-021-01512-2","ISSN":"1880-5981","issue":"1","journalAbbreviation":"Earth, Planets and Space","page":"192","source":"BioMed Central","title":"Modeling long-term volcanic deformation at Kusatsu-Shirane and Asama volcanoes, Japan, using the GNSS coordinate time series","volume":"73","author":[{"family":"Munekane","given":"Hiroshi"}],"issued":{"date-parts":[["2021",10,19]]}}}],"schema":"https://github.com/citation-style-language/schema/raw/master/csl-citation.json"} </w:instrText>
      </w:r>
      <w:r w:rsidR="00E07A5A" w:rsidRPr="00950A59">
        <w:rPr>
          <w:rFonts w:ascii="Arial" w:hAnsi="Arial" w:cs="Arial"/>
        </w:rPr>
        <w:fldChar w:fldCharType="separate"/>
      </w:r>
      <w:r w:rsidR="00E07A5A" w:rsidRPr="00950A59">
        <w:rPr>
          <w:rFonts w:ascii="Arial" w:hAnsi="Arial" w:cs="Arial"/>
        </w:rPr>
        <w:t xml:space="preserve">Munekane </w:t>
      </w:r>
      <w:r w:rsidR="000A6CBD">
        <w:rPr>
          <w:rFonts w:ascii="Arial" w:hAnsi="Arial" w:cs="Arial" w:hint="eastAsia"/>
        </w:rPr>
        <w:t>(</w:t>
      </w:r>
      <w:r w:rsidR="00E07A5A" w:rsidRPr="00950A59">
        <w:rPr>
          <w:rFonts w:ascii="Arial" w:hAnsi="Arial" w:cs="Arial"/>
        </w:rPr>
        <w:t>2021)</w:t>
      </w:r>
      <w:r w:rsidR="00E07A5A" w:rsidRPr="00950A59">
        <w:rPr>
          <w:rFonts w:ascii="Arial" w:hAnsi="Arial" w:cs="Arial"/>
        </w:rPr>
        <w:fldChar w:fldCharType="end"/>
      </w:r>
      <w:r w:rsidR="00857BA7" w:rsidRPr="00950A59">
        <w:rPr>
          <w:rFonts w:ascii="Arial" w:hAnsi="Arial" w:cs="Arial"/>
        </w:rPr>
        <w:t>. For simplicity, we fixed the latitude, longitude, and depth of the deformation source and used the elevation-modified Mogi model</w:t>
      </w:r>
      <w:r w:rsidR="00E07A5A" w:rsidRPr="00950A59">
        <w:rPr>
          <w:rFonts w:ascii="Arial" w:hAnsi="Arial" w:cs="Arial"/>
        </w:rPr>
        <w:t xml:space="preserve"> </w:t>
      </w:r>
      <w:r w:rsidR="00E07A5A" w:rsidRPr="00950A59">
        <w:rPr>
          <w:rFonts w:ascii="Arial" w:hAnsi="Arial" w:cs="Arial"/>
        </w:rPr>
        <w:fldChar w:fldCharType="begin"/>
      </w:r>
      <w:r w:rsidR="00E07A5A" w:rsidRPr="00950A59">
        <w:rPr>
          <w:rFonts w:ascii="Arial" w:hAnsi="Arial" w:cs="Arial"/>
        </w:rPr>
        <w:instrText xml:space="preserve"> ADDIN ZOTERO_ITEM CSL_CITATION {"citationID":"1JP9hZEe","properties":{"formattedCitation":"(Fukui 2008)","plainCitation":"(Fukui 2008)","noteIndex":0},"citationItems":[{"id":208,"uris":["http://zotero.org/users/local/K24SBYs1/items/CZ388TUB"],"itemData":{"id":208,"type":"article-magazine","container-title":"TECHNICAL REPORTS OF THE METEOROLOGICAL RESEARCH INSTITUTE","issue":"53","note":"(in Japanease)","page":"105-122","title":"Studies on Evaluation Method of Volcanic Activity","author":[{"family":"Fukui","given":"Keiichi"}],"issued":{"date-parts":[["2008",3]]}}}],"schema":"https://github.com/citation-style-language/schema/raw/master/csl-citation.json"} </w:instrText>
      </w:r>
      <w:r w:rsidR="00E07A5A" w:rsidRPr="00950A59">
        <w:rPr>
          <w:rFonts w:ascii="Arial" w:hAnsi="Arial" w:cs="Arial"/>
        </w:rPr>
        <w:fldChar w:fldCharType="separate"/>
      </w:r>
      <w:r w:rsidR="00E07A5A" w:rsidRPr="00950A59">
        <w:rPr>
          <w:rFonts w:ascii="Arial" w:hAnsi="Arial" w:cs="Arial"/>
        </w:rPr>
        <w:t>(Fukui 2008)</w:t>
      </w:r>
      <w:r w:rsidR="00E07A5A" w:rsidRPr="00950A59">
        <w:rPr>
          <w:rFonts w:ascii="Arial" w:hAnsi="Arial" w:cs="Arial"/>
        </w:rPr>
        <w:fldChar w:fldCharType="end"/>
      </w:r>
      <w:r w:rsidR="00857BA7" w:rsidRPr="00950A59">
        <w:rPr>
          <w:rFonts w:ascii="Arial" w:hAnsi="Arial" w:cs="Arial"/>
        </w:rPr>
        <w:t>. Although the amplitude of the changes in 2014 differed slightly between the two datasets, their temporal trends were consistent, and both the amplitude and the trend showed good agreement after 2015. Therefore, we assumed that the areal strain reflects the behavior of the deep deformation source throughout the analysis period.</w:t>
      </w:r>
    </w:p>
    <w:p w14:paraId="283BBDDA" w14:textId="77777777" w:rsidR="0071019B" w:rsidRPr="00950A59" w:rsidRDefault="0071019B" w:rsidP="000E12E6">
      <w:pPr>
        <w:rPr>
          <w:rFonts w:ascii="Arial" w:hAnsi="Arial" w:cs="Arial"/>
        </w:rPr>
      </w:pPr>
    </w:p>
    <w:p w14:paraId="6FF40A61" w14:textId="77777777" w:rsidR="0071019B" w:rsidRPr="00950A59" w:rsidRDefault="0071019B" w:rsidP="000E12E6">
      <w:pPr>
        <w:rPr>
          <w:rFonts w:ascii="Arial" w:hAnsi="Arial" w:cs="Arial"/>
        </w:rPr>
      </w:pPr>
    </w:p>
    <w:p w14:paraId="03AD28EE" w14:textId="71E0CC5B" w:rsidR="00A732BE" w:rsidRPr="00950A59" w:rsidRDefault="00A456C1">
      <w:pPr>
        <w:rPr>
          <w:rFonts w:ascii="Arial" w:hAnsi="Arial" w:cs="Arial"/>
        </w:rPr>
      </w:pPr>
      <w:r w:rsidRPr="00950A59">
        <w:rPr>
          <w:rFonts w:ascii="Arial" w:hAnsi="Arial" w:cs="Arial"/>
          <w:noProof/>
        </w:rPr>
        <w:drawing>
          <wp:inline distT="0" distB="0" distL="0" distR="0" wp14:anchorId="580CA76F" wp14:editId="4C53335F">
            <wp:extent cx="5389562" cy="4311649"/>
            <wp:effectExtent l="0" t="0" r="1905" b="0"/>
            <wp:docPr id="1966581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58135" name="図 1"/>
                    <pic:cNvPicPr>
                      <a:picLocks noChangeAspect="1" noChangeArrowheads="1"/>
                    </pic:cNvPicPr>
                  </pic:nvPicPr>
                  <pic:blipFill>
                    <a:blip r:embed="rId19"/>
                    <a:stretch>
                      <a:fillRect/>
                    </a:stretch>
                  </pic:blipFill>
                  <pic:spPr bwMode="auto">
                    <a:xfrm>
                      <a:off x="0" y="0"/>
                      <a:ext cx="5389562" cy="4311649"/>
                    </a:xfrm>
                    <a:prstGeom prst="rect">
                      <a:avLst/>
                    </a:prstGeom>
                    <a:noFill/>
                    <a:ln>
                      <a:noFill/>
                    </a:ln>
                  </pic:spPr>
                </pic:pic>
              </a:graphicData>
            </a:graphic>
          </wp:inline>
        </w:drawing>
      </w:r>
    </w:p>
    <w:p w14:paraId="27B7ADF5" w14:textId="77777777" w:rsidR="00273174" w:rsidRDefault="00A732BE" w:rsidP="001C0D24">
      <w:pPr>
        <w:rPr>
          <w:rFonts w:ascii="Arial" w:hAnsi="Arial" w:cs="Arial"/>
        </w:rPr>
      </w:pPr>
      <w:r w:rsidRPr="00950A59">
        <w:rPr>
          <w:rFonts w:ascii="Arial" w:hAnsi="Arial" w:cs="Arial"/>
        </w:rPr>
        <w:t>Figure S</w:t>
      </w:r>
      <w:r w:rsidR="00610202">
        <w:rPr>
          <w:rFonts w:ascii="Arial" w:hAnsi="Arial" w:cs="Arial" w:hint="eastAsia"/>
        </w:rPr>
        <w:t>12</w:t>
      </w:r>
      <w:r w:rsidRPr="00950A59">
        <w:rPr>
          <w:rFonts w:ascii="Arial" w:hAnsi="Arial" w:cs="Arial"/>
        </w:rPr>
        <w:t>:</w:t>
      </w:r>
      <w:r w:rsidR="001C0D24" w:rsidRPr="00950A59">
        <w:rPr>
          <w:rFonts w:ascii="Arial" w:hAnsi="Arial" w:cs="Arial"/>
        </w:rPr>
        <w:t xml:space="preserve"> Comparison between areal strain calculated from GEONET and that inferred from the volume change reported by Munekane (2021).</w:t>
      </w:r>
    </w:p>
    <w:p w14:paraId="403117D4" w14:textId="32F6235E" w:rsidR="001C0D24" w:rsidRPr="00950A59" w:rsidRDefault="001C0D24" w:rsidP="001C0D24">
      <w:pPr>
        <w:rPr>
          <w:rFonts w:ascii="Arial" w:hAnsi="Arial" w:cs="Arial"/>
        </w:rPr>
      </w:pPr>
      <w:r w:rsidRPr="00950A59">
        <w:rPr>
          <w:rFonts w:ascii="Arial" w:hAnsi="Arial" w:cs="Arial"/>
        </w:rPr>
        <w:t>Gray circles show the raw areal strain calculated from GEONET.</w:t>
      </w:r>
    </w:p>
    <w:p w14:paraId="366BF9A1" w14:textId="77777777" w:rsidR="001C0D24" w:rsidRPr="00950A59" w:rsidRDefault="001C0D24" w:rsidP="001C0D24">
      <w:pPr>
        <w:rPr>
          <w:rFonts w:ascii="Arial" w:hAnsi="Arial" w:cs="Arial"/>
        </w:rPr>
      </w:pPr>
      <w:r w:rsidRPr="00950A59">
        <w:rPr>
          <w:rFonts w:ascii="Arial" w:hAnsi="Arial" w:cs="Arial"/>
        </w:rPr>
        <w:t>The red line shows the areal strain after smoothing and removing the seasonal trend.</w:t>
      </w:r>
    </w:p>
    <w:p w14:paraId="6754789E" w14:textId="77777777" w:rsidR="001C0D24" w:rsidRPr="00950A59" w:rsidRDefault="001C0D24" w:rsidP="001C0D24">
      <w:pPr>
        <w:rPr>
          <w:rFonts w:ascii="Arial" w:hAnsi="Arial" w:cs="Arial"/>
        </w:rPr>
      </w:pPr>
      <w:r w:rsidRPr="00950A59">
        <w:rPr>
          <w:rFonts w:ascii="Arial" w:hAnsi="Arial" w:cs="Arial"/>
        </w:rPr>
        <w:t>Orange circles show the areal strain calculated from the volume change reported by Munekane (2021).</w:t>
      </w:r>
    </w:p>
    <w:p w14:paraId="3CFE437D" w14:textId="5C4AD328" w:rsidR="00A732BE" w:rsidRPr="00950A59" w:rsidRDefault="001C0D24" w:rsidP="001C0D24">
      <w:pPr>
        <w:rPr>
          <w:rFonts w:ascii="Arial" w:hAnsi="Arial" w:cs="Arial"/>
        </w:rPr>
      </w:pPr>
      <w:r w:rsidRPr="00950A59">
        <w:rPr>
          <w:rFonts w:ascii="Arial" w:hAnsi="Arial" w:cs="Arial"/>
        </w:rPr>
        <w:t>Blue circles (right axis) show the volume change reported by Munekane (2021).</w:t>
      </w:r>
    </w:p>
    <w:p w14:paraId="0DCAD685" w14:textId="6793861E" w:rsidR="00A456C1" w:rsidRPr="00950A59" w:rsidRDefault="00A456C1">
      <w:pPr>
        <w:widowControl/>
        <w:rPr>
          <w:rFonts w:ascii="Arial" w:hAnsi="Arial" w:cs="Arial"/>
        </w:rPr>
      </w:pPr>
      <w:r w:rsidRPr="00950A59">
        <w:rPr>
          <w:rFonts w:ascii="Arial" w:hAnsi="Arial" w:cs="Arial"/>
        </w:rPr>
        <w:br w:type="page"/>
      </w:r>
    </w:p>
    <w:p w14:paraId="66B20CC0" w14:textId="0859C88C" w:rsidR="006233E8" w:rsidRDefault="009D1435" w:rsidP="00B05D48">
      <w:pPr>
        <w:jc w:val="center"/>
        <w:rPr>
          <w:rFonts w:ascii="Arial" w:hAnsi="Arial" w:cs="Arial"/>
          <w:sz w:val="24"/>
        </w:rPr>
      </w:pPr>
      <w:r>
        <w:rPr>
          <w:rFonts w:ascii="Arial" w:hAnsi="Arial" w:cs="Arial"/>
          <w:noProof/>
          <w:sz w:val="24"/>
        </w:rPr>
        <w:lastRenderedPageBreak/>
        <w:drawing>
          <wp:inline distT="0" distB="0" distL="0" distR="0" wp14:anchorId="51DE6401" wp14:editId="3B8D4224">
            <wp:extent cx="5404005" cy="5136480"/>
            <wp:effectExtent l="0" t="0" r="6350" b="7620"/>
            <wp:docPr id="193304617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46179" name="図 2"/>
                    <pic:cNvPicPr>
                      <a:picLocks noChangeAspect="1" noChangeArrowheads="1"/>
                    </pic:cNvPicPr>
                  </pic:nvPicPr>
                  <pic:blipFill>
                    <a:blip r:embed="rId20"/>
                    <a:stretch>
                      <a:fillRect/>
                    </a:stretch>
                  </pic:blipFill>
                  <pic:spPr bwMode="auto">
                    <a:xfrm>
                      <a:off x="0" y="0"/>
                      <a:ext cx="5404005" cy="5136480"/>
                    </a:xfrm>
                    <a:prstGeom prst="rect">
                      <a:avLst/>
                    </a:prstGeom>
                    <a:noFill/>
                    <a:ln>
                      <a:noFill/>
                    </a:ln>
                  </pic:spPr>
                </pic:pic>
              </a:graphicData>
            </a:graphic>
          </wp:inline>
        </w:drawing>
      </w:r>
    </w:p>
    <w:p w14:paraId="7059CC70" w14:textId="77777777" w:rsidR="009D1435" w:rsidRPr="00B05D48" w:rsidRDefault="009D1435" w:rsidP="00B05D48">
      <w:pPr>
        <w:jc w:val="center"/>
        <w:rPr>
          <w:rFonts w:ascii="Arial" w:hAnsi="Arial" w:cs="Arial"/>
          <w:sz w:val="24"/>
        </w:rPr>
      </w:pPr>
    </w:p>
    <w:p w14:paraId="4F1BC13E" w14:textId="034E314B" w:rsidR="00DC31D7" w:rsidRPr="008B7D30" w:rsidRDefault="00DC31D7" w:rsidP="008B7D30">
      <w:pPr>
        <w:rPr>
          <w:rFonts w:ascii="Arial" w:hAnsi="Arial" w:cs="Arial"/>
        </w:rPr>
      </w:pPr>
      <w:r w:rsidRPr="008B7D30">
        <w:rPr>
          <w:rFonts w:ascii="Arial" w:hAnsi="Arial" w:cs="Arial"/>
        </w:rPr>
        <w:t>Figure S1</w:t>
      </w:r>
      <w:r w:rsidR="002E6DC1" w:rsidRPr="008B7D30">
        <w:rPr>
          <w:rFonts w:ascii="Arial" w:hAnsi="Arial" w:cs="Arial" w:hint="eastAsia"/>
        </w:rPr>
        <w:t>3</w:t>
      </w:r>
      <w:r w:rsidRPr="008B7D30">
        <w:rPr>
          <w:rFonts w:ascii="Arial" w:hAnsi="Arial" w:cs="Arial"/>
        </w:rPr>
        <w:t xml:space="preserve">: Comparison </w:t>
      </w:r>
      <w:r w:rsidR="00C34EB3" w:rsidRPr="008B7D30">
        <w:rPr>
          <w:rFonts w:ascii="Arial" w:hAnsi="Arial" w:cs="Arial" w:hint="eastAsia"/>
        </w:rPr>
        <w:t xml:space="preserve">of </w:t>
      </w:r>
      <w:r w:rsidR="000438F2" w:rsidRPr="008B7D30">
        <w:rPr>
          <w:rFonts w:ascii="Arial" w:hAnsi="Arial" w:cs="Arial"/>
        </w:rPr>
        <w:t xml:space="preserve">SBL variations, </w:t>
      </w:r>
      <w:r w:rsidR="00DA7FD9" w:rsidRPr="008B7D30">
        <w:rPr>
          <w:rFonts w:ascii="Arial" w:hAnsi="Arial" w:cs="Arial"/>
        </w:rPr>
        <w:t>long-term tilt changes</w:t>
      </w:r>
      <w:r w:rsidR="000438F2" w:rsidRPr="008B7D30">
        <w:rPr>
          <w:rFonts w:ascii="Arial" w:hAnsi="Arial" w:cs="Arial"/>
        </w:rPr>
        <w:t xml:space="preserve">, and </w:t>
      </w:r>
      <w:r w:rsidR="00DA7FD9" w:rsidRPr="008B7D30">
        <w:rPr>
          <w:rFonts w:ascii="Arial" w:hAnsi="Arial" w:cs="Arial"/>
        </w:rPr>
        <w:t>areal strain</w:t>
      </w:r>
      <w:r w:rsidR="000438F2" w:rsidRPr="008B7D30">
        <w:rPr>
          <w:rFonts w:ascii="Arial" w:hAnsi="Arial" w:cs="Arial"/>
        </w:rPr>
        <w:t>.</w:t>
      </w:r>
    </w:p>
    <w:p w14:paraId="593C165D" w14:textId="585974A0" w:rsidR="00071F88" w:rsidRPr="008B7D30" w:rsidRDefault="00071F88" w:rsidP="008B7D30">
      <w:pPr>
        <w:rPr>
          <w:rFonts w:ascii="Arial" w:hAnsi="Arial" w:cs="Arial"/>
        </w:rPr>
      </w:pPr>
      <w:r w:rsidRPr="008B7D30">
        <w:rPr>
          <w:rFonts w:ascii="Arial" w:hAnsi="Arial" w:cs="Arial" w:hint="eastAsia"/>
        </w:rPr>
        <w:t xml:space="preserve">(a) </w:t>
      </w:r>
      <w:r w:rsidR="004F34AF" w:rsidRPr="004F34AF">
        <w:rPr>
          <w:rFonts w:ascii="Arial" w:hAnsi="Arial" w:cs="Arial"/>
        </w:rPr>
        <w:t xml:space="preserve">SBL at sites around the Yugama crater (KSE, KSHA, KSS, KSW, </w:t>
      </w:r>
      <w:r w:rsidR="0024255D">
        <w:rPr>
          <w:rFonts w:ascii="Arial" w:hAnsi="Arial" w:cs="Arial" w:hint="eastAsia"/>
        </w:rPr>
        <w:t xml:space="preserve">and </w:t>
      </w:r>
      <w:r w:rsidR="004F34AF" w:rsidRPr="004F34AF">
        <w:rPr>
          <w:rFonts w:ascii="Arial" w:hAnsi="Arial" w:cs="Arial"/>
        </w:rPr>
        <w:t>KSAO).</w:t>
      </w:r>
    </w:p>
    <w:p w14:paraId="1F2C8887" w14:textId="1043A1B8" w:rsidR="001008C2" w:rsidRDefault="00071F88" w:rsidP="008B7D30">
      <w:pPr>
        <w:rPr>
          <w:rFonts w:ascii="Arial" w:hAnsi="Arial" w:cs="Arial"/>
        </w:rPr>
      </w:pPr>
      <w:r w:rsidRPr="008B7D30">
        <w:rPr>
          <w:rFonts w:ascii="Arial" w:hAnsi="Arial" w:cs="Arial" w:hint="eastAsia"/>
        </w:rPr>
        <w:t>(</w:t>
      </w:r>
      <w:r w:rsidR="003B6E21">
        <w:rPr>
          <w:rFonts w:ascii="Arial" w:hAnsi="Arial" w:cs="Arial" w:hint="eastAsia"/>
        </w:rPr>
        <w:t>b</w:t>
      </w:r>
      <w:r w:rsidRPr="008B7D30">
        <w:rPr>
          <w:rFonts w:ascii="Arial" w:hAnsi="Arial" w:cs="Arial" w:hint="eastAsia"/>
        </w:rPr>
        <w:t xml:space="preserve">) </w:t>
      </w:r>
      <w:r w:rsidR="0019769A" w:rsidRPr="008B7D30">
        <w:rPr>
          <w:rFonts w:ascii="Arial" w:hAnsi="Arial" w:cs="Arial"/>
        </w:rPr>
        <w:t xml:space="preserve">Long-term tilt changes </w:t>
      </w:r>
      <w:r w:rsidR="004D798A">
        <w:rPr>
          <w:rFonts w:ascii="Arial" w:hAnsi="Arial" w:cs="Arial" w:hint="eastAsia"/>
        </w:rPr>
        <w:t>in</w:t>
      </w:r>
      <w:r w:rsidR="00BC48F7">
        <w:rPr>
          <w:rFonts w:ascii="Arial" w:hAnsi="Arial" w:cs="Arial" w:hint="eastAsia"/>
        </w:rPr>
        <w:t xml:space="preserve"> </w:t>
      </w:r>
      <w:r w:rsidR="00153580">
        <w:rPr>
          <w:rFonts w:ascii="Arial" w:hAnsi="Arial" w:cs="Arial" w:hint="eastAsia"/>
        </w:rPr>
        <w:t xml:space="preserve">the </w:t>
      </w:r>
      <w:r w:rsidR="00BC48F7">
        <w:rPr>
          <w:rFonts w:ascii="Arial" w:hAnsi="Arial" w:cs="Arial" w:hint="eastAsia"/>
        </w:rPr>
        <w:t>E</w:t>
      </w:r>
      <w:r w:rsidR="008C2D09">
        <w:rPr>
          <w:rFonts w:ascii="Arial" w:hAnsi="Arial" w:cs="Arial" w:hint="eastAsia"/>
        </w:rPr>
        <w:t>–</w:t>
      </w:r>
      <w:r w:rsidR="00BC48F7">
        <w:rPr>
          <w:rFonts w:ascii="Arial" w:hAnsi="Arial" w:cs="Arial" w:hint="eastAsia"/>
        </w:rPr>
        <w:t>W component at KSE</w:t>
      </w:r>
      <w:r w:rsidR="00B27F8A">
        <w:rPr>
          <w:rFonts w:ascii="Arial" w:hAnsi="Arial" w:cs="Arial" w:hint="eastAsia"/>
        </w:rPr>
        <w:t>, plotted</w:t>
      </w:r>
      <w:r w:rsidR="007B68C7">
        <w:rPr>
          <w:rFonts w:ascii="Arial" w:hAnsi="Arial" w:cs="Arial" w:hint="eastAsia"/>
        </w:rPr>
        <w:t xml:space="preserve"> </w:t>
      </w:r>
      <w:r w:rsidR="00B27F8A">
        <w:rPr>
          <w:rFonts w:ascii="Arial" w:hAnsi="Arial" w:cs="Arial" w:hint="eastAsia"/>
        </w:rPr>
        <w:t xml:space="preserve">using tiltmeter data from </w:t>
      </w:r>
      <w:r w:rsidR="0019769A" w:rsidRPr="008B7D30">
        <w:rPr>
          <w:rFonts w:ascii="Arial" w:hAnsi="Arial" w:cs="Arial"/>
        </w:rPr>
        <w:t>Terada et al. (2025).</w:t>
      </w:r>
    </w:p>
    <w:p w14:paraId="717B1350" w14:textId="017576B5" w:rsidR="00993366" w:rsidRDefault="001008C2" w:rsidP="008B7D30">
      <w:pPr>
        <w:rPr>
          <w:rFonts w:ascii="Arial" w:hAnsi="Arial" w:cs="Arial"/>
        </w:rPr>
      </w:pPr>
      <w:r w:rsidRPr="008B7D30">
        <w:rPr>
          <w:rFonts w:ascii="Arial" w:hAnsi="Arial" w:cs="Arial" w:hint="eastAsia"/>
        </w:rPr>
        <w:t xml:space="preserve">(c) </w:t>
      </w:r>
      <w:r w:rsidR="00BF23F3">
        <w:rPr>
          <w:rFonts w:ascii="Arial" w:hAnsi="Arial" w:cs="Arial" w:hint="eastAsia"/>
        </w:rPr>
        <w:t>S</w:t>
      </w:r>
      <w:r w:rsidR="00993366">
        <w:rPr>
          <w:rFonts w:ascii="Arial" w:hAnsi="Arial" w:cs="Arial" w:hint="eastAsia"/>
        </w:rPr>
        <w:t xml:space="preserve">moothed and </w:t>
      </w:r>
      <w:proofErr w:type="spellStart"/>
      <w:r w:rsidR="00993366">
        <w:rPr>
          <w:rFonts w:ascii="Arial" w:hAnsi="Arial" w:cs="Arial" w:hint="eastAsia"/>
        </w:rPr>
        <w:t>deseasonalized</w:t>
      </w:r>
      <w:proofErr w:type="spellEnd"/>
      <w:r w:rsidR="00993366">
        <w:rPr>
          <w:rFonts w:ascii="Arial" w:hAnsi="Arial" w:cs="Arial" w:hint="eastAsia"/>
        </w:rPr>
        <w:t xml:space="preserve"> areal strain.</w:t>
      </w:r>
    </w:p>
    <w:p w14:paraId="1274133F" w14:textId="7F581719" w:rsidR="00DC31D7" w:rsidRPr="008B7D30" w:rsidRDefault="00DC31D7" w:rsidP="008B7D30">
      <w:pPr>
        <w:rPr>
          <w:rFonts w:ascii="Arial" w:hAnsi="Arial" w:cs="Arial"/>
        </w:rPr>
      </w:pPr>
      <w:r w:rsidRPr="008B7D30">
        <w:rPr>
          <w:rFonts w:ascii="Arial" w:hAnsi="Arial" w:cs="Arial"/>
        </w:rPr>
        <w:br w:type="page"/>
      </w:r>
    </w:p>
    <w:p w14:paraId="218D1952" w14:textId="7157239A" w:rsidR="008A54ED" w:rsidRPr="00950A59" w:rsidRDefault="00FF0421">
      <w:pPr>
        <w:rPr>
          <w:rFonts w:ascii="Arial" w:hAnsi="Arial" w:cs="Arial"/>
          <w:b/>
          <w:bCs/>
          <w:sz w:val="24"/>
          <w:u w:val="single"/>
        </w:rPr>
      </w:pPr>
      <w:r>
        <w:rPr>
          <w:rFonts w:ascii="Arial" w:hAnsi="Arial" w:cs="Arial" w:hint="eastAsia"/>
          <w:b/>
          <w:bCs/>
          <w:sz w:val="24"/>
          <w:u w:val="single"/>
        </w:rPr>
        <w:lastRenderedPageBreak/>
        <w:t xml:space="preserve">S7. </w:t>
      </w:r>
      <w:r w:rsidR="003170C4" w:rsidRPr="00950A59">
        <w:rPr>
          <w:rFonts w:ascii="Arial" w:hAnsi="Arial" w:cs="Arial"/>
          <w:b/>
          <w:bCs/>
          <w:sz w:val="24"/>
          <w:u w:val="single"/>
        </w:rPr>
        <w:t>Polarization analysis of SBL vibrations</w:t>
      </w:r>
    </w:p>
    <w:p w14:paraId="41BC9474" w14:textId="77777777" w:rsidR="003170C4" w:rsidRPr="00950A59" w:rsidRDefault="003170C4">
      <w:pPr>
        <w:rPr>
          <w:rFonts w:ascii="Arial" w:hAnsi="Arial" w:cs="Arial"/>
        </w:rPr>
      </w:pPr>
    </w:p>
    <w:p w14:paraId="311F3611" w14:textId="343C9632" w:rsidR="003170C4" w:rsidRPr="00950A59" w:rsidRDefault="00B52225">
      <w:pPr>
        <w:rPr>
          <w:rFonts w:ascii="Arial" w:hAnsi="Arial" w:cs="Arial"/>
          <w:b/>
          <w:bCs/>
        </w:rPr>
      </w:pPr>
      <w:r w:rsidRPr="00950A59">
        <w:rPr>
          <w:rFonts w:ascii="Arial" w:hAnsi="Arial" w:cs="Arial"/>
          <w:b/>
          <w:bCs/>
        </w:rPr>
        <w:t>Method</w:t>
      </w:r>
    </w:p>
    <w:p w14:paraId="76D16789" w14:textId="395F428A" w:rsidR="00B52225" w:rsidRPr="00950A59" w:rsidRDefault="00B52225" w:rsidP="00B52225">
      <w:pPr>
        <w:rPr>
          <w:rFonts w:ascii="Arial" w:hAnsi="Arial" w:cs="Arial"/>
        </w:rPr>
      </w:pPr>
      <w:r w:rsidRPr="00950A59">
        <w:rPr>
          <w:rFonts w:ascii="Arial" w:hAnsi="Arial" w:cs="Arial"/>
        </w:rPr>
        <w:t xml:space="preserve">This analysis is based on the polarization analysis approach developed by </w:t>
      </w:r>
      <w:r w:rsidR="00855434" w:rsidRPr="00950A59">
        <w:rPr>
          <w:rFonts w:ascii="Arial" w:hAnsi="Arial" w:cs="Arial"/>
        </w:rPr>
        <w:fldChar w:fldCharType="begin"/>
      </w:r>
      <w:r w:rsidR="00855434" w:rsidRPr="00950A59">
        <w:rPr>
          <w:rFonts w:ascii="Arial" w:hAnsi="Arial" w:cs="Arial"/>
        </w:rPr>
        <w:instrText xml:space="preserve"> ADDIN ZOTERO_ITEM CSL_CITATION {"citationID":"wfdZXn0B","properties":{"formattedCitation":"(Hirose and Ueda 2025)","plainCitation":"(Hirose and Ueda 2025)","noteIndex":0},"citationItems":[{"id":3,"uris":["http://zotero.org/users/local/K24SBYs1/items/HGA98DSI"],"itemData":{"id":3,"type":"article-journal","abstract":"A volcanic tremor is a seismic event linked to volcanic processes, identified by ongoing ground shaking. They play a crucial role in understanding internal volcanic activities and forecasting eruptions. Detecting weak volcanic tremor signals before an eruption has remained a difficult task. This study utilized polarization analysis on continuous seismograms at Kirishima volcano, Japan, to extract information on retrograde Rayleigh wave sources. Back azimuth estimates focused on the direction of the Shinmoe-dake crater before and during the volcanic eruptions in 2011, 2017, and 2018. Rayleigh waves originating from the crater direction, particularly in the 1.3–2.5 Hz band, were observed starting around March 2017, approximately 7 months prior to the October 2017 eruption. In the 1.3–2 Hz band, the back azimuths steadily moved closer to the crater’s direction between January and March 2017. Epicentral areas from the cross-bearings approach indicate that retrograde Rayleigh wave sources are located around the crater. A noticeable increase in the amplitudes of retrograde Rayleigh waves, which propagate along the crater direction, was observed starting in August 2016. Enhancing the growth in amplitude was achieved by utilizing a filter on the seismograms. As polarization analysis requires only a single three-component seismometer, this approach allows for the timely identification of weak Rayleigh waves from the crater direction, even in volcanoes with limited seismic station coverage. The results obtained in this study contribute to the growing knowledge on volcanic tremors and their potential use in volcano monitoring and eruption forecasting.","container-title":"Journal of Geophysical Research: Solid Earth","DOI":"10.1029/2024JB029358","ISSN":"2169-9356","issue":"3","language":"en","note":"_eprint: https://agupubs.onlinelibrary.wiley.com/doi/pdf/10.1029/2024JB029358","page":"e2024JB029358","source":"Wiley Online Library","title":"Seismic Wavefield Change Preceding the Eruption of Shinmoe-Dake, Kirishima Volcano, Japan, Inferred From Polarization Analysis","volume":"130","author":[{"family":"Hirose","given":"Takashi"},{"family":"Ueda","given":"Hideki"}],"issued":{"date-parts":[["2025"]]}}}],"schema":"https://github.com/citation-style-language/schema/raw/master/csl-citation.json"} </w:instrText>
      </w:r>
      <w:r w:rsidR="00855434" w:rsidRPr="00950A59">
        <w:rPr>
          <w:rFonts w:ascii="Arial" w:hAnsi="Arial" w:cs="Arial"/>
        </w:rPr>
        <w:fldChar w:fldCharType="separate"/>
      </w:r>
      <w:r w:rsidR="00855434" w:rsidRPr="00950A59">
        <w:rPr>
          <w:rFonts w:ascii="Arial" w:hAnsi="Arial" w:cs="Arial"/>
        </w:rPr>
        <w:t>Hirose and Ueda (2025)</w:t>
      </w:r>
      <w:r w:rsidR="00855434" w:rsidRPr="00950A59">
        <w:rPr>
          <w:rFonts w:ascii="Arial" w:hAnsi="Arial" w:cs="Arial"/>
        </w:rPr>
        <w:fldChar w:fldCharType="end"/>
      </w:r>
      <w:r w:rsidRPr="00950A59">
        <w:rPr>
          <w:rFonts w:ascii="Arial" w:hAnsi="Arial" w:cs="Arial"/>
        </w:rPr>
        <w:t xml:space="preserve">, which extends the method of </w:t>
      </w:r>
      <w:r w:rsidR="0017356F" w:rsidRPr="00950A59">
        <w:rPr>
          <w:rFonts w:ascii="Arial" w:hAnsi="Arial" w:cs="Arial"/>
        </w:rPr>
        <w:fldChar w:fldCharType="begin"/>
      </w:r>
      <w:r w:rsidR="0017356F" w:rsidRPr="00950A59">
        <w:rPr>
          <w:rFonts w:ascii="Arial" w:hAnsi="Arial" w:cs="Arial"/>
        </w:rPr>
        <w:instrText xml:space="preserve"> ADDIN ZOTERO_ITEM CSL_CITATION {"citationID":"8hxMWkuk","properties":{"formattedCitation":"(Meza\\uc0\\u8208{}Fajardo et al. 2015)","plainCitation":"(Meza</w:instrText>
      </w:r>
      <w:r w:rsidR="0017356F" w:rsidRPr="00950A59">
        <w:rPr>
          <w:rFonts w:ascii="Cambria Math" w:hAnsi="Cambria Math" w:cs="Cambria Math"/>
        </w:rPr>
        <w:instrText>‐</w:instrText>
      </w:r>
      <w:r w:rsidR="0017356F" w:rsidRPr="00950A59">
        <w:rPr>
          <w:rFonts w:ascii="Arial" w:hAnsi="Arial" w:cs="Arial"/>
        </w:rPr>
        <w:instrText>Fajardo et al. 2015)","noteIndex":0},"citationItems":[{"id":224,"uris":["http://zotero.org/users/local/K24SBYs1/items/D93GFT7T"],"itemData":{"id":224,"type":"article-journal","abstract":"Abstract. Identification of different wave types in a seismogram is an important step for the understanding of wave propagation phenomena. Because in most","container-title":"Bulletin of the Seismological Society of America","DOI":"10.1785/0120140012","ISSN":"0037-1106","issue":"1","journalAbbreviation":"Bulletin of the Seismological Society of America","language":"en","page":"210-229","publisher":"GeoScienceWorld","source":"pubs.geoscienceworld.org","title":"Identification and Extraction of Surface Waves from Three</w:instrText>
      </w:r>
      <w:r w:rsidR="0017356F" w:rsidRPr="00950A59">
        <w:rPr>
          <w:rFonts w:ascii="Cambria Math" w:hAnsi="Cambria Math" w:cs="Cambria Math"/>
        </w:rPr>
        <w:instrText>‐</w:instrText>
      </w:r>
      <w:r w:rsidR="0017356F" w:rsidRPr="00950A59">
        <w:rPr>
          <w:rFonts w:ascii="Arial" w:hAnsi="Arial" w:cs="Arial"/>
        </w:rPr>
        <w:instrText>Component Seismograms Based on the Normalized Inner Product","volume":"105","author":[{"family":"Meza</w:instrText>
      </w:r>
      <w:r w:rsidR="0017356F" w:rsidRPr="00950A59">
        <w:rPr>
          <w:rFonts w:ascii="Cambria Math" w:hAnsi="Cambria Math" w:cs="Cambria Math"/>
        </w:rPr>
        <w:instrText>‐</w:instrText>
      </w:r>
      <w:r w:rsidR="0017356F" w:rsidRPr="00950A59">
        <w:rPr>
          <w:rFonts w:ascii="Arial" w:hAnsi="Arial" w:cs="Arial"/>
        </w:rPr>
        <w:instrText xml:space="preserve">Fajardo","given":"Kristel C."},{"family":"Papageorgiou","given":"Apostolos S."},{"family":"Semblat","given":"Jean-François"}],"issued":{"date-parts":[["2015",2,1]]}}}],"schema":"https://github.com/citation-style-language/schema/raw/master/csl-citation.json"} </w:instrText>
      </w:r>
      <w:r w:rsidR="0017356F" w:rsidRPr="00950A59">
        <w:rPr>
          <w:rFonts w:ascii="Arial" w:hAnsi="Arial" w:cs="Arial"/>
        </w:rPr>
        <w:fldChar w:fldCharType="separate"/>
      </w:r>
      <w:r w:rsidR="0017356F" w:rsidRPr="00950A59">
        <w:rPr>
          <w:rFonts w:ascii="Arial" w:hAnsi="Arial" w:cs="Arial"/>
          <w:kern w:val="0"/>
        </w:rPr>
        <w:t>Meza</w:t>
      </w:r>
      <w:r w:rsidR="0017356F" w:rsidRPr="00950A59">
        <w:rPr>
          <w:rFonts w:ascii="Cambria Math" w:hAnsi="Cambria Math" w:cs="Cambria Math"/>
          <w:kern w:val="0"/>
        </w:rPr>
        <w:t>‐</w:t>
      </w:r>
      <w:r w:rsidR="0017356F" w:rsidRPr="00950A59">
        <w:rPr>
          <w:rFonts w:ascii="Arial" w:hAnsi="Arial" w:cs="Arial"/>
          <w:kern w:val="0"/>
        </w:rPr>
        <w:t>Fajardo et al. (2015)</w:t>
      </w:r>
      <w:r w:rsidR="0017356F" w:rsidRPr="00950A59">
        <w:rPr>
          <w:rFonts w:ascii="Arial" w:hAnsi="Arial" w:cs="Arial"/>
        </w:rPr>
        <w:fldChar w:fldCharType="end"/>
      </w:r>
      <w:r w:rsidRPr="00950A59">
        <w:rPr>
          <w:rFonts w:ascii="Arial" w:hAnsi="Arial" w:cs="Arial"/>
        </w:rPr>
        <w:t xml:space="preserve">. Our approach differs from that of </w:t>
      </w:r>
      <w:r w:rsidR="00947F42" w:rsidRPr="00950A59">
        <w:rPr>
          <w:rFonts w:ascii="Arial" w:hAnsi="Arial" w:cs="Arial"/>
        </w:rPr>
        <w:fldChar w:fldCharType="begin"/>
      </w:r>
      <w:r w:rsidR="00947F42" w:rsidRPr="00950A59">
        <w:rPr>
          <w:rFonts w:ascii="Arial" w:hAnsi="Arial" w:cs="Arial"/>
        </w:rPr>
        <w:instrText xml:space="preserve"> ADDIN ZOTERO_ITEM CSL_CITATION {"citationID":"cLgElVpl","properties":{"formattedCitation":"(Hirose and Ueda 2025)","plainCitation":"(Hirose and Ueda 2025)","noteIndex":0},"citationItems":[{"id":3,"uris":["http://zotero.org/users/local/K24SBYs1/items/HGA98DSI"],"itemData":{"id":3,"type":"article-journal","abstract":"A volcanic tremor is a seismic event linked to volcanic processes, identified by ongoing ground shaking. They play a crucial role in understanding internal volcanic activities and forecasting eruptions. Detecting weak volcanic tremor signals before an eruption has remained a difficult task. This study utilized polarization analysis on continuous seismograms at Kirishima volcano, Japan, to extract information on retrograde Rayleigh wave sources. Back azimuth estimates focused on the direction of the Shinmoe-dake crater before and during the volcanic eruptions in 2011, 2017, and 2018. Rayleigh waves originating from the crater direction, particularly in the 1.3–2.5 Hz band, were observed starting around March 2017, approximately 7 months prior to the October 2017 eruption. In the 1.3–2 Hz band, the back azimuths steadily moved closer to the crater’s direction between January and March 2017. Epicentral areas from the cross-bearings approach indicate that retrograde Rayleigh wave sources are located around the crater. A noticeable increase in the amplitudes of retrograde Rayleigh waves, which propagate along the crater direction, was observed starting in August 2016. Enhancing the growth in amplitude was achieved by utilizing a filter on the seismograms. As polarization analysis requires only a single three-component seismometer, this approach allows for the timely identification of weak Rayleigh waves from the crater direction, even in volcanoes with limited seismic station coverage. The results obtained in this study contribute to the growing knowledge on volcanic tremors and their potential use in volcano monitoring and eruption forecasting.","container-title":"Journal of Geophysical Research: Solid Earth","DOI":"10.1029/2024JB029358","ISSN":"2169-9356","issue":"3","language":"en","note":"_eprint: https://agupubs.onlinelibrary.wiley.com/doi/pdf/10.1029/2024JB029358","page":"e2024JB029358","source":"Wiley Online Library","title":"Seismic Wavefield Change Preceding the Eruption of Shinmoe-Dake, Kirishima Volcano, Japan, Inferred From Polarization Analysis","volume":"130","author":[{"family":"Hirose","given":"Takashi"},{"family":"Ueda","given":"Hideki"}],"issued":{"date-parts":[["2025"]]}}}],"schema":"https://github.com/citation-style-language/schema/raw/master/csl-citation.json"} </w:instrText>
      </w:r>
      <w:r w:rsidR="00947F42" w:rsidRPr="00950A59">
        <w:rPr>
          <w:rFonts w:ascii="Arial" w:hAnsi="Arial" w:cs="Arial"/>
        </w:rPr>
        <w:fldChar w:fldCharType="separate"/>
      </w:r>
      <w:r w:rsidR="00947F42" w:rsidRPr="00950A59">
        <w:rPr>
          <w:rFonts w:ascii="Arial" w:hAnsi="Arial" w:cs="Arial"/>
        </w:rPr>
        <w:t>Hirose and Ueda (2025)</w:t>
      </w:r>
      <w:r w:rsidR="00947F42" w:rsidRPr="00950A59">
        <w:rPr>
          <w:rFonts w:ascii="Arial" w:hAnsi="Arial" w:cs="Arial"/>
        </w:rPr>
        <w:fldChar w:fldCharType="end"/>
      </w:r>
      <w:r w:rsidRPr="00950A59">
        <w:rPr>
          <w:rFonts w:ascii="Arial" w:hAnsi="Arial" w:cs="Arial"/>
        </w:rPr>
        <w:t xml:space="preserve"> in the way back azimuths are determined, and also in that </w:t>
      </w:r>
      <w:r w:rsidR="004D05CD">
        <w:rPr>
          <w:rFonts w:ascii="Arial" w:hAnsi="Arial" w:cs="Arial" w:hint="eastAsia"/>
        </w:rPr>
        <w:t>k</w:t>
      </w:r>
      <w:r w:rsidRPr="00950A59">
        <w:rPr>
          <w:rFonts w:ascii="Arial" w:hAnsi="Arial" w:cs="Arial"/>
        </w:rPr>
        <w:t xml:space="preserve">ernel </w:t>
      </w:r>
      <w:r w:rsidR="004D05CD">
        <w:rPr>
          <w:rFonts w:ascii="Arial" w:hAnsi="Arial" w:cs="Arial" w:hint="eastAsia"/>
        </w:rPr>
        <w:t>d</w:t>
      </w:r>
      <w:r w:rsidRPr="00950A59">
        <w:rPr>
          <w:rFonts w:ascii="Arial" w:hAnsi="Arial" w:cs="Arial"/>
        </w:rPr>
        <w:t xml:space="preserve">ensity </w:t>
      </w:r>
      <w:r w:rsidR="004D05CD">
        <w:rPr>
          <w:rFonts w:ascii="Arial" w:hAnsi="Arial" w:cs="Arial" w:hint="eastAsia"/>
        </w:rPr>
        <w:t>e</w:t>
      </w:r>
      <w:r w:rsidRPr="00950A59">
        <w:rPr>
          <w:rFonts w:ascii="Arial" w:hAnsi="Arial" w:cs="Arial"/>
        </w:rPr>
        <w:t xml:space="preserve">stimation (KDE) is employed for estimating the directional distribution. The following sections describe the computational procedure, as well as the definitions of the probability density estimation and the joint probability used in this study. For detailed derivations of back-azimuth estimation for each frequency in each time window, the reader is referred to </w:t>
      </w:r>
      <w:r w:rsidR="00A234D9" w:rsidRPr="00950A59">
        <w:rPr>
          <w:rFonts w:ascii="Arial" w:hAnsi="Arial" w:cs="Arial"/>
        </w:rPr>
        <w:fldChar w:fldCharType="begin"/>
      </w:r>
      <w:r w:rsidR="00A234D9" w:rsidRPr="00950A59">
        <w:rPr>
          <w:rFonts w:ascii="Arial" w:hAnsi="Arial" w:cs="Arial"/>
        </w:rPr>
        <w:instrText xml:space="preserve"> ADDIN ZOTERO_ITEM CSL_CITATION {"citationID":"pj1z7oKc","properties":{"formattedCitation":"(Hirose and Ueda 2025)","plainCitation":"(Hirose and Ueda 2025)","noteIndex":0},"citationItems":[{"id":3,"uris":["http://zotero.org/users/local/K24SBYs1/items/HGA98DSI"],"itemData":{"id":3,"type":"article-journal","abstract":"A volcanic tremor is a seismic event linked to volcanic processes, identified by ongoing ground shaking. They play a crucial role in understanding internal volcanic activities and forecasting eruptions. Detecting weak volcanic tremor signals before an eruption has remained a difficult task. This study utilized polarization analysis on continuous seismograms at Kirishima volcano, Japan, to extract information on retrograde Rayleigh wave sources. Back azimuth estimates focused on the direction of the Shinmoe-dake crater before and during the volcanic eruptions in 2011, 2017, and 2018. Rayleigh waves originating from the crater direction, particularly in the 1.3–2.5 Hz band, were observed starting around March 2017, approximately 7 months prior to the October 2017 eruption. In the 1.3–2 Hz band, the back azimuths steadily moved closer to the crater’s direction between January and March 2017. Epicentral areas from the cross-bearings approach indicate that retrograde Rayleigh wave sources are located around the crater. A noticeable increase in the amplitudes of retrograde Rayleigh waves, which propagate along the crater direction, was observed starting in August 2016. Enhancing the growth in amplitude was achieved by utilizing a filter on the seismograms. As polarization analysis requires only a single three-component seismometer, this approach allows for the timely identification of weak Rayleigh waves from the crater direction, even in volcanoes with limited seismic station coverage. The results obtained in this study contribute to the growing knowledge on volcanic tremors and their potential use in volcano monitoring and eruption forecasting.","container-title":"Journal of Geophysical Research: Solid Earth","DOI":"10.1029/2024JB029358","ISSN":"2169-9356","issue":"3","language":"en","note":"_eprint: https://agupubs.onlinelibrary.wiley.com/doi/pdf/10.1029/2024JB029358","page":"e2024JB029358","source":"Wiley Online Library","title":"Seismic Wavefield Change Preceding the Eruption of Shinmoe-Dake, Kirishima Volcano, Japan, Inferred From Polarization Analysis","volume":"130","author":[{"family":"Hirose","given":"Takashi"},{"family":"Ueda","given":"Hideki"}],"issued":{"date-parts":[["2025"]]}}}],"schema":"https://github.com/citation-style-language/schema/raw/master/csl-citation.json"} </w:instrText>
      </w:r>
      <w:r w:rsidR="00A234D9" w:rsidRPr="00950A59">
        <w:rPr>
          <w:rFonts w:ascii="Arial" w:hAnsi="Arial" w:cs="Arial"/>
        </w:rPr>
        <w:fldChar w:fldCharType="separate"/>
      </w:r>
      <w:r w:rsidR="00A234D9" w:rsidRPr="00950A59">
        <w:rPr>
          <w:rFonts w:ascii="Arial" w:hAnsi="Arial" w:cs="Arial"/>
        </w:rPr>
        <w:t>Hirose and Ueda (2025)</w:t>
      </w:r>
      <w:r w:rsidR="00A234D9" w:rsidRPr="00950A59">
        <w:rPr>
          <w:rFonts w:ascii="Arial" w:hAnsi="Arial" w:cs="Arial"/>
        </w:rPr>
        <w:fldChar w:fldCharType="end"/>
      </w:r>
      <w:r w:rsidRPr="00950A59">
        <w:rPr>
          <w:rFonts w:ascii="Arial" w:hAnsi="Arial" w:cs="Arial"/>
        </w:rPr>
        <w:t>.</w:t>
      </w:r>
    </w:p>
    <w:p w14:paraId="5A7DEDA7" w14:textId="50E36145" w:rsidR="00B52225" w:rsidRPr="00950A59" w:rsidRDefault="00B52225" w:rsidP="00B52225">
      <w:pPr>
        <w:rPr>
          <w:rFonts w:ascii="Arial" w:hAnsi="Arial" w:cs="Arial"/>
        </w:rPr>
      </w:pPr>
      <w:r w:rsidRPr="00950A59">
        <w:rPr>
          <w:rFonts w:ascii="Arial" w:hAnsi="Arial" w:cs="Arial"/>
        </w:rPr>
        <w:t>Step</w:t>
      </w:r>
      <w:r w:rsidR="0074357A">
        <w:rPr>
          <w:rFonts w:ascii="Arial" w:hAnsi="Arial" w:cs="Arial" w:hint="eastAsia"/>
        </w:rPr>
        <w:t xml:space="preserve"> </w:t>
      </w:r>
      <w:r w:rsidRPr="00950A59">
        <w:rPr>
          <w:rFonts w:ascii="Arial" w:hAnsi="Arial" w:cs="Arial"/>
        </w:rPr>
        <w:t>1:</w:t>
      </w:r>
    </w:p>
    <w:p w14:paraId="2C12F550" w14:textId="4DA36F82" w:rsidR="00B52225" w:rsidRPr="00950A59" w:rsidRDefault="00B52225" w:rsidP="00B52225">
      <w:pPr>
        <w:rPr>
          <w:rFonts w:ascii="Arial" w:hAnsi="Arial" w:cs="Arial"/>
        </w:rPr>
      </w:pPr>
      <w:r w:rsidRPr="00950A59">
        <w:rPr>
          <w:rFonts w:ascii="Arial" w:hAnsi="Arial" w:cs="Arial"/>
        </w:rPr>
        <w:t xml:space="preserve">The polarization analysis was performed for waveform data within a 10.24-s time window using the method of </w:t>
      </w:r>
      <w:r w:rsidR="00C73162" w:rsidRPr="00950A59">
        <w:rPr>
          <w:rFonts w:ascii="Arial" w:hAnsi="Arial" w:cs="Arial"/>
        </w:rPr>
        <w:fldChar w:fldCharType="begin"/>
      </w:r>
      <w:r w:rsidR="00C73162" w:rsidRPr="00950A59">
        <w:rPr>
          <w:rFonts w:ascii="Arial" w:hAnsi="Arial" w:cs="Arial"/>
        </w:rPr>
        <w:instrText xml:space="preserve"> ADDIN ZOTERO_ITEM CSL_CITATION {"citationID":"2WDMLlMw","properties":{"formattedCitation":"(Hirose and Ueda 2025)","plainCitation":"(Hirose and Ueda 2025)","noteIndex":0},"citationItems":[{"id":3,"uris":["http://zotero.org/users/local/K24SBYs1/items/HGA98DSI"],"itemData":{"id":3,"type":"article-journal","abstract":"A volcanic tremor is a seismic event linked to volcanic processes, identified by ongoing ground shaking. They play a crucial role in understanding internal volcanic activities and forecasting eruptions. Detecting weak volcanic tremor signals before an eruption has remained a difficult task. This study utilized polarization analysis on continuous seismograms at Kirishima volcano, Japan, to extract information on retrograde Rayleigh wave sources. Back azimuth estimates focused on the direction of the Shinmoe-dake crater before and during the volcanic eruptions in 2011, 2017, and 2018. Rayleigh waves originating from the crater direction, particularly in the 1.3–2.5 Hz band, were observed starting around March 2017, approximately 7 months prior to the October 2017 eruption. In the 1.3–2 Hz band, the back azimuths steadily moved closer to the crater’s direction between January and March 2017. Epicentral areas from the cross-bearings approach indicate that retrograde Rayleigh wave sources are located around the crater. A noticeable increase in the amplitudes of retrograde Rayleigh waves, which propagate along the crater direction, was observed starting in August 2016. Enhancing the growth in amplitude was achieved by utilizing a filter on the seismograms. As polarization analysis requires only a single three-component seismometer, this approach allows for the timely identification of weak Rayleigh waves from the crater direction, even in volcanoes with limited seismic station coverage. The results obtained in this study contribute to the growing knowledge on volcanic tremors and their potential use in volcano monitoring and eruption forecasting.","container-title":"Journal of Geophysical Research: Solid Earth","DOI":"10.1029/2024JB029358","ISSN":"2169-9356","issue":"3","language":"en","note":"_eprint: https://agupubs.onlinelibrary.wiley.com/doi/pdf/10.1029/2024JB029358","page":"e2024JB029358","source":"Wiley Online Library","title":"Seismic Wavefield Change Preceding the Eruption of Shinmoe-Dake, Kirishima Volcano, Japan, Inferred From Polarization Analysis","volume":"130","author":[{"family":"Hirose","given":"Takashi"},{"family":"Ueda","given":"Hideki"}],"issued":{"date-parts":[["2025"]]}}}],"schema":"https://github.com/citation-style-language/schema/raw/master/csl-citation.json"} </w:instrText>
      </w:r>
      <w:r w:rsidR="00C73162" w:rsidRPr="00950A59">
        <w:rPr>
          <w:rFonts w:ascii="Arial" w:hAnsi="Arial" w:cs="Arial"/>
        </w:rPr>
        <w:fldChar w:fldCharType="separate"/>
      </w:r>
      <w:r w:rsidR="00C73162" w:rsidRPr="00950A59">
        <w:rPr>
          <w:rFonts w:ascii="Arial" w:hAnsi="Arial" w:cs="Arial"/>
        </w:rPr>
        <w:t>Hirose and Ueda (2025)</w:t>
      </w:r>
      <w:r w:rsidR="00C73162" w:rsidRPr="00950A59">
        <w:rPr>
          <w:rFonts w:ascii="Arial" w:hAnsi="Arial" w:cs="Arial"/>
        </w:rPr>
        <w:fldChar w:fldCharType="end"/>
      </w:r>
      <w:r w:rsidRPr="00950A59">
        <w:rPr>
          <w:rFonts w:ascii="Arial" w:hAnsi="Arial" w:cs="Arial"/>
        </w:rPr>
        <w:t xml:space="preserve">. The analysis was applied to time windows where the </w:t>
      </w:r>
      <w:r w:rsidR="00980488">
        <w:rPr>
          <w:rFonts w:ascii="Arial" w:hAnsi="Arial" w:cs="Arial" w:hint="eastAsia"/>
        </w:rPr>
        <w:t>s</w:t>
      </w:r>
      <w:r w:rsidRPr="00950A59">
        <w:rPr>
          <w:rFonts w:ascii="Arial" w:hAnsi="Arial" w:cs="Arial"/>
        </w:rPr>
        <w:t xml:space="preserve">eismic </w:t>
      </w:r>
      <w:r w:rsidR="00980488">
        <w:rPr>
          <w:rFonts w:ascii="Arial" w:hAnsi="Arial" w:cs="Arial" w:hint="eastAsia"/>
        </w:rPr>
        <w:t>p</w:t>
      </w:r>
      <w:r w:rsidRPr="00950A59">
        <w:rPr>
          <w:rFonts w:ascii="Arial" w:hAnsi="Arial" w:cs="Arial"/>
        </w:rPr>
        <w:t>ower percentile was between the 20th and 40th. After applying the NIP filter, the back azimuth corresponding to the frequency with the largest mean amplitude within the 3.5–7.0 Hz band was adopted as the back azimuth for that time window.</w:t>
      </w:r>
    </w:p>
    <w:p w14:paraId="6E59C923" w14:textId="3E1763B7" w:rsidR="00B52225" w:rsidRPr="00950A59" w:rsidRDefault="00B52225" w:rsidP="00B52225">
      <w:pPr>
        <w:rPr>
          <w:rFonts w:ascii="Arial" w:hAnsi="Arial" w:cs="Arial"/>
        </w:rPr>
      </w:pPr>
      <w:r w:rsidRPr="00950A59">
        <w:rPr>
          <w:rFonts w:ascii="Arial" w:hAnsi="Arial" w:cs="Arial"/>
        </w:rPr>
        <w:t>Step</w:t>
      </w:r>
      <w:r w:rsidR="0074357A">
        <w:rPr>
          <w:rFonts w:ascii="Arial" w:hAnsi="Arial" w:cs="Arial" w:hint="eastAsia"/>
        </w:rPr>
        <w:t xml:space="preserve"> </w:t>
      </w:r>
      <w:r w:rsidRPr="00950A59">
        <w:rPr>
          <w:rFonts w:ascii="Arial" w:hAnsi="Arial" w:cs="Arial"/>
        </w:rPr>
        <w:t>2:</w:t>
      </w:r>
    </w:p>
    <w:p w14:paraId="05864412" w14:textId="77777777" w:rsidR="00B52225" w:rsidRPr="00950A59" w:rsidRDefault="00B52225" w:rsidP="00B52225">
      <w:pPr>
        <w:rPr>
          <w:rFonts w:ascii="Arial" w:hAnsi="Arial" w:cs="Arial"/>
        </w:rPr>
      </w:pPr>
      <w:r w:rsidRPr="00950A59">
        <w:rPr>
          <w:rFonts w:ascii="Arial" w:hAnsi="Arial" w:cs="Arial"/>
        </w:rPr>
        <w:t>We estimated the density distribution of the back-azimuth dataset for each day using a non-parametric method.</w:t>
      </w:r>
    </w:p>
    <w:p w14:paraId="15C4A12A" w14:textId="7D2794E6" w:rsidR="00B52225" w:rsidRPr="00950A59" w:rsidRDefault="00000000" w:rsidP="00B52225">
      <w:pPr>
        <w:rPr>
          <w:rFonts w:ascii="Arial" w:hAnsi="Arial" w:cs="Arial"/>
          <w:i/>
        </w:rPr>
      </w:pPr>
      <m:oMathPara>
        <m:oMath>
          <m:eqArr>
            <m:eqArrPr>
              <m:maxDist m:val="1"/>
              <m:ctrlPr>
                <w:rPr>
                  <w:rFonts w:ascii="Cambria Math" w:hAnsi="Cambria Math" w:cs="Arial"/>
                  <w:i/>
                </w:rPr>
              </m:ctrlPr>
            </m:eqArrPr>
            <m:e>
              <m:acc>
                <m:accPr>
                  <m:ctrlPr>
                    <w:rPr>
                      <w:rFonts w:ascii="Cambria Math" w:hAnsi="Cambria Math" w:cs="Arial"/>
                      <w:i/>
                    </w:rPr>
                  </m:ctrlPr>
                </m:accPr>
                <m:e>
                  <m:r>
                    <w:rPr>
                      <w:rFonts w:ascii="Cambria Math" w:hAnsi="Cambria Math" w:cs="Arial"/>
                    </w:rPr>
                    <m:t>f</m:t>
                  </m:r>
                </m:e>
              </m:acc>
              <m:d>
                <m:dPr>
                  <m:ctrlPr>
                    <w:rPr>
                      <w:rFonts w:ascii="Cambria Math" w:hAnsi="Cambria Math" w:cs="Arial"/>
                      <w:i/>
                    </w:rPr>
                  </m:ctrlPr>
                </m:dPr>
                <m:e>
                  <m:r>
                    <w:rPr>
                      <w:rFonts w:ascii="Cambria Math" w:hAnsi="Cambria Math" w:cs="Arial"/>
                    </w:rPr>
                    <m:t>θ;h</m:t>
                  </m:r>
                </m:e>
              </m:d>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n</m:t>
                  </m:r>
                </m:den>
              </m:f>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K</m:t>
                      </m:r>
                    </m:e>
                    <m:sub>
                      <m:r>
                        <w:rPr>
                          <w:rFonts w:ascii="Cambria Math" w:hAnsi="Cambria Math" w:cs="Arial"/>
                        </w:rPr>
                        <m:t>h</m:t>
                      </m:r>
                    </m:sub>
                  </m:sSub>
                  <m:d>
                    <m:dPr>
                      <m:ctrlPr>
                        <w:rPr>
                          <w:rFonts w:ascii="Cambria Math" w:hAnsi="Cambria Math" w:cs="Arial"/>
                          <w:i/>
                        </w:rPr>
                      </m:ctrlPr>
                    </m:dPr>
                    <m:e>
                      <m:r>
                        <w:rPr>
                          <w:rFonts w:ascii="Cambria Math" w:hAnsi="Cambria Math" w:cs="Arial"/>
                        </w:rPr>
                        <m:t>θ-</m:t>
                      </m:r>
                      <m:sSub>
                        <m:sSubPr>
                          <m:ctrlPr>
                            <w:rPr>
                              <w:rFonts w:ascii="Cambria Math" w:hAnsi="Cambria Math" w:cs="Arial"/>
                              <w:i/>
                            </w:rPr>
                          </m:ctrlPr>
                        </m:sSubPr>
                        <m:e>
                          <m:r>
                            <w:rPr>
                              <w:rFonts w:ascii="Cambria Math" w:hAnsi="Cambria Math" w:cs="Arial"/>
                            </w:rPr>
                            <m:t>θ</m:t>
                          </m:r>
                        </m:e>
                        <m:sub>
                          <m:r>
                            <w:rPr>
                              <w:rFonts w:ascii="Cambria Math" w:hAnsi="Cambria Math" w:cs="Arial"/>
                            </w:rPr>
                            <m:t>i</m:t>
                          </m:r>
                        </m:sub>
                      </m:sSub>
                    </m:e>
                  </m:d>
                </m:e>
              </m:nary>
              <m:r>
                <w:rPr>
                  <w:rFonts w:ascii="Cambria Math" w:hAnsi="Cambria Math" w:cs="Arial"/>
                </w:rPr>
                <m:t>#</m:t>
              </m:r>
              <m:d>
                <m:dPr>
                  <m:ctrlPr>
                    <w:rPr>
                      <w:rFonts w:ascii="Cambria Math" w:hAnsi="Cambria Math" w:cs="Arial"/>
                      <w:i/>
                    </w:rPr>
                  </m:ctrlPr>
                </m:dPr>
                <m:e>
                  <m:r>
                    <w:rPr>
                      <w:rFonts w:ascii="Cambria Math" w:hAnsi="Cambria Math" w:cs="Arial"/>
                    </w:rPr>
                    <m:t>1</m:t>
                  </m:r>
                </m:e>
              </m:d>
            </m:e>
          </m:eqArr>
        </m:oMath>
      </m:oMathPara>
    </w:p>
    <w:p w14:paraId="6C491309" w14:textId="4F0E8EE2" w:rsidR="00B52225" w:rsidRPr="00950A59" w:rsidRDefault="00B52225" w:rsidP="00B52225">
      <w:pPr>
        <w:rPr>
          <w:rFonts w:ascii="Arial" w:hAnsi="Arial" w:cs="Arial"/>
        </w:rPr>
      </w:pPr>
      <w:r w:rsidRPr="00950A59">
        <w:rPr>
          <w:rFonts w:ascii="Arial" w:hAnsi="Arial" w:cs="Arial"/>
        </w:rPr>
        <w:t xml:space="preserve">where </w:t>
      </w:r>
      <m:oMath>
        <m:sSub>
          <m:sSubPr>
            <m:ctrlPr>
              <w:rPr>
                <w:rFonts w:ascii="Cambria Math" w:hAnsi="Cambria Math" w:cs="Arial"/>
                <w:i/>
              </w:rPr>
            </m:ctrlPr>
          </m:sSubPr>
          <m:e>
            <m:r>
              <w:rPr>
                <w:rFonts w:ascii="Cambria Math" w:hAnsi="Cambria Math" w:cs="Arial"/>
              </w:rPr>
              <m:t>K</m:t>
            </m:r>
          </m:e>
          <m:sub>
            <m:r>
              <w:rPr>
                <w:rFonts w:ascii="Cambria Math" w:hAnsi="Cambria Math" w:cs="Arial"/>
              </w:rPr>
              <m:t>h</m:t>
            </m:r>
          </m:sub>
        </m:sSub>
        <m:r>
          <w:rPr>
            <w:rFonts w:ascii="Cambria Math" w:hAnsi="Cambria Math" w:cs="Arial"/>
          </w:rPr>
          <m:t>=</m:t>
        </m:r>
        <m:f>
          <m:fPr>
            <m:type m:val="lin"/>
            <m:ctrlPr>
              <w:rPr>
                <w:rFonts w:ascii="Cambria Math" w:hAnsi="Cambria Math" w:cs="Arial"/>
                <w:i/>
              </w:rPr>
            </m:ctrlPr>
          </m:fPr>
          <m:num>
            <m:r>
              <w:rPr>
                <w:rFonts w:ascii="Cambria Math" w:hAnsi="Cambria Math" w:cs="Arial"/>
              </w:rPr>
              <m:t>K</m:t>
            </m:r>
            <m:d>
              <m:dPr>
                <m:ctrlPr>
                  <w:rPr>
                    <w:rFonts w:ascii="Cambria Math" w:hAnsi="Cambria Math" w:cs="Arial"/>
                    <w:i/>
                  </w:rPr>
                </m:ctrlPr>
              </m:dPr>
              <m:e>
                <m:f>
                  <m:fPr>
                    <m:type m:val="lin"/>
                    <m:ctrlPr>
                      <w:rPr>
                        <w:rFonts w:ascii="Cambria Math" w:hAnsi="Cambria Math" w:cs="Arial"/>
                        <w:i/>
                      </w:rPr>
                    </m:ctrlPr>
                  </m:fPr>
                  <m:num>
                    <m:r>
                      <w:rPr>
                        <w:rFonts w:ascii="Cambria Math" w:hAnsi="Cambria Math" w:cs="Arial"/>
                      </w:rPr>
                      <m:t>θ</m:t>
                    </m:r>
                  </m:num>
                  <m:den>
                    <m:r>
                      <w:rPr>
                        <w:rFonts w:ascii="Cambria Math" w:hAnsi="Cambria Math" w:cs="Arial"/>
                      </w:rPr>
                      <m:t>h</m:t>
                    </m:r>
                  </m:den>
                </m:f>
              </m:e>
            </m:d>
          </m:num>
          <m:den>
            <m:r>
              <w:rPr>
                <w:rFonts w:ascii="Cambria Math" w:hAnsi="Cambria Math" w:cs="Arial"/>
              </w:rPr>
              <m:t>h</m:t>
            </m:r>
          </m:den>
        </m:f>
      </m:oMath>
      <w:r w:rsidRPr="00950A59">
        <w:rPr>
          <w:rFonts w:ascii="Arial" w:hAnsi="Arial" w:cs="Arial"/>
        </w:rPr>
        <w:t xml:space="preserve"> is kernel function, and h is smoothing parameter </w:t>
      </w:r>
      <w:r w:rsidR="00DF4ACD" w:rsidRPr="00950A59">
        <w:rPr>
          <w:rFonts w:ascii="Arial" w:hAnsi="Arial" w:cs="Arial"/>
        </w:rPr>
        <w:t>(</w:t>
      </w:r>
      <w:r w:rsidR="00057D8B" w:rsidRPr="00950A59">
        <w:rPr>
          <w:rFonts w:ascii="Arial" w:hAnsi="Arial" w:cs="Arial"/>
        </w:rPr>
        <w:fldChar w:fldCharType="begin"/>
      </w:r>
      <w:r w:rsidR="00057D8B" w:rsidRPr="00950A59">
        <w:rPr>
          <w:rFonts w:ascii="Arial" w:hAnsi="Arial" w:cs="Arial"/>
        </w:rPr>
        <w:instrText xml:space="preserve"> ADDIN ZOTERO_ITEM CSL_CITATION {"citationID":"HTwfK3hc","properties":{"formattedCitation":"(Taylor 2008)","plainCitation":"(Taylor 2008)","noteIndex":0},"citationItems":[{"id":97,"uris":["http://zotero.org/users/local/K24SBYs1/items/VLXYQU4E"],"itemData":{"id":97,"type":"article-journal","abstract":"Given angular data θ1,…,θn</w:instrText>
      </w:r>
      <w:r w:rsidR="00057D8B" w:rsidRPr="00950A59">
        <w:rPr>
          <w:rFonts w:ascii="Cambria Math" w:hAnsi="Cambria Math" w:cs="Cambria Math"/>
        </w:rPr>
        <w:instrText>∈</w:instrText>
      </w:r>
      <w:r w:rsidR="00057D8B" w:rsidRPr="00950A59">
        <w:rPr>
          <w:rFonts w:ascii="Arial" w:hAnsi="Arial" w:cs="Arial"/>
        </w:rPr>
        <w:instrText xml:space="preserve">[0,2π) a common objective is to estimate the density. In case that a kernel estimator is used, bandwidth selection is crucial to the performance. A “plug-in rule” for the bandwidth, which is based on the concentration of a reference density, namely, the von Mises distribution is obtained. It is seen that this is equivalent to the usual Euclidean plug-in rule in the case where the concentration becomes large. In case that the concentration parameter is unknown, alternative methods are explored which are intended to be robust to departures from the reference density. Simulations indicate that “wrapped estimators” can perform well in this context. The methods are applied to a real bivariate dataset concerning protein structure.","container-title":"Computational Statistics &amp; Data Analysis","DOI":"10.1016/j.csda.2007.11.003","ISSN":"0167-9473","issue":"7","journalAbbreviation":"Computational Statistics &amp; Data Analysis","page":"3493-3500","source":"ScienceDirect","title":"Automatic bandwidth selection for circular density estimation","volume":"52","author":[{"family":"Taylor","given":"Charles C."}],"issued":{"date-parts":[["2008",3,15]]}}}],"schema":"https://github.com/citation-style-language/schema/raw/master/csl-citation.json"} </w:instrText>
      </w:r>
      <w:r w:rsidR="00057D8B" w:rsidRPr="00950A59">
        <w:rPr>
          <w:rFonts w:ascii="Arial" w:hAnsi="Arial" w:cs="Arial"/>
        </w:rPr>
        <w:fldChar w:fldCharType="separate"/>
      </w:r>
      <w:r w:rsidR="00057D8B" w:rsidRPr="00950A59">
        <w:rPr>
          <w:rFonts w:ascii="Arial" w:hAnsi="Arial" w:cs="Arial"/>
        </w:rPr>
        <w:t>Taylor 2008)</w:t>
      </w:r>
      <w:r w:rsidR="00057D8B" w:rsidRPr="00950A59">
        <w:rPr>
          <w:rFonts w:ascii="Arial" w:hAnsi="Arial" w:cs="Arial"/>
        </w:rPr>
        <w:fldChar w:fldCharType="end"/>
      </w:r>
      <w:r w:rsidRPr="00950A59">
        <w:rPr>
          <w:rFonts w:ascii="Arial" w:hAnsi="Arial" w:cs="Arial"/>
        </w:rPr>
        <w:t xml:space="preserve">. We used the von Mises distribution </w:t>
      </w:r>
      <w:r w:rsidR="00381926" w:rsidRPr="00950A59">
        <w:rPr>
          <w:rFonts w:ascii="Arial" w:hAnsi="Arial" w:cs="Arial"/>
        </w:rPr>
        <w:t>(</w:t>
      </w:r>
      <w:proofErr w:type="spellStart"/>
      <w:r w:rsidR="00CF2807" w:rsidRPr="00950A59">
        <w:rPr>
          <w:rFonts w:ascii="Arial" w:hAnsi="Arial" w:cs="Arial"/>
        </w:rPr>
        <w:fldChar w:fldCharType="begin"/>
      </w:r>
      <w:r w:rsidR="00CF2807" w:rsidRPr="00950A59">
        <w:rPr>
          <w:rFonts w:ascii="Arial" w:hAnsi="Arial" w:cs="Arial"/>
        </w:rPr>
        <w:instrText xml:space="preserve"> ADDIN ZOTERO_ITEM CSL_CITATION {"citationID":"JSr3URFE","properties":{"formattedCitation":"(Mardia and Jupp 2010)","plainCitation":"(Mardia and Jupp 2010)","noteIndex":0},"citationItems":[{"id":94,"uris":["http://zotero.org/users/local/K24SBYs1/items/BCTCAH2J"],"itemData":{"id":94,"type":"book","abstract":"Presents new and up-dated material on both the underlying theory and the practical methodology of directional statistics, helping the reader to utilise and develop the techniques appropriate to their work. The book is divided into three parts. The first part concentrates on statistics on the circle. Topics covered include tests of uniformity, tests of good-of-fit, inference on von Mises distributions and non-parametric methods. The second part considers statistics on spheres of arbitrary dimension, and includes a detailed account of inference on the main distributions on spheres. Recent materi","collection-title":"Wiley series in probability and statistics","ISBN":"978-0-471-95333-3","language":"en","number-of-pages":"429","publisher":"J. Wiley","publisher-place":"Chichester New York","source":"K10plus ISBN","title":"Directional statistics","editor":[{"family":"Mardia","given":"Kantilal V."},{"family":"Jupp","given":"Peter E."}],"issued":{"date-parts":[["2010"]]}}}],"schema":"https://github.com/citation-style-language/schema/raw/master/csl-citation.json"} </w:instrText>
      </w:r>
      <w:r w:rsidR="00CF2807" w:rsidRPr="00950A59">
        <w:rPr>
          <w:rFonts w:ascii="Arial" w:hAnsi="Arial" w:cs="Arial"/>
        </w:rPr>
        <w:fldChar w:fldCharType="separate"/>
      </w:r>
      <w:r w:rsidR="00CF2807" w:rsidRPr="00950A59">
        <w:rPr>
          <w:rFonts w:ascii="Arial" w:hAnsi="Arial" w:cs="Arial"/>
        </w:rPr>
        <w:t>Mardia</w:t>
      </w:r>
      <w:proofErr w:type="spellEnd"/>
      <w:r w:rsidR="00CF2807" w:rsidRPr="00950A59">
        <w:rPr>
          <w:rFonts w:ascii="Arial" w:hAnsi="Arial" w:cs="Arial"/>
        </w:rPr>
        <w:t xml:space="preserve"> and Jupp 2010)</w:t>
      </w:r>
      <w:r w:rsidR="00CF2807" w:rsidRPr="00950A59">
        <w:rPr>
          <w:rFonts w:ascii="Arial" w:hAnsi="Arial" w:cs="Arial"/>
        </w:rPr>
        <w:fldChar w:fldCharType="end"/>
      </w:r>
      <w:r w:rsidRPr="00950A59">
        <w:rPr>
          <w:rFonts w:ascii="Arial" w:hAnsi="Arial" w:cs="Arial"/>
        </w:rPr>
        <w:t xml:space="preserve"> as the kernel.</w:t>
      </w:r>
    </w:p>
    <w:p w14:paraId="6CCB916E" w14:textId="62B1EB40" w:rsidR="00B52225" w:rsidRPr="00950A59" w:rsidRDefault="00000000" w:rsidP="00B52225">
      <w:pPr>
        <w:rPr>
          <w:rFonts w:ascii="Arial" w:hAnsi="Arial" w:cs="Arial"/>
        </w:rPr>
      </w:pPr>
      <m:oMathPara>
        <m:oMath>
          <m:eqArr>
            <m:eqArrPr>
              <m:maxDist m:val="1"/>
              <m:ctrlPr>
                <w:rPr>
                  <w:rStyle w:val="ae"/>
                  <w:rFonts w:ascii="Cambria Math" w:hAnsi="Cambria Math" w:cs="Arial"/>
                  <w:i/>
                  <w:color w:val="auto"/>
                </w:rPr>
              </m:ctrlPr>
            </m:eqArrPr>
            <m:e>
              <m:r>
                <w:rPr>
                  <w:rStyle w:val="ae"/>
                  <w:rFonts w:ascii="Cambria Math" w:hAnsi="Cambria Math" w:cs="Arial"/>
                  <w:color w:val="auto"/>
                </w:rPr>
                <m:t>K</m:t>
              </m:r>
              <m:d>
                <m:dPr>
                  <m:ctrlPr>
                    <w:rPr>
                      <w:rStyle w:val="ae"/>
                      <w:rFonts w:ascii="Cambria Math" w:hAnsi="Cambria Math" w:cs="Arial"/>
                      <w:i/>
                      <w:color w:val="auto"/>
                    </w:rPr>
                  </m:ctrlPr>
                </m:dPr>
                <m:e>
                  <m:r>
                    <w:rPr>
                      <w:rStyle w:val="ae"/>
                      <w:rFonts w:ascii="Cambria Math" w:hAnsi="Cambria Math" w:cs="Arial"/>
                      <w:color w:val="auto"/>
                    </w:rPr>
                    <m:t>θ;μ,κ</m:t>
                  </m:r>
                </m:e>
              </m:d>
              <m:r>
                <w:rPr>
                  <w:rStyle w:val="ae"/>
                  <w:rFonts w:ascii="Cambria Math" w:hAnsi="Cambria Math" w:cs="Arial"/>
                  <w:color w:val="auto"/>
                </w:rPr>
                <m:t>=</m:t>
              </m:r>
              <m:f>
                <m:fPr>
                  <m:ctrlPr>
                    <w:rPr>
                      <w:rStyle w:val="ae"/>
                      <w:rFonts w:ascii="Cambria Math" w:hAnsi="Cambria Math" w:cs="Arial"/>
                      <w:i/>
                      <w:color w:val="auto"/>
                    </w:rPr>
                  </m:ctrlPr>
                </m:fPr>
                <m:num>
                  <m:r>
                    <w:rPr>
                      <w:rStyle w:val="ae"/>
                      <w:rFonts w:ascii="Cambria Math" w:hAnsi="Cambria Math" w:cs="Arial"/>
                      <w:color w:val="auto"/>
                    </w:rPr>
                    <m:t>1</m:t>
                  </m:r>
                </m:num>
                <m:den>
                  <m:r>
                    <w:rPr>
                      <w:rStyle w:val="ae"/>
                      <w:rFonts w:ascii="Cambria Math" w:hAnsi="Cambria Math" w:cs="Arial"/>
                      <w:color w:val="auto"/>
                    </w:rPr>
                    <m:t>2π</m:t>
                  </m:r>
                  <m:sSub>
                    <m:sSubPr>
                      <m:ctrlPr>
                        <w:rPr>
                          <w:rStyle w:val="ae"/>
                          <w:rFonts w:ascii="Cambria Math" w:hAnsi="Cambria Math" w:cs="Arial"/>
                          <w:i/>
                          <w:color w:val="auto"/>
                        </w:rPr>
                      </m:ctrlPr>
                    </m:sSubPr>
                    <m:e>
                      <m:r>
                        <w:rPr>
                          <w:rStyle w:val="ae"/>
                          <w:rFonts w:ascii="Cambria Math" w:hAnsi="Cambria Math" w:cs="Arial"/>
                          <w:color w:val="auto"/>
                        </w:rPr>
                        <m:t>I</m:t>
                      </m:r>
                    </m:e>
                    <m:sub>
                      <m:r>
                        <w:rPr>
                          <w:rStyle w:val="ae"/>
                          <w:rFonts w:ascii="Cambria Math" w:hAnsi="Cambria Math" w:cs="Arial"/>
                          <w:color w:val="auto"/>
                        </w:rPr>
                        <m:t>0</m:t>
                      </m:r>
                    </m:sub>
                  </m:sSub>
                  <m:d>
                    <m:dPr>
                      <m:ctrlPr>
                        <w:rPr>
                          <w:rStyle w:val="ae"/>
                          <w:rFonts w:ascii="Cambria Math" w:hAnsi="Cambria Math" w:cs="Arial"/>
                          <w:i/>
                          <w:color w:val="auto"/>
                        </w:rPr>
                      </m:ctrlPr>
                    </m:dPr>
                    <m:e>
                      <m:r>
                        <w:rPr>
                          <w:rStyle w:val="ae"/>
                          <w:rFonts w:ascii="Cambria Math" w:hAnsi="Cambria Math" w:cs="Arial"/>
                          <w:color w:val="auto"/>
                        </w:rPr>
                        <m:t>κ</m:t>
                      </m:r>
                    </m:e>
                  </m:d>
                </m:den>
              </m:f>
              <m:sSup>
                <m:sSupPr>
                  <m:ctrlPr>
                    <w:rPr>
                      <w:rStyle w:val="ae"/>
                      <w:rFonts w:ascii="Cambria Math" w:hAnsi="Cambria Math" w:cs="Arial"/>
                      <w:i/>
                      <w:color w:val="auto"/>
                    </w:rPr>
                  </m:ctrlPr>
                </m:sSupPr>
                <m:e>
                  <m:r>
                    <w:rPr>
                      <w:rStyle w:val="ae"/>
                      <w:rFonts w:ascii="Cambria Math" w:hAnsi="Cambria Math" w:cs="Arial"/>
                      <w:color w:val="auto"/>
                    </w:rPr>
                    <m:t>e</m:t>
                  </m:r>
                </m:e>
                <m:sup>
                  <m:r>
                    <w:rPr>
                      <w:rStyle w:val="ae"/>
                      <w:rFonts w:ascii="Cambria Math" w:hAnsi="Cambria Math" w:cs="Arial"/>
                      <w:color w:val="auto"/>
                    </w:rPr>
                    <m:t>κ</m:t>
                  </m:r>
                  <m:func>
                    <m:funcPr>
                      <m:ctrlPr>
                        <w:rPr>
                          <w:rStyle w:val="ae"/>
                          <w:rFonts w:ascii="Cambria Math" w:hAnsi="Cambria Math" w:cs="Arial"/>
                          <w:i/>
                          <w:color w:val="auto"/>
                        </w:rPr>
                      </m:ctrlPr>
                    </m:funcPr>
                    <m:fName>
                      <m:r>
                        <m:rPr>
                          <m:sty m:val="p"/>
                        </m:rPr>
                        <w:rPr>
                          <w:rStyle w:val="ae"/>
                          <w:rFonts w:ascii="Cambria Math" w:hAnsi="Cambria Math" w:cs="Arial"/>
                          <w:color w:val="auto"/>
                        </w:rPr>
                        <m:t>cos</m:t>
                      </m:r>
                    </m:fName>
                    <m:e>
                      <m:d>
                        <m:dPr>
                          <m:ctrlPr>
                            <w:rPr>
                              <w:rStyle w:val="ae"/>
                              <w:rFonts w:ascii="Cambria Math" w:hAnsi="Cambria Math" w:cs="Arial"/>
                              <w:i/>
                              <w:color w:val="auto"/>
                            </w:rPr>
                          </m:ctrlPr>
                        </m:dPr>
                        <m:e>
                          <m:r>
                            <w:rPr>
                              <w:rStyle w:val="ae"/>
                              <w:rFonts w:ascii="Cambria Math" w:hAnsi="Cambria Math" w:cs="Arial"/>
                              <w:color w:val="auto"/>
                            </w:rPr>
                            <m:t>θ-μ</m:t>
                          </m:r>
                        </m:e>
                      </m:d>
                    </m:e>
                  </m:func>
                </m:sup>
              </m:sSup>
              <m:r>
                <w:rPr>
                  <w:rStyle w:val="ae"/>
                  <w:rFonts w:ascii="Cambria Math" w:hAnsi="Cambria Math" w:cs="Arial"/>
                  <w:color w:val="auto"/>
                </w:rPr>
                <m:t>#</m:t>
              </m:r>
              <m:d>
                <m:dPr>
                  <m:ctrlPr>
                    <w:rPr>
                      <w:rStyle w:val="ae"/>
                      <w:rFonts w:ascii="Cambria Math" w:hAnsi="Cambria Math" w:cs="Arial"/>
                      <w:i/>
                      <w:color w:val="auto"/>
                    </w:rPr>
                  </m:ctrlPr>
                </m:dPr>
                <m:e>
                  <m:r>
                    <w:rPr>
                      <w:rStyle w:val="ae"/>
                      <w:rFonts w:ascii="Cambria Math" w:hAnsi="Cambria Math" w:cs="Arial"/>
                      <w:color w:val="auto"/>
                    </w:rPr>
                    <m:t>2</m:t>
                  </m:r>
                </m:e>
              </m:d>
            </m:e>
          </m:eqArr>
        </m:oMath>
      </m:oMathPara>
    </w:p>
    <w:p w14:paraId="33B34D92" w14:textId="7C8C6145" w:rsidR="00B52225" w:rsidRPr="00950A59" w:rsidRDefault="00B52225" w:rsidP="00B52225">
      <w:pPr>
        <w:rPr>
          <w:rFonts w:ascii="Arial" w:hAnsi="Arial" w:cs="Arial"/>
        </w:rPr>
      </w:pPr>
      <w:r w:rsidRPr="00950A59">
        <w:rPr>
          <w:rFonts w:ascii="Arial" w:hAnsi="Arial" w:cs="Arial"/>
        </w:rPr>
        <w:t xml:space="preserve">where </w:t>
      </w:r>
      <m:oMath>
        <m:sSub>
          <m:sSubPr>
            <m:ctrlPr>
              <w:rPr>
                <w:rFonts w:ascii="Cambria Math" w:hAnsi="Cambria Math" w:cs="Arial"/>
                <w:i/>
              </w:rPr>
            </m:ctrlPr>
          </m:sSubPr>
          <m:e>
            <m:r>
              <w:rPr>
                <w:rFonts w:ascii="Cambria Math" w:hAnsi="Cambria Math" w:cs="Arial"/>
              </w:rPr>
              <m:t>I</m:t>
            </m:r>
          </m:e>
          <m:sub>
            <m:r>
              <w:rPr>
                <w:rFonts w:ascii="Cambria Math" w:hAnsi="Cambria Math" w:cs="Arial"/>
              </w:rPr>
              <m:t>0</m:t>
            </m:r>
          </m:sub>
        </m:sSub>
      </m:oMath>
      <w:r w:rsidRPr="00950A59">
        <w:rPr>
          <w:rFonts w:ascii="Arial" w:hAnsi="Arial" w:cs="Arial"/>
        </w:rPr>
        <w:t xml:space="preserve"> is the modified Bessel function of order 0. </w:t>
      </w:r>
      <m:oMath>
        <m:r>
          <w:rPr>
            <w:rFonts w:ascii="Cambria Math" w:hAnsi="Cambria Math" w:cs="Arial"/>
          </w:rPr>
          <m:t>κ</m:t>
        </m:r>
      </m:oMath>
      <w:r w:rsidRPr="00950A59">
        <w:rPr>
          <w:rFonts w:ascii="Arial" w:hAnsi="Arial" w:cs="Arial"/>
        </w:rPr>
        <w:t xml:space="preserve"> is concentration parameter and is the reciprocal of </w:t>
      </w:r>
      <w:r w:rsidRPr="00950A59">
        <w:rPr>
          <w:rFonts w:ascii="Arial" w:hAnsi="Arial" w:cs="Arial"/>
          <w:i/>
          <w:iCs/>
        </w:rPr>
        <w:t>h</w:t>
      </w:r>
      <w:r w:rsidRPr="00950A59">
        <w:rPr>
          <w:rFonts w:ascii="Arial" w:hAnsi="Arial" w:cs="Arial"/>
        </w:rPr>
        <w:t>. From Equations (1) and (2), the kernel density estimation using the von Mises distribution as the kernel is given by:</w:t>
      </w:r>
    </w:p>
    <w:p w14:paraId="372DF664" w14:textId="29AD3BE1" w:rsidR="003C5CB7" w:rsidRPr="00950A59" w:rsidRDefault="00000000" w:rsidP="00B52225">
      <w:pPr>
        <w:rPr>
          <w:rFonts w:ascii="Arial" w:hAnsi="Arial" w:cs="Arial"/>
        </w:rPr>
      </w:pPr>
      <m:oMathPara>
        <m:oMath>
          <m:eqArr>
            <m:eqArrPr>
              <m:maxDist m:val="1"/>
              <m:ctrlPr>
                <w:rPr>
                  <w:rFonts w:ascii="Cambria Math" w:hAnsi="Cambria Math" w:cs="Arial"/>
                  <w:i/>
                </w:rPr>
              </m:ctrlPr>
            </m:eqArrPr>
            <m:e>
              <m:acc>
                <m:accPr>
                  <m:ctrlPr>
                    <w:rPr>
                      <w:rFonts w:ascii="Cambria Math" w:hAnsi="Cambria Math" w:cs="Arial"/>
                      <w:i/>
                    </w:rPr>
                  </m:ctrlPr>
                </m:accPr>
                <m:e>
                  <m:r>
                    <w:rPr>
                      <w:rFonts w:ascii="Cambria Math" w:hAnsi="Cambria Math" w:cs="Arial"/>
                    </w:rPr>
                    <m:t>f</m:t>
                  </m:r>
                </m:e>
              </m:acc>
              <m:d>
                <m:dPr>
                  <m:ctrlPr>
                    <w:rPr>
                      <w:rFonts w:ascii="Cambria Math" w:hAnsi="Cambria Math" w:cs="Arial"/>
                      <w:i/>
                    </w:rPr>
                  </m:ctrlPr>
                </m:dPr>
                <m:e>
                  <m:r>
                    <w:rPr>
                      <w:rFonts w:ascii="Cambria Math" w:hAnsi="Cambria Math" w:cs="Arial"/>
                    </w:rPr>
                    <m:t>θ;κ</m:t>
                  </m:r>
                </m:e>
              </m:d>
              <m:r>
                <w:rPr>
                  <w:rFonts w:ascii="Cambria Math" w:hAnsi="Cambria Math" w:cs="Arial"/>
                </w:rPr>
                <m:t>=</m:t>
              </m:r>
              <m:f>
                <m:fPr>
                  <m:ctrlPr>
                    <w:rPr>
                      <w:rStyle w:val="ae"/>
                      <w:rFonts w:ascii="Cambria Math" w:hAnsi="Cambria Math" w:cs="Arial"/>
                      <w:i/>
                      <w:color w:val="auto"/>
                    </w:rPr>
                  </m:ctrlPr>
                </m:fPr>
                <m:num>
                  <m:r>
                    <w:rPr>
                      <w:rStyle w:val="ae"/>
                      <w:rFonts w:ascii="Cambria Math" w:hAnsi="Cambria Math" w:cs="Arial"/>
                      <w:color w:val="auto"/>
                    </w:rPr>
                    <m:t>1</m:t>
                  </m:r>
                </m:num>
                <m:den>
                  <m:r>
                    <w:rPr>
                      <w:rStyle w:val="ae"/>
                      <w:rFonts w:ascii="Cambria Math" w:hAnsi="Cambria Math" w:cs="Arial"/>
                      <w:color w:val="auto"/>
                    </w:rPr>
                    <m:t>n</m:t>
                  </m:r>
                  <m:d>
                    <m:dPr>
                      <m:ctrlPr>
                        <w:rPr>
                          <w:rStyle w:val="ae"/>
                          <w:rFonts w:ascii="Cambria Math" w:hAnsi="Cambria Math" w:cs="Arial"/>
                          <w:i/>
                          <w:color w:val="auto"/>
                        </w:rPr>
                      </m:ctrlPr>
                    </m:dPr>
                    <m:e>
                      <m:r>
                        <w:rPr>
                          <w:rStyle w:val="ae"/>
                          <w:rFonts w:ascii="Cambria Math" w:hAnsi="Cambria Math" w:cs="Arial"/>
                          <w:color w:val="auto"/>
                        </w:rPr>
                        <m:t>2π</m:t>
                      </m:r>
                    </m:e>
                  </m:d>
                  <m:sSub>
                    <m:sSubPr>
                      <m:ctrlPr>
                        <w:rPr>
                          <w:rStyle w:val="ae"/>
                          <w:rFonts w:ascii="Cambria Math" w:hAnsi="Cambria Math" w:cs="Arial"/>
                          <w:i/>
                          <w:color w:val="auto"/>
                        </w:rPr>
                      </m:ctrlPr>
                    </m:sSubPr>
                    <m:e>
                      <m:r>
                        <w:rPr>
                          <w:rStyle w:val="ae"/>
                          <w:rFonts w:ascii="Cambria Math" w:hAnsi="Cambria Math" w:cs="Arial"/>
                          <w:color w:val="auto"/>
                        </w:rPr>
                        <m:t>I</m:t>
                      </m:r>
                    </m:e>
                    <m:sub>
                      <m:r>
                        <w:rPr>
                          <w:rStyle w:val="ae"/>
                          <w:rFonts w:ascii="Cambria Math" w:hAnsi="Cambria Math" w:cs="Arial"/>
                          <w:color w:val="auto"/>
                        </w:rPr>
                        <m:t>0</m:t>
                      </m:r>
                    </m:sub>
                  </m:sSub>
                  <m:d>
                    <m:dPr>
                      <m:ctrlPr>
                        <w:rPr>
                          <w:rStyle w:val="ae"/>
                          <w:rFonts w:ascii="Cambria Math" w:hAnsi="Cambria Math" w:cs="Arial"/>
                          <w:i/>
                          <w:color w:val="auto"/>
                        </w:rPr>
                      </m:ctrlPr>
                    </m:dPr>
                    <m:e>
                      <m:r>
                        <w:rPr>
                          <w:rStyle w:val="ae"/>
                          <w:rFonts w:ascii="Cambria Math" w:hAnsi="Cambria Math" w:cs="Arial"/>
                          <w:color w:val="auto"/>
                        </w:rPr>
                        <m:t>κ</m:t>
                      </m:r>
                    </m:e>
                  </m:d>
                </m:den>
              </m:f>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n</m:t>
                  </m:r>
                </m:sup>
                <m:e>
                  <m:r>
                    <w:rPr>
                      <w:rFonts w:ascii="Cambria Math" w:hAnsi="Cambria Math" w:cs="Arial"/>
                    </w:rPr>
                    <m:t>exp</m:t>
                  </m:r>
                  <m:d>
                    <m:dPr>
                      <m:begChr m:val="{"/>
                      <m:endChr m:val="}"/>
                      <m:ctrlPr>
                        <w:rPr>
                          <w:rFonts w:ascii="Cambria Math" w:hAnsi="Cambria Math" w:cs="Arial"/>
                          <w:i/>
                        </w:rPr>
                      </m:ctrlPr>
                    </m:dPr>
                    <m:e>
                      <m:r>
                        <w:rPr>
                          <w:rFonts w:ascii="Cambria Math" w:hAnsi="Cambria Math" w:cs="Arial"/>
                        </w:rPr>
                        <m:t>κ</m:t>
                      </m:r>
                      <m:func>
                        <m:funcPr>
                          <m:ctrlPr>
                            <w:rPr>
                              <w:rFonts w:ascii="Cambria Math" w:hAnsi="Cambria Math" w:cs="Arial"/>
                              <w:i/>
                            </w:rPr>
                          </m:ctrlPr>
                        </m:funcPr>
                        <m:fName>
                          <m:r>
                            <m:rPr>
                              <m:sty m:val="p"/>
                            </m:rPr>
                            <w:rPr>
                              <w:rFonts w:ascii="Cambria Math" w:hAnsi="Cambria Math" w:cs="Arial"/>
                            </w:rPr>
                            <m:t>cos</m:t>
                          </m:r>
                        </m:fName>
                        <m:e>
                          <m:d>
                            <m:dPr>
                              <m:ctrlPr>
                                <w:rPr>
                                  <w:rFonts w:ascii="Cambria Math" w:hAnsi="Cambria Math" w:cs="Arial"/>
                                  <w:i/>
                                </w:rPr>
                              </m:ctrlPr>
                            </m:dPr>
                            <m:e>
                              <m:r>
                                <w:rPr>
                                  <w:rFonts w:ascii="Cambria Math" w:hAnsi="Cambria Math" w:cs="Arial"/>
                                </w:rPr>
                                <m:t>θ-</m:t>
                              </m:r>
                              <m:sSub>
                                <m:sSubPr>
                                  <m:ctrlPr>
                                    <w:rPr>
                                      <w:rFonts w:ascii="Cambria Math" w:hAnsi="Cambria Math" w:cs="Arial"/>
                                      <w:i/>
                                    </w:rPr>
                                  </m:ctrlPr>
                                </m:sSubPr>
                                <m:e>
                                  <m:r>
                                    <w:rPr>
                                      <w:rFonts w:ascii="Cambria Math" w:hAnsi="Cambria Math" w:cs="Arial"/>
                                    </w:rPr>
                                    <m:t>θ</m:t>
                                  </m:r>
                                </m:e>
                                <m:sub>
                                  <m:r>
                                    <w:rPr>
                                      <w:rFonts w:ascii="Cambria Math" w:hAnsi="Cambria Math" w:cs="Arial"/>
                                    </w:rPr>
                                    <m:t>i</m:t>
                                  </m:r>
                                </m:sub>
                              </m:sSub>
                            </m:e>
                          </m:d>
                        </m:e>
                      </m:func>
                    </m:e>
                  </m:d>
                </m:e>
              </m:nary>
              <m:r>
                <w:rPr>
                  <w:rFonts w:ascii="Cambria Math" w:hAnsi="Cambria Math" w:cs="Arial"/>
                </w:rPr>
                <m:t>#</m:t>
              </m:r>
              <m:d>
                <m:dPr>
                  <m:ctrlPr>
                    <w:rPr>
                      <w:rFonts w:ascii="Cambria Math" w:hAnsi="Cambria Math" w:cs="Arial"/>
                      <w:i/>
                    </w:rPr>
                  </m:ctrlPr>
                </m:dPr>
                <m:e>
                  <m:r>
                    <w:rPr>
                      <w:rFonts w:ascii="Cambria Math" w:hAnsi="Cambria Math" w:cs="Arial"/>
                    </w:rPr>
                    <m:t>3</m:t>
                  </m:r>
                </m:e>
              </m:d>
            </m:e>
          </m:eqArr>
        </m:oMath>
      </m:oMathPara>
    </w:p>
    <w:p w14:paraId="070BC74E" w14:textId="6E0FF037" w:rsidR="00B52225" w:rsidRPr="00950A59" w:rsidRDefault="00B52225" w:rsidP="00B52225">
      <w:pPr>
        <w:rPr>
          <w:rFonts w:ascii="Arial" w:hAnsi="Arial" w:cs="Arial"/>
        </w:rPr>
      </w:pPr>
      <w:r w:rsidRPr="00950A59">
        <w:rPr>
          <w:rFonts w:ascii="Arial" w:hAnsi="Arial" w:cs="Arial"/>
        </w:rPr>
        <w:t xml:space="preserve">In this study, we compared the estimated density distribution with the observed frequency distribution and adopted </w:t>
      </w:r>
      <m:oMath>
        <m:r>
          <w:rPr>
            <w:rFonts w:ascii="Cambria Math" w:hAnsi="Cambria Math" w:cs="Arial"/>
          </w:rPr>
          <m:t>κ</m:t>
        </m:r>
      </m:oMath>
      <w:r w:rsidRPr="00950A59">
        <w:rPr>
          <w:rFonts w:ascii="Arial" w:hAnsi="Arial" w:cs="Arial"/>
        </w:rPr>
        <w:t>=50, which showed good agreement between the two. The half width at half maximum (HWHM) in this case is approximately 9.6°. The grid interval (</w:t>
      </w:r>
      <m:oMath>
        <m:sSub>
          <m:sSubPr>
            <m:ctrlPr>
              <w:rPr>
                <w:rFonts w:ascii="Cambria Math" w:hAnsi="Cambria Math" w:cs="Arial"/>
                <w:i/>
              </w:rPr>
            </m:ctrlPr>
          </m:sSubPr>
          <m:e>
            <m:r>
              <w:rPr>
                <w:rFonts w:ascii="Cambria Math" w:hAnsi="Cambria Math" w:cs="Arial"/>
              </w:rPr>
              <m:t>θ</m:t>
            </m:r>
          </m:e>
          <m:sub>
            <m:r>
              <w:rPr>
                <w:rFonts w:ascii="Cambria Math" w:hAnsi="Cambria Math" w:cs="Arial"/>
              </w:rPr>
              <m:t>i</m:t>
            </m:r>
          </m:sub>
        </m:sSub>
      </m:oMath>
      <w:r w:rsidRPr="00950A59">
        <w:rPr>
          <w:rFonts w:ascii="Arial" w:hAnsi="Arial" w:cs="Arial"/>
        </w:rPr>
        <w:t xml:space="preserve"> spacing) used for summing the kernel functions was set to 0.5°. In addition, datasets with fewer than 100 samples were excluded from the analysis.</w:t>
      </w:r>
    </w:p>
    <w:p w14:paraId="69E9AEE3" w14:textId="2259408B" w:rsidR="00B52225" w:rsidRPr="00950A59" w:rsidRDefault="00B52225" w:rsidP="00B52225">
      <w:pPr>
        <w:rPr>
          <w:rFonts w:ascii="Arial" w:hAnsi="Arial" w:cs="Arial"/>
        </w:rPr>
      </w:pPr>
      <w:r w:rsidRPr="00950A59">
        <w:rPr>
          <w:rFonts w:ascii="Arial" w:hAnsi="Arial" w:cs="Arial"/>
        </w:rPr>
        <w:lastRenderedPageBreak/>
        <w:t>Step</w:t>
      </w:r>
      <w:r w:rsidR="0074357A">
        <w:rPr>
          <w:rFonts w:ascii="Arial" w:hAnsi="Arial" w:cs="Arial" w:hint="eastAsia"/>
        </w:rPr>
        <w:t xml:space="preserve"> </w:t>
      </w:r>
      <w:r w:rsidRPr="00950A59">
        <w:rPr>
          <w:rFonts w:ascii="Arial" w:hAnsi="Arial" w:cs="Arial"/>
        </w:rPr>
        <w:t>3:</w:t>
      </w:r>
    </w:p>
    <w:p w14:paraId="44E71E9B" w14:textId="77777777" w:rsidR="00B52225" w:rsidRPr="00950A59" w:rsidRDefault="00B52225" w:rsidP="00B52225">
      <w:pPr>
        <w:rPr>
          <w:rFonts w:ascii="Arial" w:hAnsi="Arial" w:cs="Arial"/>
        </w:rPr>
      </w:pPr>
      <w:r w:rsidRPr="00950A59">
        <w:rPr>
          <w:rFonts w:ascii="Arial" w:hAnsi="Arial" w:cs="Arial"/>
        </w:rPr>
        <w:t>The probability density distributions estimated for each day were averaged over the analysis period, and the resulting mean distribution was regarded as the probability density distribution for that period.</w:t>
      </w:r>
    </w:p>
    <w:p w14:paraId="718E0443" w14:textId="550DDEE6" w:rsidR="00B52225" w:rsidRPr="00950A59" w:rsidRDefault="00B52225" w:rsidP="00B52225">
      <w:pPr>
        <w:rPr>
          <w:rFonts w:ascii="Arial" w:hAnsi="Arial" w:cs="Arial"/>
        </w:rPr>
      </w:pPr>
      <w:r w:rsidRPr="00950A59">
        <w:rPr>
          <w:rFonts w:ascii="Arial" w:hAnsi="Arial" w:cs="Arial"/>
        </w:rPr>
        <w:t>Step</w:t>
      </w:r>
      <w:r w:rsidR="0074357A">
        <w:rPr>
          <w:rFonts w:ascii="Arial" w:hAnsi="Arial" w:cs="Arial" w:hint="eastAsia"/>
        </w:rPr>
        <w:t xml:space="preserve"> </w:t>
      </w:r>
      <w:r w:rsidRPr="00950A59">
        <w:rPr>
          <w:rFonts w:ascii="Arial" w:hAnsi="Arial" w:cs="Arial"/>
        </w:rPr>
        <w:t>4:</w:t>
      </w:r>
    </w:p>
    <w:p w14:paraId="70466404" w14:textId="05BFD27D" w:rsidR="00B52225" w:rsidRPr="00950A59" w:rsidRDefault="00B52225" w:rsidP="00B52225">
      <w:pPr>
        <w:rPr>
          <w:rFonts w:ascii="Arial" w:hAnsi="Arial" w:cs="Arial"/>
        </w:rPr>
      </w:pPr>
      <w:r w:rsidRPr="00950A59">
        <w:rPr>
          <w:rFonts w:ascii="Arial" w:hAnsi="Arial" w:cs="Arial"/>
        </w:rPr>
        <w:t xml:space="preserve">We applied the cross-bearings approach </w:t>
      </w:r>
      <w:r w:rsidR="00483E28" w:rsidRPr="00950A59">
        <w:rPr>
          <w:rFonts w:ascii="Arial" w:hAnsi="Arial" w:cs="Arial"/>
        </w:rPr>
        <w:t>(</w:t>
      </w:r>
      <w:r w:rsidR="0084200D" w:rsidRPr="00950A59">
        <w:rPr>
          <w:rFonts w:ascii="Arial" w:hAnsi="Arial" w:cs="Arial"/>
        </w:rPr>
        <w:fldChar w:fldCharType="begin"/>
      </w:r>
      <w:r w:rsidR="0084200D" w:rsidRPr="00950A59">
        <w:rPr>
          <w:rFonts w:ascii="Arial" w:hAnsi="Arial" w:cs="Arial"/>
        </w:rPr>
        <w:instrText xml:space="preserve"> ADDIN ZOTERO_ITEM CSL_CITATION {"citationID":"f22xeeyp","properties":{"formattedCitation":"(Lehr et al. 2019; Hirose and Ueda 2025)","plainCitation":"(Lehr et al. 2019; Hirose and Ueda 2025)","noteIndex":0},"citationItems":[{"id":103,"uris":["http://zotero.org/users/local/K24SBYs1/items/36IWSAWQ"],"itemData":{"id":103,"type":"article-journal","abstract":"Villarrica Volcano (Chile) is one of the most active volcanoes in South America. Its low-frequency (≤5 Hz) seismicity consists of a continuous tremor, overlain by impulsive transient events of higher amplitude in 60-s intervals. This signal was recorded in March 2012 by an extensive local network, comprising 75 stations and including 6 subarrays. It allowed us to apply and compare three techniques to locate the origin of the seismicity: intersection of propagation directions determined by array analysis, mapping amplitudes, and modeling of amplitude decay. All methods yield almost identical, temporally stable, epicenters inside the summit crater, which confirms earlier attributions of the seismicity to volcanic activity inside the conduit. The discrete transients and the interevent tremor share the same source location. From the dominance of surface waves and the obvious scattering, we infer a source near the surface. For two arrays at the northern and western flank, a dispersion relation was derived, which allowed for the determination of S wave velocity-depth functions. At both locations, the velocity structure can be modeled by three layers with interfaces at 100 and 400m depths. The velocities (300 to 3,000 m/s) correspond to pyroclastic material at different states of consolidation. The modeling of the amplitude decay reveals a quality factor around 50.","container-title":"Journal of Geophysical Research: Solid Earth","DOI":"10.1029/2018JB017023","ISSN":"2169-9313, 2169-9356","issue":"11","journalAbbreviation":"JGR Solid Earth","language":"en","page":"11505-11530","source":"DOI.org (Crossref)","title":"Low</w:instrText>
      </w:r>
      <w:r w:rsidR="0084200D" w:rsidRPr="00950A59">
        <w:rPr>
          <w:rFonts w:ascii="Cambria Math" w:hAnsi="Cambria Math" w:cs="Cambria Math"/>
        </w:rPr>
        <w:instrText>‐</w:instrText>
      </w:r>
      <w:r w:rsidR="0084200D" w:rsidRPr="00950A59">
        <w:rPr>
          <w:rFonts w:ascii="Arial" w:hAnsi="Arial" w:cs="Arial"/>
        </w:rPr>
        <w:instrText>Frequency Seismicity at Villarrica Volcano: Source Location and Seismic Velocities","title-short":"Low</w:instrText>
      </w:r>
      <w:r w:rsidR="0084200D" w:rsidRPr="00950A59">
        <w:rPr>
          <w:rFonts w:ascii="Cambria Math" w:hAnsi="Cambria Math" w:cs="Cambria Math"/>
        </w:rPr>
        <w:instrText>‐</w:instrText>
      </w:r>
      <w:r w:rsidR="0084200D" w:rsidRPr="00950A59">
        <w:rPr>
          <w:rFonts w:ascii="Arial" w:hAnsi="Arial" w:cs="Arial"/>
        </w:rPr>
        <w:instrText xml:space="preserve">Frequency Seismicity at Villarrica Volcano","volume":"124","author":[{"family":"Lehr","given":"Johanna"},{"family":"Eckel","given":"Felix"},{"family":"Thorwart","given":"Martin"},{"family":"Rabbel","given":"Wolfgang"}],"issued":{"date-parts":[["2019",11]]}}},{"id":3,"uris":["http://zotero.org/users/local/K24SBYs1/items/HGA98DSI"],"itemData":{"id":3,"type":"article-journal","abstract":"A volcanic tremor is a seismic event linked to volcanic processes, identified by ongoing ground shaking. They play a crucial role in understanding internal volcanic activities and forecasting eruptions. Detecting weak volcanic tremor signals before an eruption has remained a difficult task. This study utilized polarization analysis on continuous seismograms at Kirishima volcano, Japan, to extract information on retrograde Rayleigh wave sources. Back azimuth estimates focused on the direction of the Shinmoe-dake crater before and during the volcanic eruptions in 2011, 2017, and 2018. Rayleigh waves originating from the crater direction, particularly in the 1.3–2.5 Hz band, were observed starting around March 2017, approximately 7 months prior to the October 2017 eruption. In the 1.3–2 Hz band, the back azimuths steadily moved closer to the crater’s direction between January and March 2017. Epicentral areas from the cross-bearings approach indicate that retrograde Rayleigh wave sources are located around the crater. A noticeable increase in the amplitudes of retrograde Rayleigh waves, which propagate along the crater direction, was observed starting in August 2016. Enhancing the growth in amplitude was achieved by utilizing a filter on the seismograms. As polarization analysis requires only a single three-component seismometer, this approach allows for the timely identification of weak Rayleigh waves from the crater direction, even in volcanoes with limited seismic station coverage. The results obtained in this study contribute to the growing knowledge on volcanic tremors and their potential use in volcano monitoring and eruption forecasting.","container-title":"Journal of Geophysical Research: Solid Earth","DOI":"10.1029/2024JB029358","ISSN":"2169-9356","issue":"3","language":"en","note":"_eprint: https://agupubs.onlinelibrary.wiley.com/doi/pdf/10.1029/2024JB029358","page":"e2024JB029358","source":"Wiley Online Library","title":"Seismic Wavefield Change Preceding the Eruption of Shinmoe-Dake, Kirishima Volcano, Japan, Inferred From Polarization Analysis","volume":"130","author":[{"family":"Hirose","given":"Takashi"},{"family":"Ueda","given":"Hideki"}],"issued":{"date-parts":[["2025"]]}}}],"schema":"https://github.com/citation-style-language/schema/raw/master/csl-citation.json"} </w:instrText>
      </w:r>
      <w:r w:rsidR="0084200D" w:rsidRPr="00950A59">
        <w:rPr>
          <w:rFonts w:ascii="Arial" w:hAnsi="Arial" w:cs="Arial"/>
        </w:rPr>
        <w:fldChar w:fldCharType="separate"/>
      </w:r>
      <w:r w:rsidR="0084200D" w:rsidRPr="00950A59">
        <w:rPr>
          <w:rFonts w:ascii="Arial" w:hAnsi="Arial" w:cs="Arial"/>
        </w:rPr>
        <w:t>Lehr et al. 2019; Hirose and Ueda 2025)</w:t>
      </w:r>
      <w:r w:rsidR="0084200D" w:rsidRPr="00950A59">
        <w:rPr>
          <w:rFonts w:ascii="Arial" w:hAnsi="Arial" w:cs="Arial"/>
        </w:rPr>
        <w:fldChar w:fldCharType="end"/>
      </w:r>
      <w:r w:rsidRPr="00950A59">
        <w:rPr>
          <w:rFonts w:ascii="Arial" w:hAnsi="Arial" w:cs="Arial"/>
        </w:rPr>
        <w:t xml:space="preserve"> to the probability density distributions of back azimuths estimated at each of the four observation sites to estimate the vibration source location. Specifically, the probability density distributions obtained in Step 3 were back-projected onto the grid. The joint probability of the intersecting beams is given by:</w:t>
      </w:r>
    </w:p>
    <w:p w14:paraId="53B31724" w14:textId="48D7E3A3" w:rsidR="00C95E75" w:rsidRPr="00950A59" w:rsidRDefault="00000000" w:rsidP="00B52225">
      <w:pPr>
        <w:rPr>
          <w:rFonts w:ascii="Arial" w:hAnsi="Arial" w:cs="Arial"/>
        </w:rPr>
      </w:pPr>
      <m:oMathPara>
        <m:oMath>
          <m:eqArr>
            <m:eqArrPr>
              <m:maxDist m:val="1"/>
              <m:ctrlPr>
                <w:rPr>
                  <w:rStyle w:val="ae"/>
                  <w:rFonts w:ascii="Cambria Math" w:hAnsi="Cambria Math" w:cs="Arial"/>
                  <w:i/>
                  <w:color w:val="auto"/>
                </w:rPr>
              </m:ctrlPr>
            </m:eqArrPr>
            <m:e>
              <m:r>
                <w:rPr>
                  <w:rStyle w:val="ae"/>
                  <w:rFonts w:ascii="Cambria Math" w:hAnsi="Cambria Math" w:cs="Arial"/>
                  <w:color w:val="auto"/>
                </w:rPr>
                <m:t>p</m:t>
              </m:r>
              <m:d>
                <m:dPr>
                  <m:ctrlPr>
                    <w:rPr>
                      <w:rStyle w:val="ae"/>
                      <w:rFonts w:ascii="Cambria Math" w:hAnsi="Cambria Math" w:cs="Arial"/>
                      <w:i/>
                      <w:color w:val="auto"/>
                    </w:rPr>
                  </m:ctrlPr>
                </m:dPr>
                <m:e>
                  <m:sSub>
                    <m:sSubPr>
                      <m:ctrlPr>
                        <w:rPr>
                          <w:rStyle w:val="ae"/>
                          <w:rFonts w:ascii="Cambria Math" w:hAnsi="Cambria Math" w:cs="Arial"/>
                          <w:i/>
                          <w:color w:val="auto"/>
                        </w:rPr>
                      </m:ctrlPr>
                    </m:sSubPr>
                    <m:e>
                      <m:r>
                        <w:rPr>
                          <w:rStyle w:val="ae"/>
                          <w:rFonts w:ascii="Cambria Math" w:hAnsi="Cambria Math" w:cs="Arial"/>
                          <w:color w:val="auto"/>
                        </w:rPr>
                        <m:t>x</m:t>
                      </m:r>
                    </m:e>
                    <m:sub>
                      <m:r>
                        <w:rPr>
                          <w:rStyle w:val="ae"/>
                          <w:rFonts w:ascii="Cambria Math" w:hAnsi="Cambria Math" w:cs="Arial"/>
                          <w:color w:val="auto"/>
                        </w:rPr>
                        <m:t>j</m:t>
                      </m:r>
                    </m:sub>
                  </m:sSub>
                  <m:r>
                    <w:rPr>
                      <w:rStyle w:val="ae"/>
                      <w:rFonts w:ascii="Cambria Math" w:hAnsi="Cambria Math" w:cs="Arial"/>
                      <w:color w:val="auto"/>
                    </w:rPr>
                    <m:t>,</m:t>
                  </m:r>
                  <m:sSub>
                    <m:sSubPr>
                      <m:ctrlPr>
                        <w:rPr>
                          <w:rStyle w:val="ae"/>
                          <w:rFonts w:ascii="Cambria Math" w:hAnsi="Cambria Math" w:cs="Arial"/>
                          <w:i/>
                          <w:color w:val="auto"/>
                        </w:rPr>
                      </m:ctrlPr>
                    </m:sSubPr>
                    <m:e>
                      <m:r>
                        <w:rPr>
                          <w:rStyle w:val="ae"/>
                          <w:rFonts w:ascii="Cambria Math" w:hAnsi="Cambria Math" w:cs="Arial"/>
                          <w:color w:val="auto"/>
                        </w:rPr>
                        <m:t>y</m:t>
                      </m:r>
                    </m:e>
                    <m:sub>
                      <m:r>
                        <w:rPr>
                          <w:rStyle w:val="ae"/>
                          <w:rFonts w:ascii="Cambria Math" w:hAnsi="Cambria Math" w:cs="Arial"/>
                          <w:color w:val="auto"/>
                        </w:rPr>
                        <m:t>j</m:t>
                      </m:r>
                    </m:sub>
                  </m:sSub>
                </m:e>
              </m:d>
              <m:r>
                <w:rPr>
                  <w:rStyle w:val="ae"/>
                  <w:rFonts w:ascii="Cambria Math" w:hAnsi="Cambria Math" w:cs="Arial"/>
                  <w:color w:val="auto"/>
                </w:rPr>
                <m:t>=</m:t>
              </m:r>
              <m:f>
                <m:fPr>
                  <m:ctrlPr>
                    <w:rPr>
                      <w:rStyle w:val="ae"/>
                      <w:rFonts w:ascii="Cambria Math" w:hAnsi="Cambria Math" w:cs="Arial"/>
                      <w:i/>
                      <w:color w:val="auto"/>
                    </w:rPr>
                  </m:ctrlPr>
                </m:fPr>
                <m:num>
                  <m:nary>
                    <m:naryPr>
                      <m:chr m:val="∏"/>
                      <m:limLoc m:val="subSup"/>
                      <m:ctrlPr>
                        <w:rPr>
                          <w:rStyle w:val="ae"/>
                          <w:rFonts w:ascii="Cambria Math" w:hAnsi="Cambria Math" w:cs="Arial"/>
                          <w:i/>
                          <w:color w:val="auto"/>
                        </w:rPr>
                      </m:ctrlPr>
                    </m:naryPr>
                    <m:sub>
                      <m:r>
                        <w:rPr>
                          <w:rStyle w:val="ae"/>
                          <w:rFonts w:ascii="Cambria Math" w:hAnsi="Cambria Math" w:cs="Arial"/>
                          <w:color w:val="auto"/>
                        </w:rPr>
                        <m:t>i</m:t>
                      </m:r>
                    </m:sub>
                    <m:sup>
                      <m:r>
                        <w:rPr>
                          <w:rStyle w:val="ae"/>
                          <w:rFonts w:ascii="Cambria Math" w:hAnsi="Cambria Math" w:cs="Arial"/>
                          <w:color w:val="auto"/>
                        </w:rPr>
                        <m:t>M</m:t>
                      </m:r>
                    </m:sup>
                    <m:e>
                      <m:sSub>
                        <m:sSubPr>
                          <m:ctrlPr>
                            <w:rPr>
                              <w:rStyle w:val="ae"/>
                              <w:rFonts w:ascii="Cambria Math" w:hAnsi="Cambria Math" w:cs="Arial"/>
                              <w:i/>
                              <w:color w:val="auto"/>
                            </w:rPr>
                          </m:ctrlPr>
                        </m:sSubPr>
                        <m:e>
                          <m:r>
                            <w:rPr>
                              <w:rStyle w:val="ae"/>
                              <w:rFonts w:ascii="Cambria Math" w:hAnsi="Cambria Math" w:cs="Arial"/>
                              <w:color w:val="auto"/>
                            </w:rPr>
                            <m:t>f</m:t>
                          </m:r>
                        </m:e>
                        <m:sub>
                          <m:r>
                            <w:rPr>
                              <w:rStyle w:val="ae"/>
                              <w:rFonts w:ascii="Cambria Math" w:hAnsi="Cambria Math" w:cs="Arial"/>
                              <w:color w:val="auto"/>
                            </w:rPr>
                            <m:t>i</m:t>
                          </m:r>
                        </m:sub>
                      </m:sSub>
                      <m:d>
                        <m:dPr>
                          <m:ctrlPr>
                            <w:rPr>
                              <w:rStyle w:val="ae"/>
                              <w:rFonts w:ascii="Cambria Math" w:hAnsi="Cambria Math" w:cs="Arial"/>
                              <w:i/>
                              <w:color w:val="auto"/>
                            </w:rPr>
                          </m:ctrlPr>
                        </m:dPr>
                        <m:e>
                          <m:sSub>
                            <m:sSubPr>
                              <m:ctrlPr>
                                <w:rPr>
                                  <w:rStyle w:val="ae"/>
                                  <w:rFonts w:ascii="Cambria Math" w:hAnsi="Cambria Math" w:cs="Arial"/>
                                  <w:i/>
                                  <w:color w:val="auto"/>
                                </w:rPr>
                              </m:ctrlPr>
                            </m:sSubPr>
                            <m:e>
                              <m:r>
                                <w:rPr>
                                  <w:rStyle w:val="ae"/>
                                  <w:rFonts w:ascii="Cambria Math" w:hAnsi="Cambria Math" w:cs="Arial"/>
                                  <w:color w:val="auto"/>
                                </w:rPr>
                                <m:t>ϕ</m:t>
                              </m:r>
                            </m:e>
                            <m:sub>
                              <m:r>
                                <w:rPr>
                                  <w:rStyle w:val="ae"/>
                                  <w:rFonts w:ascii="Cambria Math" w:hAnsi="Cambria Math" w:cs="Arial"/>
                                  <w:color w:val="auto"/>
                                </w:rPr>
                                <m:t>ij</m:t>
                              </m:r>
                            </m:sub>
                          </m:sSub>
                        </m:e>
                      </m:d>
                    </m:e>
                  </m:nary>
                </m:num>
                <m:den>
                  <m:nary>
                    <m:naryPr>
                      <m:chr m:val="∑"/>
                      <m:limLoc m:val="subSup"/>
                      <m:ctrlPr>
                        <w:rPr>
                          <w:rStyle w:val="ae"/>
                          <w:rFonts w:ascii="Cambria Math" w:hAnsi="Cambria Math" w:cs="Arial"/>
                          <w:i/>
                          <w:color w:val="auto"/>
                        </w:rPr>
                      </m:ctrlPr>
                    </m:naryPr>
                    <m:sub>
                      <m:r>
                        <w:rPr>
                          <w:rStyle w:val="ae"/>
                          <w:rFonts w:ascii="Cambria Math" w:hAnsi="Cambria Math" w:cs="Arial"/>
                          <w:color w:val="auto"/>
                        </w:rPr>
                        <m:t>i=1</m:t>
                      </m:r>
                    </m:sub>
                    <m:sup>
                      <m:r>
                        <w:rPr>
                          <w:rStyle w:val="ae"/>
                          <w:rFonts w:ascii="Cambria Math" w:hAnsi="Cambria Math" w:cs="Arial"/>
                          <w:color w:val="auto"/>
                        </w:rPr>
                        <m:t>N</m:t>
                      </m:r>
                    </m:sup>
                    <m:e>
                      <m:d>
                        <m:dPr>
                          <m:ctrlPr>
                            <w:rPr>
                              <w:rStyle w:val="ae"/>
                              <w:rFonts w:ascii="Cambria Math" w:hAnsi="Cambria Math" w:cs="Arial"/>
                              <w:i/>
                              <w:color w:val="auto"/>
                            </w:rPr>
                          </m:ctrlPr>
                        </m:dPr>
                        <m:e>
                          <m:nary>
                            <m:naryPr>
                              <m:chr m:val="∏"/>
                              <m:limLoc m:val="subSup"/>
                              <m:ctrlPr>
                                <w:rPr>
                                  <w:rStyle w:val="ae"/>
                                  <w:rFonts w:ascii="Cambria Math" w:hAnsi="Cambria Math" w:cs="Arial"/>
                                  <w:i/>
                                  <w:color w:val="auto"/>
                                </w:rPr>
                              </m:ctrlPr>
                            </m:naryPr>
                            <m:sub>
                              <m:r>
                                <w:rPr>
                                  <w:rStyle w:val="ae"/>
                                  <w:rFonts w:ascii="Cambria Math" w:hAnsi="Cambria Math" w:cs="Arial"/>
                                  <w:color w:val="auto"/>
                                </w:rPr>
                                <m:t>i</m:t>
                              </m:r>
                            </m:sub>
                            <m:sup>
                              <m:r>
                                <w:rPr>
                                  <w:rStyle w:val="ae"/>
                                  <w:rFonts w:ascii="Cambria Math" w:hAnsi="Cambria Math" w:cs="Arial"/>
                                  <w:color w:val="auto"/>
                                </w:rPr>
                                <m:t>M</m:t>
                              </m:r>
                            </m:sup>
                            <m:e>
                              <m:sSub>
                                <m:sSubPr>
                                  <m:ctrlPr>
                                    <w:rPr>
                                      <w:rStyle w:val="ae"/>
                                      <w:rFonts w:ascii="Cambria Math" w:hAnsi="Cambria Math" w:cs="Arial"/>
                                      <w:i/>
                                      <w:color w:val="auto"/>
                                    </w:rPr>
                                  </m:ctrlPr>
                                </m:sSubPr>
                                <m:e>
                                  <m:r>
                                    <w:rPr>
                                      <w:rStyle w:val="ae"/>
                                      <w:rFonts w:ascii="Cambria Math" w:hAnsi="Cambria Math" w:cs="Arial"/>
                                      <w:color w:val="auto"/>
                                    </w:rPr>
                                    <m:t>f</m:t>
                                  </m:r>
                                </m:e>
                                <m:sub>
                                  <m:r>
                                    <w:rPr>
                                      <w:rStyle w:val="ae"/>
                                      <w:rFonts w:ascii="Cambria Math" w:hAnsi="Cambria Math" w:cs="Arial"/>
                                      <w:color w:val="auto"/>
                                    </w:rPr>
                                    <m:t>i</m:t>
                                  </m:r>
                                </m:sub>
                              </m:sSub>
                              <m:d>
                                <m:dPr>
                                  <m:ctrlPr>
                                    <w:rPr>
                                      <w:rStyle w:val="ae"/>
                                      <w:rFonts w:ascii="Cambria Math" w:hAnsi="Cambria Math" w:cs="Arial"/>
                                      <w:i/>
                                      <w:color w:val="auto"/>
                                    </w:rPr>
                                  </m:ctrlPr>
                                </m:dPr>
                                <m:e>
                                  <m:sSub>
                                    <m:sSubPr>
                                      <m:ctrlPr>
                                        <w:rPr>
                                          <w:rStyle w:val="ae"/>
                                          <w:rFonts w:ascii="Cambria Math" w:hAnsi="Cambria Math" w:cs="Arial"/>
                                          <w:i/>
                                          <w:color w:val="auto"/>
                                        </w:rPr>
                                      </m:ctrlPr>
                                    </m:sSubPr>
                                    <m:e>
                                      <m:r>
                                        <w:rPr>
                                          <w:rStyle w:val="ae"/>
                                          <w:rFonts w:ascii="Cambria Math" w:hAnsi="Cambria Math" w:cs="Arial"/>
                                          <w:color w:val="auto"/>
                                        </w:rPr>
                                        <m:t>ϕ</m:t>
                                      </m:r>
                                    </m:e>
                                    <m:sub>
                                      <m:r>
                                        <w:rPr>
                                          <w:rStyle w:val="ae"/>
                                          <w:rFonts w:ascii="Cambria Math" w:hAnsi="Cambria Math" w:cs="Arial"/>
                                          <w:color w:val="auto"/>
                                        </w:rPr>
                                        <m:t>ij</m:t>
                                      </m:r>
                                    </m:sub>
                                  </m:sSub>
                                </m:e>
                              </m:d>
                            </m:e>
                          </m:nary>
                        </m:e>
                      </m:d>
                    </m:e>
                  </m:nary>
                </m:den>
              </m:f>
              <m:r>
                <w:rPr>
                  <w:rStyle w:val="ae"/>
                  <w:rFonts w:ascii="Cambria Math" w:hAnsi="Cambria Math" w:cs="Arial"/>
                  <w:color w:val="auto"/>
                </w:rPr>
                <m:t>#</m:t>
              </m:r>
              <m:d>
                <m:dPr>
                  <m:ctrlPr>
                    <w:rPr>
                      <w:rStyle w:val="ae"/>
                      <w:rFonts w:ascii="Cambria Math" w:hAnsi="Cambria Math" w:cs="Arial"/>
                      <w:i/>
                      <w:color w:val="auto"/>
                    </w:rPr>
                  </m:ctrlPr>
                </m:dPr>
                <m:e>
                  <m:r>
                    <w:rPr>
                      <w:rStyle w:val="ae"/>
                      <w:rFonts w:ascii="Cambria Math" w:hAnsi="Cambria Math" w:cs="Arial"/>
                      <w:color w:val="auto"/>
                    </w:rPr>
                    <m:t>4</m:t>
                  </m:r>
                </m:e>
              </m:d>
            </m:e>
          </m:eqArr>
        </m:oMath>
      </m:oMathPara>
    </w:p>
    <w:p w14:paraId="1D5DE6B8" w14:textId="3719C246" w:rsidR="00B52225" w:rsidRPr="00950A59" w:rsidRDefault="00B52225" w:rsidP="00B52225">
      <w:pPr>
        <w:rPr>
          <w:rFonts w:ascii="Arial" w:hAnsi="Arial" w:cs="Arial"/>
        </w:rPr>
      </w:pPr>
      <w:r w:rsidRPr="00950A59">
        <w:rPr>
          <w:rFonts w:ascii="Arial" w:hAnsi="Arial" w:cs="Arial"/>
        </w:rPr>
        <w:t xml:space="preserve">where </w:t>
      </w:r>
      <m:oMath>
        <m:sSub>
          <m:sSubPr>
            <m:ctrlPr>
              <w:rPr>
                <w:rFonts w:ascii="Cambria Math" w:hAnsi="Cambria Math" w:cs="Arial"/>
                <w:i/>
                <w:color w:val="000000"/>
                <w:kern w:val="0"/>
              </w:rPr>
            </m:ctrlPr>
          </m:sSubPr>
          <m:e>
            <m:r>
              <w:rPr>
                <w:rFonts w:ascii="Cambria Math" w:hAnsi="Cambria Math" w:cs="Arial"/>
                <w:color w:val="000000"/>
                <w:kern w:val="0"/>
              </w:rPr>
              <m:t>ϕ</m:t>
            </m:r>
          </m:e>
          <m:sub>
            <m:r>
              <w:rPr>
                <w:rFonts w:ascii="Cambria Math" w:hAnsi="Cambria Math" w:cs="Arial"/>
                <w:color w:val="000000"/>
                <w:kern w:val="0"/>
              </w:rPr>
              <m:t>ij</m:t>
            </m:r>
          </m:sub>
        </m:sSub>
      </m:oMath>
      <w:r w:rsidRPr="00950A59">
        <w:rPr>
          <w:rFonts w:ascii="Arial" w:hAnsi="Arial" w:cs="Arial"/>
        </w:rPr>
        <w:t xml:space="preserve"> is the back azimuth at </w:t>
      </w:r>
      <w:proofErr w:type="spellStart"/>
      <w:r w:rsidRPr="00950A59">
        <w:rPr>
          <w:rFonts w:ascii="Arial" w:hAnsi="Arial" w:cs="Arial"/>
          <w:i/>
          <w:iCs/>
        </w:rPr>
        <w:t>i-</w:t>
      </w:r>
      <w:r w:rsidRPr="00950A59">
        <w:rPr>
          <w:rFonts w:ascii="Arial" w:hAnsi="Arial" w:cs="Arial"/>
        </w:rPr>
        <w:t>th</w:t>
      </w:r>
      <w:proofErr w:type="spellEnd"/>
      <w:r w:rsidRPr="00950A59">
        <w:rPr>
          <w:rFonts w:ascii="Arial" w:hAnsi="Arial" w:cs="Arial"/>
        </w:rPr>
        <w:t xml:space="preserve"> station for a signal starting at a </w:t>
      </w:r>
      <w:r w:rsidRPr="00950A59">
        <w:rPr>
          <w:rFonts w:ascii="Arial" w:hAnsi="Arial" w:cs="Arial"/>
          <w:i/>
          <w:iCs/>
        </w:rPr>
        <w:t>j-</w:t>
      </w:r>
      <w:proofErr w:type="spellStart"/>
      <w:r w:rsidRPr="00950A59">
        <w:rPr>
          <w:rFonts w:ascii="Arial" w:hAnsi="Arial" w:cs="Arial"/>
        </w:rPr>
        <w:t>th</w:t>
      </w:r>
      <w:proofErr w:type="spellEnd"/>
      <w:r w:rsidRPr="00950A59">
        <w:rPr>
          <w:rFonts w:ascii="Arial" w:hAnsi="Arial" w:cs="Arial"/>
        </w:rPr>
        <w:t xml:space="preserve"> search grid which location is </w:t>
      </w:r>
      <m:oMath>
        <m:d>
          <m:dPr>
            <m:ctrlPr>
              <w:rPr>
                <w:rFonts w:ascii="Cambria Math" w:hAnsi="Cambria Math" w:cs="Arial"/>
                <w:i/>
                <w:color w:val="000000"/>
                <w:kern w:val="0"/>
              </w:rPr>
            </m:ctrlPr>
          </m:dPr>
          <m:e>
            <m:sSub>
              <m:sSubPr>
                <m:ctrlPr>
                  <w:rPr>
                    <w:rFonts w:ascii="Cambria Math" w:hAnsi="Cambria Math" w:cs="Arial"/>
                    <w:i/>
                    <w:color w:val="000000"/>
                    <w:kern w:val="0"/>
                  </w:rPr>
                </m:ctrlPr>
              </m:sSubPr>
              <m:e>
                <m:r>
                  <w:rPr>
                    <w:rFonts w:ascii="Cambria Math" w:hAnsi="Cambria Math" w:cs="Arial"/>
                    <w:color w:val="000000"/>
                    <w:kern w:val="0"/>
                  </w:rPr>
                  <m:t>x</m:t>
                </m:r>
              </m:e>
              <m:sub>
                <m:r>
                  <w:rPr>
                    <w:rFonts w:ascii="Cambria Math" w:hAnsi="Cambria Math" w:cs="Arial"/>
                    <w:color w:val="000000"/>
                    <w:kern w:val="0"/>
                  </w:rPr>
                  <m:t>j</m:t>
                </m:r>
              </m:sub>
            </m:sSub>
            <m:r>
              <w:rPr>
                <w:rFonts w:ascii="Cambria Math" w:hAnsi="Cambria Math" w:cs="Arial"/>
                <w:color w:val="000000"/>
                <w:kern w:val="0"/>
              </w:rPr>
              <m:t>,</m:t>
            </m:r>
            <m:sSub>
              <m:sSubPr>
                <m:ctrlPr>
                  <w:rPr>
                    <w:rFonts w:ascii="Cambria Math" w:hAnsi="Cambria Math" w:cs="Arial"/>
                    <w:i/>
                    <w:color w:val="000000"/>
                    <w:kern w:val="0"/>
                  </w:rPr>
                </m:ctrlPr>
              </m:sSubPr>
              <m:e>
                <m:r>
                  <w:rPr>
                    <w:rFonts w:ascii="Cambria Math" w:hAnsi="Cambria Math" w:cs="Arial"/>
                    <w:color w:val="000000"/>
                    <w:kern w:val="0"/>
                  </w:rPr>
                  <m:t>y</m:t>
                </m:r>
              </m:e>
              <m:sub>
                <m:r>
                  <w:rPr>
                    <w:rFonts w:ascii="Cambria Math" w:hAnsi="Cambria Math" w:cs="Arial"/>
                    <w:color w:val="000000"/>
                    <w:kern w:val="0"/>
                  </w:rPr>
                  <m:t>j</m:t>
                </m:r>
              </m:sub>
            </m:sSub>
          </m:e>
        </m:d>
      </m:oMath>
      <w:r w:rsidRPr="00950A59">
        <w:rPr>
          <w:rFonts w:ascii="Arial" w:hAnsi="Arial" w:cs="Arial"/>
        </w:rPr>
        <w:t>. The grid covers the area from 36.62°N to 36.66°N in latitude and from 138.51°E to 138.56°E in longitude, with a spacing of 0.001° in both directions.</w:t>
      </w:r>
    </w:p>
    <w:p w14:paraId="4B4A2015" w14:textId="77777777" w:rsidR="00142344" w:rsidRPr="00950A59" w:rsidRDefault="00142344">
      <w:pPr>
        <w:rPr>
          <w:rFonts w:ascii="Arial" w:hAnsi="Arial" w:cs="Arial"/>
        </w:rPr>
      </w:pPr>
    </w:p>
    <w:p w14:paraId="4245839D" w14:textId="77777777" w:rsidR="00926CFE" w:rsidRPr="00950A59" w:rsidRDefault="00926CFE">
      <w:pPr>
        <w:rPr>
          <w:rFonts w:ascii="Arial" w:hAnsi="Arial" w:cs="Arial"/>
        </w:rPr>
      </w:pPr>
    </w:p>
    <w:p w14:paraId="09E8FE63" w14:textId="59EF9620" w:rsidR="0010199D" w:rsidRPr="00950A59" w:rsidRDefault="0010199D">
      <w:pPr>
        <w:rPr>
          <w:rFonts w:ascii="Arial" w:hAnsi="Arial" w:cs="Arial"/>
        </w:rPr>
      </w:pPr>
      <w:r w:rsidRPr="00950A59">
        <w:rPr>
          <w:rFonts w:ascii="Arial" w:hAnsi="Arial" w:cs="Arial"/>
          <w:noProof/>
        </w:rPr>
        <w:lastRenderedPageBreak/>
        <w:drawing>
          <wp:inline distT="0" distB="0" distL="0" distR="0" wp14:anchorId="0647E07E" wp14:editId="204C076B">
            <wp:extent cx="5388610" cy="5388610"/>
            <wp:effectExtent l="0" t="0" r="2540" b="2540"/>
            <wp:docPr id="188631190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311905" name="図 2"/>
                    <pic:cNvPicPr>
                      <a:picLocks noChangeAspect="1" noChangeArrowheads="1"/>
                    </pic:cNvPicPr>
                  </pic:nvPicPr>
                  <pic:blipFill>
                    <a:blip r:embed="rId21"/>
                    <a:stretch>
                      <a:fillRect/>
                    </a:stretch>
                  </pic:blipFill>
                  <pic:spPr bwMode="auto">
                    <a:xfrm>
                      <a:off x="0" y="0"/>
                      <a:ext cx="5388610" cy="5388610"/>
                    </a:xfrm>
                    <a:prstGeom prst="rect">
                      <a:avLst/>
                    </a:prstGeom>
                    <a:noFill/>
                    <a:ln>
                      <a:noFill/>
                    </a:ln>
                  </pic:spPr>
                </pic:pic>
              </a:graphicData>
            </a:graphic>
          </wp:inline>
        </w:drawing>
      </w:r>
    </w:p>
    <w:p w14:paraId="7739A566" w14:textId="29D4065C" w:rsidR="0010199D" w:rsidRPr="00950A59" w:rsidRDefault="00041935" w:rsidP="00041935">
      <w:pPr>
        <w:rPr>
          <w:rFonts w:ascii="Arial" w:hAnsi="Arial" w:cs="Arial"/>
        </w:rPr>
      </w:pPr>
      <w:r w:rsidRPr="00950A59">
        <w:rPr>
          <w:rFonts w:ascii="Arial" w:hAnsi="Arial" w:cs="Arial"/>
        </w:rPr>
        <w:t>Figure S</w:t>
      </w:r>
      <w:r w:rsidR="00610202">
        <w:rPr>
          <w:rFonts w:ascii="Arial" w:hAnsi="Arial" w:cs="Arial" w:hint="eastAsia"/>
        </w:rPr>
        <w:t>1</w:t>
      </w:r>
      <w:r w:rsidR="00D83709">
        <w:rPr>
          <w:rFonts w:ascii="Arial" w:hAnsi="Arial" w:cs="Arial" w:hint="eastAsia"/>
        </w:rPr>
        <w:t>4</w:t>
      </w:r>
      <w:r w:rsidRPr="00950A59">
        <w:rPr>
          <w:rFonts w:ascii="Arial" w:hAnsi="Arial" w:cs="Arial"/>
        </w:rPr>
        <w:t>: Schematic illustration of the calculation method for the polarization analysis and back-projection at each observation site.</w:t>
      </w:r>
    </w:p>
    <w:p w14:paraId="73B10C66" w14:textId="77777777" w:rsidR="00926CFE" w:rsidRPr="00950A59" w:rsidRDefault="00926CFE">
      <w:pPr>
        <w:rPr>
          <w:rFonts w:ascii="Arial" w:hAnsi="Arial" w:cs="Arial"/>
        </w:rPr>
      </w:pPr>
    </w:p>
    <w:p w14:paraId="406A8E04" w14:textId="77777777" w:rsidR="00A7713D" w:rsidRPr="00950A59" w:rsidRDefault="00A7713D">
      <w:pPr>
        <w:widowControl/>
        <w:rPr>
          <w:rFonts w:ascii="Arial" w:hAnsi="Arial" w:cs="Arial"/>
          <w:b/>
          <w:bCs/>
        </w:rPr>
      </w:pPr>
      <w:r w:rsidRPr="00950A59">
        <w:rPr>
          <w:rFonts w:ascii="Arial" w:hAnsi="Arial" w:cs="Arial"/>
          <w:b/>
          <w:bCs/>
        </w:rPr>
        <w:br w:type="page"/>
      </w:r>
    </w:p>
    <w:p w14:paraId="27E64F7B" w14:textId="1117281D" w:rsidR="00A44F34" w:rsidRPr="00950A59" w:rsidRDefault="00A44F34" w:rsidP="00A44F34">
      <w:pPr>
        <w:rPr>
          <w:rFonts w:ascii="Arial" w:hAnsi="Arial" w:cs="Arial"/>
          <w:b/>
          <w:bCs/>
        </w:rPr>
      </w:pPr>
      <w:r w:rsidRPr="00950A59">
        <w:rPr>
          <w:rFonts w:ascii="Arial" w:hAnsi="Arial" w:cs="Arial"/>
          <w:b/>
          <w:bCs/>
        </w:rPr>
        <w:lastRenderedPageBreak/>
        <w:t>Result</w:t>
      </w:r>
    </w:p>
    <w:p w14:paraId="0975AF6C" w14:textId="4604CD11" w:rsidR="00142344" w:rsidRPr="00950A59" w:rsidRDefault="00A44F34" w:rsidP="00A44F34">
      <w:pPr>
        <w:rPr>
          <w:rFonts w:ascii="Arial" w:hAnsi="Arial" w:cs="Arial"/>
        </w:rPr>
      </w:pPr>
      <w:r w:rsidRPr="00950A59">
        <w:rPr>
          <w:rFonts w:ascii="Arial" w:hAnsi="Arial" w:cs="Arial"/>
        </w:rPr>
        <w:t xml:space="preserve">Figure </w:t>
      </w:r>
      <w:r w:rsidR="00FE38D7" w:rsidRPr="00950A59">
        <w:rPr>
          <w:rFonts w:ascii="Arial" w:hAnsi="Arial" w:cs="Arial"/>
        </w:rPr>
        <w:t>S</w:t>
      </w:r>
      <w:r w:rsidR="00610202">
        <w:rPr>
          <w:rFonts w:ascii="Arial" w:hAnsi="Arial" w:cs="Arial" w:hint="eastAsia"/>
        </w:rPr>
        <w:t>1</w:t>
      </w:r>
      <w:r w:rsidR="00AE2317">
        <w:rPr>
          <w:rFonts w:ascii="Arial" w:hAnsi="Arial" w:cs="Arial" w:hint="eastAsia"/>
        </w:rPr>
        <w:t>5</w:t>
      </w:r>
      <w:r w:rsidRPr="00950A59">
        <w:rPr>
          <w:rFonts w:ascii="Arial" w:hAnsi="Arial" w:cs="Arial"/>
        </w:rPr>
        <w:t xml:space="preserve"> shows the probability distributions obtained by back-projecting the directional density distributions from each station onto the grid, together with the joint probability obtained by combining the results from multiple stations. The probability is high around the Yugama crater.</w:t>
      </w:r>
    </w:p>
    <w:p w14:paraId="10A6D78A" w14:textId="77777777" w:rsidR="00A44F34" w:rsidRPr="00950A59" w:rsidRDefault="00A44F34" w:rsidP="00A44F34">
      <w:pPr>
        <w:rPr>
          <w:rFonts w:ascii="Arial" w:hAnsi="Arial" w:cs="Arial"/>
        </w:rPr>
      </w:pPr>
    </w:p>
    <w:p w14:paraId="2004E2FB" w14:textId="63FE1341" w:rsidR="00A7713D" w:rsidRPr="00950A59" w:rsidRDefault="006F41EB" w:rsidP="00A44F34">
      <w:pPr>
        <w:rPr>
          <w:rFonts w:ascii="Arial" w:hAnsi="Arial" w:cs="Arial"/>
        </w:rPr>
      </w:pPr>
      <w:r w:rsidRPr="00950A59">
        <w:rPr>
          <w:rFonts w:ascii="Arial" w:hAnsi="Arial" w:cs="Arial"/>
          <w:noProof/>
        </w:rPr>
        <w:drawing>
          <wp:inline distT="0" distB="0" distL="0" distR="0" wp14:anchorId="253584AC" wp14:editId="1671778C">
            <wp:extent cx="4625788" cy="5069355"/>
            <wp:effectExtent l="0" t="0" r="3810" b="0"/>
            <wp:docPr id="167264276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42762" name="図 3"/>
                    <pic:cNvPicPr>
                      <a:picLocks noChangeAspect="1" noChangeArrowheads="1"/>
                    </pic:cNvPicPr>
                  </pic:nvPicPr>
                  <pic:blipFill>
                    <a:blip r:embed="rId22"/>
                    <a:stretch>
                      <a:fillRect/>
                    </a:stretch>
                  </pic:blipFill>
                  <pic:spPr bwMode="auto">
                    <a:xfrm>
                      <a:off x="0" y="0"/>
                      <a:ext cx="4625788" cy="5069355"/>
                    </a:xfrm>
                    <a:prstGeom prst="rect">
                      <a:avLst/>
                    </a:prstGeom>
                    <a:noFill/>
                    <a:ln>
                      <a:noFill/>
                    </a:ln>
                  </pic:spPr>
                </pic:pic>
              </a:graphicData>
            </a:graphic>
          </wp:inline>
        </w:drawing>
      </w:r>
    </w:p>
    <w:p w14:paraId="60F05AAC" w14:textId="413BD041" w:rsidR="00A7713D" w:rsidRPr="00950A59" w:rsidRDefault="00A7713D" w:rsidP="00A7713D">
      <w:pPr>
        <w:rPr>
          <w:rFonts w:ascii="Arial" w:hAnsi="Arial" w:cs="Arial"/>
        </w:rPr>
      </w:pPr>
      <w:r w:rsidRPr="00950A59">
        <w:rPr>
          <w:rFonts w:ascii="Arial" w:hAnsi="Arial" w:cs="Arial"/>
        </w:rPr>
        <w:t>Figure S</w:t>
      </w:r>
      <w:r w:rsidR="00610202">
        <w:rPr>
          <w:rFonts w:ascii="Arial" w:hAnsi="Arial" w:cs="Arial" w:hint="eastAsia"/>
        </w:rPr>
        <w:t>1</w:t>
      </w:r>
      <w:r w:rsidR="00D83709">
        <w:rPr>
          <w:rFonts w:ascii="Arial" w:hAnsi="Arial" w:cs="Arial" w:hint="eastAsia"/>
        </w:rPr>
        <w:t>5</w:t>
      </w:r>
      <w:r w:rsidRPr="00950A59">
        <w:rPr>
          <w:rFonts w:ascii="Arial" w:hAnsi="Arial" w:cs="Arial"/>
        </w:rPr>
        <w:t>: Location of the SBL source estimated by polarization analysis and the joint-probability method.</w:t>
      </w:r>
    </w:p>
    <w:p w14:paraId="7FD3723D" w14:textId="77777777" w:rsidR="00A7713D" w:rsidRPr="00950A59" w:rsidRDefault="00A7713D" w:rsidP="00A7713D">
      <w:pPr>
        <w:rPr>
          <w:rFonts w:ascii="Arial" w:hAnsi="Arial" w:cs="Arial"/>
        </w:rPr>
      </w:pPr>
      <w:r w:rsidRPr="00950A59">
        <w:rPr>
          <w:rFonts w:ascii="Arial" w:hAnsi="Arial" w:cs="Arial"/>
        </w:rPr>
        <w:t>(a) Joint probability of the SBL source location.</w:t>
      </w:r>
    </w:p>
    <w:p w14:paraId="6DD294BB" w14:textId="77777777" w:rsidR="00A7713D" w:rsidRPr="00950A59" w:rsidRDefault="00A7713D" w:rsidP="00A7713D">
      <w:pPr>
        <w:rPr>
          <w:rFonts w:ascii="Arial" w:hAnsi="Arial" w:cs="Arial"/>
        </w:rPr>
      </w:pPr>
      <w:r w:rsidRPr="00950A59">
        <w:rPr>
          <w:rFonts w:ascii="Arial" w:hAnsi="Arial" w:cs="Arial"/>
        </w:rPr>
        <w:t>(b–e) Probability distributions estimated from the polarization analysis at KSHA, KSE, KSW, and KSS, respectively.</w:t>
      </w:r>
    </w:p>
    <w:p w14:paraId="473B1027" w14:textId="590353FA" w:rsidR="00370D75" w:rsidRPr="00950A59" w:rsidRDefault="00A7713D" w:rsidP="00313C35">
      <w:pPr>
        <w:rPr>
          <w:rFonts w:ascii="Arial" w:hAnsi="Arial" w:cs="Arial"/>
        </w:rPr>
      </w:pPr>
      <w:r w:rsidRPr="00950A59">
        <w:rPr>
          <w:rFonts w:ascii="Arial" w:hAnsi="Arial" w:cs="Arial"/>
        </w:rPr>
        <w:t>Black squares indicate seismic stations used for the polarization analysis (KSE, KSHA, KSW, KSS).</w:t>
      </w:r>
      <w:r w:rsidR="00370D75" w:rsidRPr="00950A59">
        <w:rPr>
          <w:rFonts w:ascii="Arial" w:hAnsi="Arial" w:cs="Arial"/>
        </w:rPr>
        <w:br w:type="page"/>
      </w:r>
    </w:p>
    <w:p w14:paraId="6E1474B6" w14:textId="2959CE05" w:rsidR="00DE7408" w:rsidRPr="00950A59" w:rsidRDefault="00DE7408" w:rsidP="00DE7408">
      <w:pPr>
        <w:rPr>
          <w:rFonts w:ascii="Arial" w:hAnsi="Arial" w:cs="Arial"/>
          <w:b/>
          <w:bCs/>
          <w:sz w:val="24"/>
          <w:u w:val="single"/>
        </w:rPr>
      </w:pPr>
      <w:r w:rsidRPr="00950A59">
        <w:rPr>
          <w:rFonts w:ascii="Arial" w:hAnsi="Arial" w:cs="Arial"/>
          <w:b/>
          <w:bCs/>
          <w:sz w:val="24"/>
          <w:u w:val="single"/>
        </w:rPr>
        <w:lastRenderedPageBreak/>
        <w:t>References</w:t>
      </w:r>
    </w:p>
    <w:p w14:paraId="21CE60A8" w14:textId="77777777" w:rsidR="00DE7408" w:rsidRPr="00950A59" w:rsidRDefault="00DE7408" w:rsidP="00DE7408">
      <w:pPr>
        <w:rPr>
          <w:rFonts w:ascii="Arial" w:hAnsi="Arial" w:cs="Arial"/>
        </w:rPr>
      </w:pPr>
    </w:p>
    <w:p w14:paraId="1E50D7A0" w14:textId="5BFFB33E" w:rsidR="00BC459D" w:rsidRPr="00950A59" w:rsidRDefault="00BC459D" w:rsidP="00BC459D">
      <w:pPr>
        <w:pStyle w:val="af"/>
        <w:rPr>
          <w:rFonts w:ascii="Arial" w:hAnsi="Arial" w:cs="Arial"/>
        </w:rPr>
      </w:pPr>
      <w:r w:rsidRPr="00950A59">
        <w:rPr>
          <w:rFonts w:ascii="Arial" w:hAnsi="Arial" w:cs="Arial"/>
        </w:rPr>
        <w:fldChar w:fldCharType="begin"/>
      </w:r>
      <w:r w:rsidRPr="00950A59">
        <w:rPr>
          <w:rFonts w:ascii="Arial" w:hAnsi="Arial" w:cs="Arial"/>
        </w:rPr>
        <w:instrText xml:space="preserve"> ADDIN ZOTERO_BIBL {"uncited":[],"omitted":[],"custom":[]} CSL_BIBLIOGRAPHY </w:instrText>
      </w:r>
      <w:r w:rsidRPr="00950A59">
        <w:rPr>
          <w:rFonts w:ascii="Arial" w:hAnsi="Arial" w:cs="Arial"/>
        </w:rPr>
        <w:fldChar w:fldCharType="separate"/>
      </w:r>
      <w:r w:rsidRPr="00950A59">
        <w:rPr>
          <w:rFonts w:ascii="Arial" w:hAnsi="Arial" w:cs="Arial"/>
        </w:rPr>
        <w:t>Fukui K (2008) Studies on Evaluation Method of Volcanic Activity. TECHNICAL REPORTS OF THE METEOROLOGICAL RESEARCH INSTITUTE 105–122</w:t>
      </w:r>
      <w:r w:rsidR="00F5662A" w:rsidRPr="00950A59">
        <w:rPr>
          <w:rFonts w:ascii="Arial" w:hAnsi="Arial" w:cs="Arial"/>
        </w:rPr>
        <w:t>. https://www.mri-jma.go.jp/Publish/Technical/DATA/VOL_53/tec_rep_mri_53_141.pdf. Accessed 2 Nov 2025 (in Japanese)</w:t>
      </w:r>
    </w:p>
    <w:p w14:paraId="1E6CD21E" w14:textId="77777777" w:rsidR="00BC459D" w:rsidRPr="00950A59" w:rsidRDefault="00BC459D" w:rsidP="00BC459D">
      <w:pPr>
        <w:pStyle w:val="af"/>
        <w:rPr>
          <w:rFonts w:ascii="Arial" w:hAnsi="Arial" w:cs="Arial"/>
        </w:rPr>
      </w:pPr>
      <w:r w:rsidRPr="00950A59">
        <w:rPr>
          <w:rFonts w:ascii="Arial" w:hAnsi="Arial" w:cs="Arial"/>
        </w:rPr>
        <w:t>Hirose T, Ueda H (2025) Seismic Wavefield Change Preceding the Eruption of Shinmoe-Dake, Kirishima Volcano, Japan, Inferred From Polarization Analysis. Journal of Geophysical Research: Solid Earth 130:e2024JB029358. https://doi.org/10.1029/2024JB029358</w:t>
      </w:r>
    </w:p>
    <w:p w14:paraId="4FC59D31" w14:textId="2857F797" w:rsidR="00BC459D" w:rsidRPr="00950A59" w:rsidRDefault="00BC459D" w:rsidP="00BC459D">
      <w:pPr>
        <w:pStyle w:val="af"/>
        <w:rPr>
          <w:rFonts w:ascii="Arial" w:hAnsi="Arial" w:cs="Arial"/>
        </w:rPr>
      </w:pPr>
      <w:r w:rsidRPr="00950A59">
        <w:rPr>
          <w:rFonts w:ascii="Arial" w:hAnsi="Arial" w:cs="Arial"/>
        </w:rPr>
        <w:t>Japan Meteorological Agency (2016) Volcanic Activity of Kusatsu-Shiranesan Volcano (October 2014 –February 23, 2015). In: Report of the Coordinating Committee for Prediction of Volcanic Eruption. https://www.jma.go.jp/jma/kishou/shingikai/ccpve/Report/120/kaiho_120_06.pdf. Accessed 1 Nov 2025</w:t>
      </w:r>
      <w:r w:rsidR="00F5662A" w:rsidRPr="00950A59">
        <w:rPr>
          <w:rFonts w:ascii="Arial" w:hAnsi="Arial" w:cs="Arial"/>
        </w:rPr>
        <w:t xml:space="preserve"> (in Japanese)</w:t>
      </w:r>
    </w:p>
    <w:p w14:paraId="6B2C47E6" w14:textId="77777777" w:rsidR="00BC459D" w:rsidRPr="00950A59" w:rsidRDefault="00BC459D" w:rsidP="00BC459D">
      <w:pPr>
        <w:pStyle w:val="af"/>
        <w:rPr>
          <w:rFonts w:ascii="Arial" w:hAnsi="Arial" w:cs="Arial"/>
        </w:rPr>
      </w:pPr>
      <w:r w:rsidRPr="00950A59">
        <w:rPr>
          <w:rFonts w:ascii="Arial" w:hAnsi="Arial" w:cs="Arial"/>
        </w:rPr>
        <w:t>Lehr J, Eckel F, Thorwart M, Rabbel W (2019) Low</w:t>
      </w:r>
      <w:r w:rsidRPr="00950A59">
        <w:rPr>
          <w:rFonts w:ascii="Cambria Math" w:hAnsi="Cambria Math" w:cs="Cambria Math"/>
        </w:rPr>
        <w:t>‐</w:t>
      </w:r>
      <w:r w:rsidRPr="00950A59">
        <w:rPr>
          <w:rFonts w:ascii="Arial" w:hAnsi="Arial" w:cs="Arial"/>
        </w:rPr>
        <w:t>Frequency Seismicity at Villarrica Volcano: Source Location and Seismic Velocities. JGR Solid Earth 124:11505–11530. https://doi.org/10.1029/2018JB017023</w:t>
      </w:r>
    </w:p>
    <w:p w14:paraId="1CCF405D" w14:textId="77777777" w:rsidR="00BC459D" w:rsidRPr="00950A59" w:rsidRDefault="00BC459D" w:rsidP="00BC459D">
      <w:pPr>
        <w:pStyle w:val="af"/>
        <w:rPr>
          <w:rFonts w:ascii="Arial" w:hAnsi="Arial" w:cs="Arial"/>
        </w:rPr>
      </w:pPr>
      <w:r w:rsidRPr="00950A59">
        <w:rPr>
          <w:rFonts w:ascii="Arial" w:hAnsi="Arial" w:cs="Arial"/>
        </w:rPr>
        <w:t>Mardia KV, Jupp PE (eds) (2010) Directional statistics. J. Wiley, Chichester New York</w:t>
      </w:r>
    </w:p>
    <w:p w14:paraId="55E4E25C" w14:textId="77777777" w:rsidR="00BC459D" w:rsidRPr="00950A59" w:rsidRDefault="00BC459D" w:rsidP="00BC459D">
      <w:pPr>
        <w:pStyle w:val="af"/>
        <w:rPr>
          <w:rFonts w:ascii="Arial" w:hAnsi="Arial" w:cs="Arial"/>
        </w:rPr>
      </w:pPr>
      <w:r w:rsidRPr="00950A59">
        <w:rPr>
          <w:rFonts w:ascii="Arial" w:hAnsi="Arial" w:cs="Arial"/>
        </w:rPr>
        <w:t>Meza</w:t>
      </w:r>
      <w:r w:rsidRPr="00950A59">
        <w:rPr>
          <w:rFonts w:ascii="Cambria Math" w:hAnsi="Cambria Math" w:cs="Cambria Math"/>
        </w:rPr>
        <w:t>‐</w:t>
      </w:r>
      <w:r w:rsidRPr="00950A59">
        <w:rPr>
          <w:rFonts w:ascii="Arial" w:hAnsi="Arial" w:cs="Arial"/>
        </w:rPr>
        <w:t>Fajardo KC, Papageorgiou AS, Semblat J-F (2015) Identification and Extraction of Surface Waves from Three</w:t>
      </w:r>
      <w:r w:rsidRPr="00950A59">
        <w:rPr>
          <w:rFonts w:ascii="Cambria Math" w:hAnsi="Cambria Math" w:cs="Cambria Math"/>
        </w:rPr>
        <w:t>‐</w:t>
      </w:r>
      <w:r w:rsidRPr="00950A59">
        <w:rPr>
          <w:rFonts w:ascii="Arial" w:hAnsi="Arial" w:cs="Arial"/>
        </w:rPr>
        <w:t>Component Seismograms Based on the Normalized Inner Product. Bulletin of the Seismological Society of America 105:210–229. https://doi.org/10.1785/0120140012</w:t>
      </w:r>
    </w:p>
    <w:p w14:paraId="48CCD490" w14:textId="77777777" w:rsidR="00BC459D" w:rsidRPr="00950A59" w:rsidRDefault="00BC459D" w:rsidP="00BC459D">
      <w:pPr>
        <w:pStyle w:val="af"/>
        <w:rPr>
          <w:rFonts w:ascii="Arial" w:hAnsi="Arial" w:cs="Arial"/>
        </w:rPr>
      </w:pPr>
      <w:r w:rsidRPr="00950A59">
        <w:rPr>
          <w:rFonts w:ascii="Arial" w:hAnsi="Arial" w:cs="Arial"/>
        </w:rPr>
        <w:t>Munekane H (2021) Modeling long-term volcanic deformation at Kusatsu-Shirane and Asama volcanoes, Japan, using the GNSS coordinate time series. Earth, Planets and Space 73:192. https://doi.org/10.1186/s40623-021-01512-2</w:t>
      </w:r>
    </w:p>
    <w:p w14:paraId="75037CCA" w14:textId="77777777" w:rsidR="00BC459D" w:rsidRPr="00950A59" w:rsidRDefault="00BC459D" w:rsidP="00BC459D">
      <w:pPr>
        <w:pStyle w:val="af"/>
        <w:rPr>
          <w:rFonts w:ascii="Arial" w:hAnsi="Arial" w:cs="Arial"/>
        </w:rPr>
      </w:pPr>
      <w:r w:rsidRPr="00950A59">
        <w:rPr>
          <w:rFonts w:ascii="Arial" w:hAnsi="Arial" w:cs="Arial"/>
        </w:rPr>
        <w:t>Takamatsu N, Muramatsu H, Abe S, et al (2023) New GEONET analysis strategy at GSI: daily coordinates of over 1300 GNSS CORS in Japan throughout the last quarter century. Earth, Planets and Space 75:49. https://doi.org/10.1186/s40623-023-01787-7</w:t>
      </w:r>
    </w:p>
    <w:p w14:paraId="21D7417A" w14:textId="77777777" w:rsidR="00BC459D" w:rsidRPr="00950A59" w:rsidRDefault="00BC459D" w:rsidP="00BC459D">
      <w:pPr>
        <w:pStyle w:val="af"/>
        <w:rPr>
          <w:rFonts w:ascii="Arial" w:hAnsi="Arial" w:cs="Arial"/>
        </w:rPr>
      </w:pPr>
      <w:r w:rsidRPr="00950A59">
        <w:rPr>
          <w:rFonts w:ascii="Arial" w:hAnsi="Arial" w:cs="Arial"/>
        </w:rPr>
        <w:t xml:space="preserve">Taylor CC (2008) Automatic bandwidth selection for circular density estimation. </w:t>
      </w:r>
      <w:r w:rsidRPr="00950A59">
        <w:rPr>
          <w:rFonts w:ascii="Arial" w:hAnsi="Arial" w:cs="Arial"/>
        </w:rPr>
        <w:lastRenderedPageBreak/>
        <w:t>Computational Statistics &amp; Data Analysis 52:3493–3500. https://doi.org/10.1016/j.csda.2007.11.003</w:t>
      </w:r>
    </w:p>
    <w:p w14:paraId="59F7B4F8" w14:textId="77777777" w:rsidR="00BC459D" w:rsidRPr="00950A59" w:rsidRDefault="00BC459D" w:rsidP="00BC459D">
      <w:pPr>
        <w:pStyle w:val="af"/>
        <w:rPr>
          <w:rFonts w:ascii="Arial" w:hAnsi="Arial" w:cs="Arial"/>
        </w:rPr>
      </w:pPr>
      <w:r w:rsidRPr="00950A59">
        <w:rPr>
          <w:rFonts w:ascii="Arial" w:hAnsi="Arial" w:cs="Arial"/>
        </w:rPr>
        <w:t>Terada A, Aoyama H, Yamada T, Yamamoto M (2025) Geophysical Observations of Kusatsu–Shirane Volcano: Conceptual Model of the Hydrothermal System as a Site of Phreatic Eruptions. In: Ohba T, Terada A (eds) Kusatsu-Shirane Volcano. Springer Nature Switzerland, Cham, pp 159–184</w:t>
      </w:r>
    </w:p>
    <w:p w14:paraId="5E3D7FA8" w14:textId="5F9C63D3" w:rsidR="00A7713D" w:rsidRPr="00950A59" w:rsidRDefault="00BC459D" w:rsidP="00DE7408">
      <w:pPr>
        <w:rPr>
          <w:rFonts w:ascii="Arial" w:hAnsi="Arial" w:cs="Arial"/>
        </w:rPr>
      </w:pPr>
      <w:r w:rsidRPr="00950A59">
        <w:rPr>
          <w:rFonts w:ascii="Arial" w:hAnsi="Arial" w:cs="Arial"/>
        </w:rPr>
        <w:fldChar w:fldCharType="end"/>
      </w:r>
    </w:p>
    <w:sectPr w:rsidR="00A7713D" w:rsidRPr="00950A59">
      <w:footerReference w:type="default" r:id="rId2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11E64" w14:textId="77777777" w:rsidR="000D557D" w:rsidRDefault="000D557D" w:rsidP="00537B08">
      <w:r>
        <w:separator/>
      </w:r>
    </w:p>
  </w:endnote>
  <w:endnote w:type="continuationSeparator" w:id="0">
    <w:p w14:paraId="5D4F9257" w14:textId="77777777" w:rsidR="000D557D" w:rsidRDefault="000D557D" w:rsidP="00537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617681"/>
      <w:docPartObj>
        <w:docPartGallery w:val="Page Numbers (Bottom of Page)"/>
        <w:docPartUnique/>
      </w:docPartObj>
    </w:sdtPr>
    <w:sdtEndPr>
      <w:rPr>
        <w:rFonts w:ascii="Arial" w:hAnsi="Arial" w:cs="Arial"/>
      </w:rPr>
    </w:sdtEndPr>
    <w:sdtContent>
      <w:p w14:paraId="39B4F0EC" w14:textId="245CC170" w:rsidR="009A1E4A" w:rsidRDefault="009A1E4A">
        <w:pPr>
          <w:pStyle w:val="ac"/>
          <w:jc w:val="center"/>
        </w:pPr>
        <w:r w:rsidRPr="0025116C">
          <w:rPr>
            <w:rFonts w:ascii="Arial" w:hAnsi="Arial" w:cs="Arial"/>
          </w:rPr>
          <w:fldChar w:fldCharType="begin"/>
        </w:r>
        <w:r w:rsidRPr="0025116C">
          <w:rPr>
            <w:rFonts w:ascii="Arial" w:hAnsi="Arial" w:cs="Arial"/>
          </w:rPr>
          <w:instrText>PAGE   \* MERGEFORMAT</w:instrText>
        </w:r>
        <w:r w:rsidRPr="0025116C">
          <w:rPr>
            <w:rFonts w:ascii="Arial" w:hAnsi="Arial" w:cs="Arial"/>
          </w:rPr>
          <w:fldChar w:fldCharType="separate"/>
        </w:r>
        <w:r w:rsidRPr="0025116C">
          <w:rPr>
            <w:rFonts w:ascii="Arial" w:hAnsi="Arial" w:cs="Arial"/>
            <w:lang w:val="ja-JP"/>
          </w:rPr>
          <w:t>2</w:t>
        </w:r>
        <w:r w:rsidRPr="0025116C">
          <w:rPr>
            <w:rFonts w:ascii="Arial" w:hAnsi="Arial" w:cs="Arial"/>
          </w:rPr>
          <w:fldChar w:fldCharType="end"/>
        </w:r>
      </w:p>
    </w:sdtContent>
  </w:sdt>
  <w:p w14:paraId="5CD8447B" w14:textId="77777777" w:rsidR="009A1E4A" w:rsidRDefault="009A1E4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2333D" w14:textId="77777777" w:rsidR="000D557D" w:rsidRDefault="000D557D" w:rsidP="00537B08">
      <w:r>
        <w:separator/>
      </w:r>
    </w:p>
  </w:footnote>
  <w:footnote w:type="continuationSeparator" w:id="0">
    <w:p w14:paraId="21E25DD1" w14:textId="77777777" w:rsidR="000D557D" w:rsidRDefault="000D557D" w:rsidP="00537B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9000F"/>
    <w:multiLevelType w:val="hybridMultilevel"/>
    <w:tmpl w:val="F1061E9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17970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B37"/>
    <w:rsid w:val="00006BD6"/>
    <w:rsid w:val="0001194A"/>
    <w:rsid w:val="00013D7E"/>
    <w:rsid w:val="000165C4"/>
    <w:rsid w:val="0002439D"/>
    <w:rsid w:val="00024C5A"/>
    <w:rsid w:val="00024E38"/>
    <w:rsid w:val="00025885"/>
    <w:rsid w:val="00027CBD"/>
    <w:rsid w:val="00035ED9"/>
    <w:rsid w:val="00041935"/>
    <w:rsid w:val="000438F2"/>
    <w:rsid w:val="00050477"/>
    <w:rsid w:val="000531DA"/>
    <w:rsid w:val="00057D8B"/>
    <w:rsid w:val="00067309"/>
    <w:rsid w:val="00070868"/>
    <w:rsid w:val="000718E1"/>
    <w:rsid w:val="00071F88"/>
    <w:rsid w:val="00083BC5"/>
    <w:rsid w:val="000A6CBD"/>
    <w:rsid w:val="000A7C1B"/>
    <w:rsid w:val="000B1D15"/>
    <w:rsid w:val="000C3224"/>
    <w:rsid w:val="000D484E"/>
    <w:rsid w:val="000D557D"/>
    <w:rsid w:val="000E12E6"/>
    <w:rsid w:val="000E54B2"/>
    <w:rsid w:val="000F4D9B"/>
    <w:rsid w:val="000F6E3D"/>
    <w:rsid w:val="001008C2"/>
    <w:rsid w:val="0010199D"/>
    <w:rsid w:val="001044E0"/>
    <w:rsid w:val="001050C1"/>
    <w:rsid w:val="00116533"/>
    <w:rsid w:val="001207AB"/>
    <w:rsid w:val="001317E7"/>
    <w:rsid w:val="00135446"/>
    <w:rsid w:val="00136340"/>
    <w:rsid w:val="00142344"/>
    <w:rsid w:val="00145838"/>
    <w:rsid w:val="00147BF3"/>
    <w:rsid w:val="00152228"/>
    <w:rsid w:val="00153580"/>
    <w:rsid w:val="00162A65"/>
    <w:rsid w:val="0016775E"/>
    <w:rsid w:val="00170191"/>
    <w:rsid w:val="0017356F"/>
    <w:rsid w:val="00176785"/>
    <w:rsid w:val="00180691"/>
    <w:rsid w:val="00186778"/>
    <w:rsid w:val="00197468"/>
    <w:rsid w:val="0019769A"/>
    <w:rsid w:val="001A2EAC"/>
    <w:rsid w:val="001A3FC0"/>
    <w:rsid w:val="001A6AF9"/>
    <w:rsid w:val="001A7070"/>
    <w:rsid w:val="001B33BA"/>
    <w:rsid w:val="001C0D24"/>
    <w:rsid w:val="001D3180"/>
    <w:rsid w:val="001D73EF"/>
    <w:rsid w:val="001E20BF"/>
    <w:rsid w:val="001E3A19"/>
    <w:rsid w:val="001E4D2F"/>
    <w:rsid w:val="001E5435"/>
    <w:rsid w:val="001F2A57"/>
    <w:rsid w:val="001F6BFF"/>
    <w:rsid w:val="0020161E"/>
    <w:rsid w:val="002026B5"/>
    <w:rsid w:val="002138F3"/>
    <w:rsid w:val="002160E0"/>
    <w:rsid w:val="002170F8"/>
    <w:rsid w:val="00217E3C"/>
    <w:rsid w:val="002255CC"/>
    <w:rsid w:val="0022653C"/>
    <w:rsid w:val="00236201"/>
    <w:rsid w:val="002407D9"/>
    <w:rsid w:val="0024255D"/>
    <w:rsid w:val="0025116C"/>
    <w:rsid w:val="002552B1"/>
    <w:rsid w:val="00257DA3"/>
    <w:rsid w:val="00273174"/>
    <w:rsid w:val="002765E8"/>
    <w:rsid w:val="00277079"/>
    <w:rsid w:val="002772DB"/>
    <w:rsid w:val="002830E6"/>
    <w:rsid w:val="00287CE8"/>
    <w:rsid w:val="0029367D"/>
    <w:rsid w:val="002951EC"/>
    <w:rsid w:val="00297096"/>
    <w:rsid w:val="002B02DA"/>
    <w:rsid w:val="002D7365"/>
    <w:rsid w:val="002E6DC1"/>
    <w:rsid w:val="002F331F"/>
    <w:rsid w:val="002F5BE2"/>
    <w:rsid w:val="003000F0"/>
    <w:rsid w:val="00303F92"/>
    <w:rsid w:val="003062C5"/>
    <w:rsid w:val="00311E73"/>
    <w:rsid w:val="00313C35"/>
    <w:rsid w:val="003153CD"/>
    <w:rsid w:val="003170C4"/>
    <w:rsid w:val="003224B9"/>
    <w:rsid w:val="003475DA"/>
    <w:rsid w:val="00353C6A"/>
    <w:rsid w:val="00354E6A"/>
    <w:rsid w:val="00357C20"/>
    <w:rsid w:val="003604B4"/>
    <w:rsid w:val="00370D75"/>
    <w:rsid w:val="00371BE9"/>
    <w:rsid w:val="00381918"/>
    <w:rsid w:val="00381926"/>
    <w:rsid w:val="003838CE"/>
    <w:rsid w:val="003A1033"/>
    <w:rsid w:val="003B0FF9"/>
    <w:rsid w:val="003B6E21"/>
    <w:rsid w:val="003C3C24"/>
    <w:rsid w:val="003C4E18"/>
    <w:rsid w:val="003C5CB7"/>
    <w:rsid w:val="003D62A2"/>
    <w:rsid w:val="003E174E"/>
    <w:rsid w:val="003E59EE"/>
    <w:rsid w:val="003E6125"/>
    <w:rsid w:val="003E7EB3"/>
    <w:rsid w:val="003F1222"/>
    <w:rsid w:val="00415FF4"/>
    <w:rsid w:val="00417B49"/>
    <w:rsid w:val="0043569C"/>
    <w:rsid w:val="00441EEC"/>
    <w:rsid w:val="00442E94"/>
    <w:rsid w:val="00447765"/>
    <w:rsid w:val="00451598"/>
    <w:rsid w:val="004632F2"/>
    <w:rsid w:val="004735C2"/>
    <w:rsid w:val="00483E28"/>
    <w:rsid w:val="0048562D"/>
    <w:rsid w:val="00493CEC"/>
    <w:rsid w:val="004A0026"/>
    <w:rsid w:val="004A1533"/>
    <w:rsid w:val="004B0E9E"/>
    <w:rsid w:val="004D05CD"/>
    <w:rsid w:val="004D1135"/>
    <w:rsid w:val="004D1AFD"/>
    <w:rsid w:val="004D64DB"/>
    <w:rsid w:val="004D798A"/>
    <w:rsid w:val="004E1DE1"/>
    <w:rsid w:val="004E7D56"/>
    <w:rsid w:val="004F1A5B"/>
    <w:rsid w:val="004F34AF"/>
    <w:rsid w:val="00500E89"/>
    <w:rsid w:val="00514319"/>
    <w:rsid w:val="005310C2"/>
    <w:rsid w:val="00537B08"/>
    <w:rsid w:val="00545E94"/>
    <w:rsid w:val="00547D70"/>
    <w:rsid w:val="00551FA6"/>
    <w:rsid w:val="00563BB4"/>
    <w:rsid w:val="00565A9C"/>
    <w:rsid w:val="00567B3B"/>
    <w:rsid w:val="0057108B"/>
    <w:rsid w:val="00572F56"/>
    <w:rsid w:val="005770A9"/>
    <w:rsid w:val="00577FEE"/>
    <w:rsid w:val="00581BAB"/>
    <w:rsid w:val="00582832"/>
    <w:rsid w:val="00583375"/>
    <w:rsid w:val="00595F09"/>
    <w:rsid w:val="005A0C8A"/>
    <w:rsid w:val="005B3BA5"/>
    <w:rsid w:val="005B4BA0"/>
    <w:rsid w:val="005C3E78"/>
    <w:rsid w:val="005C7D5B"/>
    <w:rsid w:val="005D1CDE"/>
    <w:rsid w:val="005D5A1F"/>
    <w:rsid w:val="005D62AE"/>
    <w:rsid w:val="005E5E3D"/>
    <w:rsid w:val="005F2F32"/>
    <w:rsid w:val="005F3522"/>
    <w:rsid w:val="005F5AA1"/>
    <w:rsid w:val="00602218"/>
    <w:rsid w:val="0060585B"/>
    <w:rsid w:val="00610202"/>
    <w:rsid w:val="00610655"/>
    <w:rsid w:val="00617F87"/>
    <w:rsid w:val="006233E8"/>
    <w:rsid w:val="00634647"/>
    <w:rsid w:val="006457BF"/>
    <w:rsid w:val="00653E24"/>
    <w:rsid w:val="00654797"/>
    <w:rsid w:val="00673743"/>
    <w:rsid w:val="00684924"/>
    <w:rsid w:val="00684EFD"/>
    <w:rsid w:val="006A2834"/>
    <w:rsid w:val="006B0CAC"/>
    <w:rsid w:val="006B2B20"/>
    <w:rsid w:val="006B3421"/>
    <w:rsid w:val="006B5786"/>
    <w:rsid w:val="006B7BBD"/>
    <w:rsid w:val="006C2B1F"/>
    <w:rsid w:val="006C5628"/>
    <w:rsid w:val="006D17FC"/>
    <w:rsid w:val="006D2845"/>
    <w:rsid w:val="006D3CBD"/>
    <w:rsid w:val="006D4774"/>
    <w:rsid w:val="006D6987"/>
    <w:rsid w:val="006D6C43"/>
    <w:rsid w:val="006E12BA"/>
    <w:rsid w:val="006F1D1B"/>
    <w:rsid w:val="006F41EB"/>
    <w:rsid w:val="0071019B"/>
    <w:rsid w:val="007255C5"/>
    <w:rsid w:val="00735AFC"/>
    <w:rsid w:val="0074357A"/>
    <w:rsid w:val="00743A2D"/>
    <w:rsid w:val="0075075E"/>
    <w:rsid w:val="0076327D"/>
    <w:rsid w:val="00763B80"/>
    <w:rsid w:val="00773B4A"/>
    <w:rsid w:val="00795146"/>
    <w:rsid w:val="0079731E"/>
    <w:rsid w:val="007A2114"/>
    <w:rsid w:val="007A6D32"/>
    <w:rsid w:val="007B68C7"/>
    <w:rsid w:val="007C30CA"/>
    <w:rsid w:val="007C7A94"/>
    <w:rsid w:val="007D4074"/>
    <w:rsid w:val="007D572B"/>
    <w:rsid w:val="007E03B1"/>
    <w:rsid w:val="007E5AB9"/>
    <w:rsid w:val="007F5A4C"/>
    <w:rsid w:val="00802B22"/>
    <w:rsid w:val="00804D88"/>
    <w:rsid w:val="00813AF7"/>
    <w:rsid w:val="00824C1B"/>
    <w:rsid w:val="008278C0"/>
    <w:rsid w:val="0083646C"/>
    <w:rsid w:val="008365F5"/>
    <w:rsid w:val="0084200D"/>
    <w:rsid w:val="00855434"/>
    <w:rsid w:val="00856E0E"/>
    <w:rsid w:val="00857BA7"/>
    <w:rsid w:val="00861BBF"/>
    <w:rsid w:val="00864D0C"/>
    <w:rsid w:val="00873DAD"/>
    <w:rsid w:val="00874421"/>
    <w:rsid w:val="008817C3"/>
    <w:rsid w:val="00897698"/>
    <w:rsid w:val="008A42AC"/>
    <w:rsid w:val="008A54ED"/>
    <w:rsid w:val="008A6620"/>
    <w:rsid w:val="008A68C7"/>
    <w:rsid w:val="008B0F10"/>
    <w:rsid w:val="008B585B"/>
    <w:rsid w:val="008B5B48"/>
    <w:rsid w:val="008B7D30"/>
    <w:rsid w:val="008C2D09"/>
    <w:rsid w:val="008D4AEB"/>
    <w:rsid w:val="008D629A"/>
    <w:rsid w:val="008D7BCF"/>
    <w:rsid w:val="00905F38"/>
    <w:rsid w:val="009112D7"/>
    <w:rsid w:val="009113C8"/>
    <w:rsid w:val="009117AC"/>
    <w:rsid w:val="009159FA"/>
    <w:rsid w:val="009203DE"/>
    <w:rsid w:val="00926216"/>
    <w:rsid w:val="00926CFE"/>
    <w:rsid w:val="00930CAB"/>
    <w:rsid w:val="00930DE7"/>
    <w:rsid w:val="009338DE"/>
    <w:rsid w:val="0093686A"/>
    <w:rsid w:val="00943954"/>
    <w:rsid w:val="00947F42"/>
    <w:rsid w:val="00950A59"/>
    <w:rsid w:val="00953873"/>
    <w:rsid w:val="0096496C"/>
    <w:rsid w:val="00970CFD"/>
    <w:rsid w:val="00980052"/>
    <w:rsid w:val="0098028C"/>
    <w:rsid w:val="00980488"/>
    <w:rsid w:val="00983510"/>
    <w:rsid w:val="00993366"/>
    <w:rsid w:val="0099787C"/>
    <w:rsid w:val="009A1E4A"/>
    <w:rsid w:val="009A3524"/>
    <w:rsid w:val="009A415D"/>
    <w:rsid w:val="009A48AC"/>
    <w:rsid w:val="009B0F9D"/>
    <w:rsid w:val="009C3A54"/>
    <w:rsid w:val="009C4F2F"/>
    <w:rsid w:val="009D0D21"/>
    <w:rsid w:val="009D12AF"/>
    <w:rsid w:val="009D1435"/>
    <w:rsid w:val="009D2CB6"/>
    <w:rsid w:val="009D3D97"/>
    <w:rsid w:val="009E5118"/>
    <w:rsid w:val="00A00698"/>
    <w:rsid w:val="00A00942"/>
    <w:rsid w:val="00A017CF"/>
    <w:rsid w:val="00A02F33"/>
    <w:rsid w:val="00A078F0"/>
    <w:rsid w:val="00A07D26"/>
    <w:rsid w:val="00A159A6"/>
    <w:rsid w:val="00A170B7"/>
    <w:rsid w:val="00A17D32"/>
    <w:rsid w:val="00A234D9"/>
    <w:rsid w:val="00A24AAF"/>
    <w:rsid w:val="00A30215"/>
    <w:rsid w:val="00A30D8A"/>
    <w:rsid w:val="00A33AD3"/>
    <w:rsid w:val="00A4415F"/>
    <w:rsid w:val="00A44F34"/>
    <w:rsid w:val="00A456C1"/>
    <w:rsid w:val="00A57347"/>
    <w:rsid w:val="00A63063"/>
    <w:rsid w:val="00A72D7E"/>
    <w:rsid w:val="00A732BE"/>
    <w:rsid w:val="00A7713D"/>
    <w:rsid w:val="00A83E0D"/>
    <w:rsid w:val="00AA429E"/>
    <w:rsid w:val="00AA75C7"/>
    <w:rsid w:val="00AB0907"/>
    <w:rsid w:val="00AC2501"/>
    <w:rsid w:val="00AC2FBE"/>
    <w:rsid w:val="00AC6C39"/>
    <w:rsid w:val="00AC79EB"/>
    <w:rsid w:val="00AD281E"/>
    <w:rsid w:val="00AE2317"/>
    <w:rsid w:val="00AE3A2C"/>
    <w:rsid w:val="00AF2328"/>
    <w:rsid w:val="00AF42F9"/>
    <w:rsid w:val="00B0497B"/>
    <w:rsid w:val="00B05873"/>
    <w:rsid w:val="00B05D48"/>
    <w:rsid w:val="00B124E2"/>
    <w:rsid w:val="00B15248"/>
    <w:rsid w:val="00B157B2"/>
    <w:rsid w:val="00B15DDE"/>
    <w:rsid w:val="00B215C4"/>
    <w:rsid w:val="00B27F8A"/>
    <w:rsid w:val="00B30B83"/>
    <w:rsid w:val="00B33429"/>
    <w:rsid w:val="00B348DF"/>
    <w:rsid w:val="00B52225"/>
    <w:rsid w:val="00B607D4"/>
    <w:rsid w:val="00B653AE"/>
    <w:rsid w:val="00B70F9A"/>
    <w:rsid w:val="00B7201A"/>
    <w:rsid w:val="00B726D5"/>
    <w:rsid w:val="00B7608A"/>
    <w:rsid w:val="00B8502A"/>
    <w:rsid w:val="00B919D0"/>
    <w:rsid w:val="00BA3990"/>
    <w:rsid w:val="00BA4879"/>
    <w:rsid w:val="00BA7BF9"/>
    <w:rsid w:val="00BB744A"/>
    <w:rsid w:val="00BC08DA"/>
    <w:rsid w:val="00BC124B"/>
    <w:rsid w:val="00BC459D"/>
    <w:rsid w:val="00BC48F7"/>
    <w:rsid w:val="00BD1F60"/>
    <w:rsid w:val="00BD2179"/>
    <w:rsid w:val="00BD65DF"/>
    <w:rsid w:val="00BE3903"/>
    <w:rsid w:val="00BE40E1"/>
    <w:rsid w:val="00BF23F3"/>
    <w:rsid w:val="00C06287"/>
    <w:rsid w:val="00C067DF"/>
    <w:rsid w:val="00C10687"/>
    <w:rsid w:val="00C12FBD"/>
    <w:rsid w:val="00C15487"/>
    <w:rsid w:val="00C23ACA"/>
    <w:rsid w:val="00C2722B"/>
    <w:rsid w:val="00C30FEB"/>
    <w:rsid w:val="00C34EB3"/>
    <w:rsid w:val="00C41288"/>
    <w:rsid w:val="00C42A83"/>
    <w:rsid w:val="00C46B91"/>
    <w:rsid w:val="00C47C9B"/>
    <w:rsid w:val="00C63B9B"/>
    <w:rsid w:val="00C64407"/>
    <w:rsid w:val="00C64679"/>
    <w:rsid w:val="00C73162"/>
    <w:rsid w:val="00C7608B"/>
    <w:rsid w:val="00C80338"/>
    <w:rsid w:val="00C8653D"/>
    <w:rsid w:val="00C92136"/>
    <w:rsid w:val="00C95D2E"/>
    <w:rsid w:val="00C95E75"/>
    <w:rsid w:val="00CD6A3D"/>
    <w:rsid w:val="00CE5A09"/>
    <w:rsid w:val="00CF2807"/>
    <w:rsid w:val="00CF6FDD"/>
    <w:rsid w:val="00D025F1"/>
    <w:rsid w:val="00D1192D"/>
    <w:rsid w:val="00D1399E"/>
    <w:rsid w:val="00D14DB7"/>
    <w:rsid w:val="00D238A4"/>
    <w:rsid w:val="00D257B3"/>
    <w:rsid w:val="00D309FF"/>
    <w:rsid w:val="00D60428"/>
    <w:rsid w:val="00D61375"/>
    <w:rsid w:val="00D75C72"/>
    <w:rsid w:val="00D83709"/>
    <w:rsid w:val="00D852C9"/>
    <w:rsid w:val="00D87B37"/>
    <w:rsid w:val="00D90AE3"/>
    <w:rsid w:val="00D94053"/>
    <w:rsid w:val="00DA7FD9"/>
    <w:rsid w:val="00DB368D"/>
    <w:rsid w:val="00DB6C8A"/>
    <w:rsid w:val="00DB7667"/>
    <w:rsid w:val="00DB79BD"/>
    <w:rsid w:val="00DC00CC"/>
    <w:rsid w:val="00DC2BDD"/>
    <w:rsid w:val="00DC31D7"/>
    <w:rsid w:val="00DD0F71"/>
    <w:rsid w:val="00DE7408"/>
    <w:rsid w:val="00DE75C1"/>
    <w:rsid w:val="00DF4ACD"/>
    <w:rsid w:val="00DF5F7E"/>
    <w:rsid w:val="00E0139E"/>
    <w:rsid w:val="00E04684"/>
    <w:rsid w:val="00E05488"/>
    <w:rsid w:val="00E07A5A"/>
    <w:rsid w:val="00E305FE"/>
    <w:rsid w:val="00E31AA6"/>
    <w:rsid w:val="00E328E1"/>
    <w:rsid w:val="00E346A8"/>
    <w:rsid w:val="00E4378E"/>
    <w:rsid w:val="00E45E56"/>
    <w:rsid w:val="00E52E1B"/>
    <w:rsid w:val="00E55454"/>
    <w:rsid w:val="00E65F5A"/>
    <w:rsid w:val="00E74410"/>
    <w:rsid w:val="00E80EC7"/>
    <w:rsid w:val="00E835EA"/>
    <w:rsid w:val="00E907C4"/>
    <w:rsid w:val="00E964B0"/>
    <w:rsid w:val="00EA3BA9"/>
    <w:rsid w:val="00EA7ABB"/>
    <w:rsid w:val="00EC2A29"/>
    <w:rsid w:val="00EC7FD4"/>
    <w:rsid w:val="00ED228A"/>
    <w:rsid w:val="00EE208E"/>
    <w:rsid w:val="00EE61BB"/>
    <w:rsid w:val="00EE6A63"/>
    <w:rsid w:val="00EF27A8"/>
    <w:rsid w:val="00F10298"/>
    <w:rsid w:val="00F12D09"/>
    <w:rsid w:val="00F17D23"/>
    <w:rsid w:val="00F362BF"/>
    <w:rsid w:val="00F4099E"/>
    <w:rsid w:val="00F55032"/>
    <w:rsid w:val="00F5662A"/>
    <w:rsid w:val="00F71CFB"/>
    <w:rsid w:val="00F73667"/>
    <w:rsid w:val="00F8766B"/>
    <w:rsid w:val="00F9400C"/>
    <w:rsid w:val="00F95C88"/>
    <w:rsid w:val="00FA18CE"/>
    <w:rsid w:val="00FB23FC"/>
    <w:rsid w:val="00FB68BA"/>
    <w:rsid w:val="00FB7B37"/>
    <w:rsid w:val="00FD7D90"/>
    <w:rsid w:val="00FE25AC"/>
    <w:rsid w:val="00FE38D7"/>
    <w:rsid w:val="00FF0421"/>
    <w:rsid w:val="00FF6851"/>
    <w:rsid w:val="00FF68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7E18C3D"/>
  <w15:chartTrackingRefBased/>
  <w15:docId w15:val="{873616B5-6833-4877-95F7-222EEE628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9FA"/>
    <w:pPr>
      <w:widowControl w:val="0"/>
    </w:pPr>
  </w:style>
  <w:style w:type="paragraph" w:styleId="1">
    <w:name w:val="heading 1"/>
    <w:basedOn w:val="a"/>
    <w:next w:val="a"/>
    <w:link w:val="10"/>
    <w:uiPriority w:val="9"/>
    <w:qFormat/>
    <w:rsid w:val="00D87B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87B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87B3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87B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87B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87B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87B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87B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87B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87B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87B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87B3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87B3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87B3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87B3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87B3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87B3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87B3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87B3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87B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7B3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87B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87B37"/>
    <w:pPr>
      <w:spacing w:before="160" w:after="160"/>
      <w:jc w:val="center"/>
    </w:pPr>
    <w:rPr>
      <w:i/>
      <w:iCs/>
      <w:color w:val="404040" w:themeColor="text1" w:themeTint="BF"/>
    </w:rPr>
  </w:style>
  <w:style w:type="character" w:customStyle="1" w:styleId="a8">
    <w:name w:val="引用文 (文字)"/>
    <w:basedOn w:val="a0"/>
    <w:link w:val="a7"/>
    <w:uiPriority w:val="29"/>
    <w:rsid w:val="00D87B37"/>
    <w:rPr>
      <w:i/>
      <w:iCs/>
      <w:color w:val="404040" w:themeColor="text1" w:themeTint="BF"/>
    </w:rPr>
  </w:style>
  <w:style w:type="paragraph" w:styleId="a9">
    <w:name w:val="List Paragraph"/>
    <w:basedOn w:val="a"/>
    <w:uiPriority w:val="34"/>
    <w:qFormat/>
    <w:rsid w:val="00D87B37"/>
    <w:pPr>
      <w:ind w:left="720"/>
      <w:contextualSpacing/>
    </w:pPr>
  </w:style>
  <w:style w:type="character" w:styleId="21">
    <w:name w:val="Intense Emphasis"/>
    <w:basedOn w:val="a0"/>
    <w:uiPriority w:val="21"/>
    <w:qFormat/>
    <w:rsid w:val="00D87B37"/>
    <w:rPr>
      <w:i/>
      <w:iCs/>
      <w:color w:val="0F4761" w:themeColor="accent1" w:themeShade="BF"/>
    </w:rPr>
  </w:style>
  <w:style w:type="paragraph" w:styleId="22">
    <w:name w:val="Intense Quote"/>
    <w:basedOn w:val="a"/>
    <w:next w:val="a"/>
    <w:link w:val="23"/>
    <w:uiPriority w:val="30"/>
    <w:qFormat/>
    <w:rsid w:val="00D87B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87B37"/>
    <w:rPr>
      <w:i/>
      <w:iCs/>
      <w:color w:val="0F4761" w:themeColor="accent1" w:themeShade="BF"/>
    </w:rPr>
  </w:style>
  <w:style w:type="character" w:styleId="24">
    <w:name w:val="Intense Reference"/>
    <w:basedOn w:val="a0"/>
    <w:uiPriority w:val="32"/>
    <w:qFormat/>
    <w:rsid w:val="00D87B37"/>
    <w:rPr>
      <w:b/>
      <w:bCs/>
      <w:smallCaps/>
      <w:color w:val="0F4761" w:themeColor="accent1" w:themeShade="BF"/>
      <w:spacing w:val="5"/>
    </w:rPr>
  </w:style>
  <w:style w:type="paragraph" w:styleId="aa">
    <w:name w:val="header"/>
    <w:basedOn w:val="a"/>
    <w:link w:val="ab"/>
    <w:uiPriority w:val="99"/>
    <w:unhideWhenUsed/>
    <w:rsid w:val="00537B08"/>
    <w:pPr>
      <w:tabs>
        <w:tab w:val="center" w:pos="4252"/>
        <w:tab w:val="right" w:pos="8504"/>
      </w:tabs>
      <w:snapToGrid w:val="0"/>
    </w:pPr>
  </w:style>
  <w:style w:type="character" w:customStyle="1" w:styleId="ab">
    <w:name w:val="ヘッダー (文字)"/>
    <w:basedOn w:val="a0"/>
    <w:link w:val="aa"/>
    <w:uiPriority w:val="99"/>
    <w:rsid w:val="00537B08"/>
  </w:style>
  <w:style w:type="paragraph" w:styleId="ac">
    <w:name w:val="footer"/>
    <w:basedOn w:val="a"/>
    <w:link w:val="ad"/>
    <w:uiPriority w:val="99"/>
    <w:unhideWhenUsed/>
    <w:rsid w:val="00537B08"/>
    <w:pPr>
      <w:tabs>
        <w:tab w:val="center" w:pos="4252"/>
        <w:tab w:val="right" w:pos="8504"/>
      </w:tabs>
      <w:snapToGrid w:val="0"/>
    </w:pPr>
  </w:style>
  <w:style w:type="character" w:customStyle="1" w:styleId="ad">
    <w:name w:val="フッター (文字)"/>
    <w:basedOn w:val="a0"/>
    <w:link w:val="ac"/>
    <w:uiPriority w:val="99"/>
    <w:rsid w:val="00537B08"/>
  </w:style>
  <w:style w:type="character" w:styleId="ae">
    <w:name w:val="Placeholder Text"/>
    <w:basedOn w:val="a0"/>
    <w:uiPriority w:val="99"/>
    <w:semiHidden/>
    <w:rsid w:val="00B52225"/>
    <w:rPr>
      <w:color w:val="666666"/>
    </w:rPr>
  </w:style>
  <w:style w:type="paragraph" w:styleId="af">
    <w:name w:val="Bibliography"/>
    <w:basedOn w:val="a"/>
    <w:next w:val="a"/>
    <w:uiPriority w:val="37"/>
    <w:unhideWhenUsed/>
    <w:rsid w:val="00BC459D"/>
    <w:pPr>
      <w:spacing w:after="240"/>
      <w:ind w:left="720" w:hanging="720"/>
    </w:pPr>
  </w:style>
  <w:style w:type="paragraph" w:styleId="af0">
    <w:name w:val="Revision"/>
    <w:hidden/>
    <w:uiPriority w:val="99"/>
    <w:semiHidden/>
    <w:rsid w:val="0002439D"/>
  </w:style>
  <w:style w:type="character" w:styleId="af1">
    <w:name w:val="annotation reference"/>
    <w:basedOn w:val="a0"/>
    <w:uiPriority w:val="99"/>
    <w:semiHidden/>
    <w:unhideWhenUsed/>
    <w:rsid w:val="003F1222"/>
    <w:rPr>
      <w:sz w:val="18"/>
      <w:szCs w:val="18"/>
    </w:rPr>
  </w:style>
  <w:style w:type="paragraph" w:styleId="af2">
    <w:name w:val="annotation text"/>
    <w:basedOn w:val="a"/>
    <w:link w:val="af3"/>
    <w:uiPriority w:val="99"/>
    <w:unhideWhenUsed/>
    <w:rsid w:val="003F1222"/>
  </w:style>
  <w:style w:type="character" w:customStyle="1" w:styleId="af3">
    <w:name w:val="コメント文字列 (文字)"/>
    <w:basedOn w:val="a0"/>
    <w:link w:val="af2"/>
    <w:uiPriority w:val="99"/>
    <w:rsid w:val="003F1222"/>
  </w:style>
  <w:style w:type="paragraph" w:styleId="af4">
    <w:name w:val="annotation subject"/>
    <w:basedOn w:val="af2"/>
    <w:next w:val="af2"/>
    <w:link w:val="af5"/>
    <w:uiPriority w:val="99"/>
    <w:semiHidden/>
    <w:unhideWhenUsed/>
    <w:rsid w:val="003F1222"/>
    <w:rPr>
      <w:b/>
      <w:bCs/>
    </w:rPr>
  </w:style>
  <w:style w:type="character" w:customStyle="1" w:styleId="af5">
    <w:name w:val="コメント内容 (文字)"/>
    <w:basedOn w:val="af3"/>
    <w:link w:val="af4"/>
    <w:uiPriority w:val="99"/>
    <w:semiHidden/>
    <w:rsid w:val="003F12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B498C-05D5-43BB-B902-559B8E332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799</TotalTime>
  <Pages>21</Pages>
  <Words>7395</Words>
  <Characters>42158</Characters>
  <Application>Microsoft Office Word</Application>
  <DocSecurity>0</DocSecurity>
  <Lines>351</Lines>
  <Paragraphs>98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chouseikan_now kazantaisaku</dc:creator>
  <cp:keywords/>
  <dc:description/>
  <cp:lastModifiedBy>kobayashi</cp:lastModifiedBy>
  <cp:revision>405</cp:revision>
  <dcterms:created xsi:type="dcterms:W3CDTF">2025-12-12T07:44:00Z</dcterms:created>
  <dcterms:modified xsi:type="dcterms:W3CDTF">2026-08-14T09:33:00Z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id="H9lSgDcr"/&gt;&lt;style id="http://www.zotero.org/styles/earth-planets-and-space" hasBibliography="1" bibliographyStyleHasBeenSet="1"/&gt;&lt;prefs&gt;&lt;pref name="fieldType" value="Field"/&gt;&lt;/prefs&gt;&lt;/data&gt;</vt:lpwstr>
  </property>
</Properties>
</file>