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FC6D5" w14:textId="728279C2" w:rsidR="0002300B" w:rsidRPr="00A86F11" w:rsidRDefault="00F808EF">
      <w:pPr>
        <w:widowControl/>
        <w:jc w:val="left"/>
        <w:rPr>
          <w:b/>
          <w:bCs/>
        </w:rPr>
      </w:pPr>
      <w:r w:rsidRPr="00A86F11">
        <w:rPr>
          <w:rFonts w:hint="eastAsia"/>
          <w:b/>
          <w:bCs/>
        </w:rPr>
        <w:t>Manuscript ID: EPSP-D-26-00045</w:t>
      </w:r>
    </w:p>
    <w:p w14:paraId="3857FB0F" w14:textId="2439AF9E" w:rsidR="00FB155C" w:rsidRPr="00A86F11" w:rsidRDefault="00FB155C">
      <w:pPr>
        <w:widowControl/>
        <w:jc w:val="left"/>
      </w:pPr>
      <w:r w:rsidRPr="00A86F11">
        <w:rPr>
          <w:rFonts w:hint="eastAsia"/>
        </w:rPr>
        <w:t>Original title</w:t>
      </w:r>
      <w:r w:rsidR="00F808EF" w:rsidRPr="00A86F11">
        <w:rPr>
          <w:rFonts w:hint="eastAsia"/>
        </w:rPr>
        <w:t>:</w:t>
      </w:r>
    </w:p>
    <w:p w14:paraId="39CD7C60" w14:textId="0D881345" w:rsidR="00F808EF" w:rsidRPr="00A86F11" w:rsidRDefault="00F808EF">
      <w:pPr>
        <w:widowControl/>
        <w:jc w:val="left"/>
      </w:pPr>
      <w:r w:rsidRPr="00A86F11">
        <w:t>Long-term seismic background level variations reveal volcanic fluid supply and serve as a sensitive indicator for volcano monitoring at Kusatsu-Shirane volcano, Japan</w:t>
      </w:r>
    </w:p>
    <w:p w14:paraId="39FFCC39" w14:textId="30CF823D" w:rsidR="0002300B" w:rsidRPr="00A86F11" w:rsidRDefault="00FB155C">
      <w:pPr>
        <w:widowControl/>
        <w:jc w:val="left"/>
      </w:pPr>
      <w:r w:rsidRPr="00A86F11">
        <w:rPr>
          <w:rFonts w:hint="eastAsia"/>
        </w:rPr>
        <w:t>Revised title:</w:t>
      </w:r>
    </w:p>
    <w:p w14:paraId="39B0A928" w14:textId="2DD24816" w:rsidR="00FB155C" w:rsidRPr="00A86F11" w:rsidRDefault="00FB155C">
      <w:pPr>
        <w:widowControl/>
        <w:jc w:val="left"/>
      </w:pPr>
      <w:r w:rsidRPr="00A86F11">
        <w:t>Long-term seismic background level variations are consistent with volcanic activity at Kusatsu-Shirane volcano, Japan</w:t>
      </w:r>
    </w:p>
    <w:p w14:paraId="7775DAC9" w14:textId="77777777" w:rsidR="00FB155C" w:rsidRPr="00A86F11" w:rsidRDefault="00FB155C">
      <w:pPr>
        <w:widowControl/>
        <w:jc w:val="left"/>
      </w:pPr>
    </w:p>
    <w:p w14:paraId="37CD5A0A" w14:textId="77777777" w:rsidR="0002300B" w:rsidRPr="00A86F11" w:rsidRDefault="0002300B">
      <w:pPr>
        <w:widowControl/>
        <w:jc w:val="left"/>
      </w:pPr>
    </w:p>
    <w:p w14:paraId="087B9CBD" w14:textId="0713CB6E" w:rsidR="00F808EF" w:rsidRPr="00A86F11" w:rsidRDefault="00F808EF">
      <w:pPr>
        <w:widowControl/>
        <w:jc w:val="left"/>
      </w:pPr>
      <w:r w:rsidRPr="00A86F11">
        <w:t>Response</w:t>
      </w:r>
      <w:r w:rsidRPr="00A86F11">
        <w:rPr>
          <w:rFonts w:hint="eastAsia"/>
        </w:rPr>
        <w:t xml:space="preserve"> to reviewers</w:t>
      </w:r>
    </w:p>
    <w:p w14:paraId="686EC3A0" w14:textId="77777777" w:rsidR="008500BF" w:rsidRPr="00A86F11" w:rsidRDefault="008500BF">
      <w:pPr>
        <w:widowControl/>
        <w:jc w:val="left"/>
      </w:pPr>
    </w:p>
    <w:p w14:paraId="3DD56693" w14:textId="77777777" w:rsidR="008500BF" w:rsidRPr="00A86F11" w:rsidRDefault="008500BF" w:rsidP="008500BF">
      <w:pPr>
        <w:widowControl/>
        <w:jc w:val="left"/>
      </w:pPr>
      <w:r w:rsidRPr="00A86F11">
        <w:t>We sincerely thank the editor and the reviewers for their careful evaluation of our previous submission and for their constructive and insightful comments. The previous submission received a Major Revision decision but was subsequently closed as an Open Reject because we were unable to complete the revision within the revision period. We now submit the manuscript as a new submission after substantially revising it in response to the editor’s and reviewers’ comments.</w:t>
      </w:r>
    </w:p>
    <w:p w14:paraId="3ECCD851" w14:textId="77777777" w:rsidR="008500BF" w:rsidRPr="00A86F11" w:rsidRDefault="008500BF" w:rsidP="008500BF">
      <w:pPr>
        <w:widowControl/>
        <w:jc w:val="left"/>
      </w:pPr>
    </w:p>
    <w:p w14:paraId="5393623B" w14:textId="0565363E" w:rsidR="008500BF" w:rsidRPr="00A86F11" w:rsidRDefault="008500BF" w:rsidP="008500BF">
      <w:pPr>
        <w:widowControl/>
        <w:jc w:val="left"/>
      </w:pPr>
      <w:r w:rsidRPr="00A86F11">
        <w:t>We believe that the revisions have improved the clarity, balance, and overall quality of the paper. All reviewer comments are reproduced below, followed by our point-by-point responses. Changes in the revised manuscript are indicated in red text. Line numbers refer to the revised manuscript.</w:t>
      </w:r>
    </w:p>
    <w:p w14:paraId="14DD3313" w14:textId="4E61852F" w:rsidR="00182962" w:rsidRPr="00A86F11" w:rsidRDefault="00182962" w:rsidP="008500BF">
      <w:pPr>
        <w:widowControl/>
        <w:jc w:val="left"/>
        <w:rPr>
          <w:b/>
          <w:bCs/>
        </w:rPr>
      </w:pPr>
      <w:r w:rsidRPr="00A86F11">
        <w:rPr>
          <w:b/>
          <w:bCs/>
        </w:rPr>
        <w:br w:type="page"/>
      </w:r>
    </w:p>
    <w:p w14:paraId="01072FBA" w14:textId="2C9D41A3" w:rsidR="007C10A4" w:rsidRPr="00A86F11" w:rsidRDefault="005665FB" w:rsidP="007C10A4">
      <w:pPr>
        <w:rPr>
          <w:b/>
          <w:bCs/>
          <w:u w:val="single"/>
        </w:rPr>
      </w:pPr>
      <w:r w:rsidRPr="00A86F11">
        <w:rPr>
          <w:rFonts w:hint="eastAsia"/>
          <w:b/>
          <w:bCs/>
          <w:u w:val="single"/>
        </w:rPr>
        <w:lastRenderedPageBreak/>
        <w:t xml:space="preserve">Response to </w:t>
      </w:r>
      <w:r w:rsidR="007C10A4" w:rsidRPr="00A86F11">
        <w:rPr>
          <w:b/>
          <w:bCs/>
          <w:u w:val="single"/>
        </w:rPr>
        <w:t>Reviewer #1</w:t>
      </w:r>
    </w:p>
    <w:p w14:paraId="3628FF4E" w14:textId="77777777" w:rsidR="007C10A4" w:rsidRPr="00A86F11" w:rsidRDefault="007C10A4" w:rsidP="007C10A4"/>
    <w:p w14:paraId="5C828517" w14:textId="7A19F46B" w:rsidR="007C10A4" w:rsidRPr="00A86F11" w:rsidRDefault="007C10A4" w:rsidP="007C10A4">
      <w:r w:rsidRPr="00A86F11">
        <w:t>Review of “Long-term seismic background level variations reveal volcanic fluid supply and</w:t>
      </w:r>
      <w:r w:rsidR="00DF5E39" w:rsidRPr="00A86F11">
        <w:t xml:space="preserve"> </w:t>
      </w:r>
      <w:r w:rsidRPr="00A86F11">
        <w:t>serve as a sensitive indicator for volcano monitoring at Kusatsu-Shirane volcano, Japan” by</w:t>
      </w:r>
      <w:r w:rsidR="00DF5E39" w:rsidRPr="00A86F11">
        <w:rPr>
          <w:rFonts w:hint="eastAsia"/>
        </w:rPr>
        <w:t xml:space="preserve"> </w:t>
      </w:r>
      <w:r w:rsidRPr="00A86F11">
        <w:t>Kobayashi et al.</w:t>
      </w:r>
      <w:r w:rsidR="00DF5E39" w:rsidRPr="00A86F11">
        <w:t xml:space="preserve"> </w:t>
      </w:r>
      <w:r w:rsidRPr="00A86F11">
        <w:t>Kobayashi et al. calculate the Seismic Background Level (SBL) from approximately 20 years</w:t>
      </w:r>
      <w:r w:rsidR="00DF5E39" w:rsidRPr="00A86F11">
        <w:t xml:space="preserve"> </w:t>
      </w:r>
      <w:r w:rsidRPr="00A86F11">
        <w:t>of continuous seismic records around the Yugama crater of Kusatsu-Shirane volcano, and</w:t>
      </w:r>
      <w:r w:rsidR="00DF5E39" w:rsidRPr="00A86F11">
        <w:t xml:space="preserve"> </w:t>
      </w:r>
      <w:r w:rsidRPr="00A86F11">
        <w:t>discuss the state changes of the shallow hydrothermal system based on its correspondence</w:t>
      </w:r>
      <w:r w:rsidR="00DF5E39" w:rsidRPr="00A86F11">
        <w:t xml:space="preserve"> </w:t>
      </w:r>
      <w:r w:rsidRPr="00A86F11">
        <w:t>with the 2014 and 2018 unrest episodes and ground deformation. The study is novel in its</w:t>
      </w:r>
      <w:r w:rsidR="00DF5E39" w:rsidRPr="00A86F11">
        <w:t xml:space="preserve"> </w:t>
      </w:r>
      <w:r w:rsidRPr="00A86F11">
        <w:t>systematic extraction of subtle volcanic signals from long-term data and its aim to apply</w:t>
      </w:r>
      <w:r w:rsidR="00DF5E39" w:rsidRPr="00A86F11">
        <w:t xml:space="preserve"> </w:t>
      </w:r>
      <w:r w:rsidRPr="00A86F11">
        <w:t>them as monitoring indicators. The approach combining long-term SBL variations, interstation</w:t>
      </w:r>
      <w:r w:rsidR="00DF5E39" w:rsidRPr="00A86F11">
        <w:t xml:space="preserve"> </w:t>
      </w:r>
      <w:r w:rsidRPr="00A86F11">
        <w:t>SBL ratios, and polarization analysis is interesting. However, while the analysis</w:t>
      </w:r>
      <w:r w:rsidR="00DF5E39" w:rsidRPr="00A86F11">
        <w:t xml:space="preserve"> </w:t>
      </w:r>
      <w:r w:rsidRPr="00A86F11">
        <w:t>primarily shows temporal correspondence between SBL and ground deformation/seismic</w:t>
      </w:r>
      <w:r w:rsidR="00DF5E39" w:rsidRPr="00A86F11">
        <w:t xml:space="preserve"> </w:t>
      </w:r>
      <w:proofErr w:type="spellStart"/>
      <w:r w:rsidRPr="00A86F11">
        <w:t>activitiy</w:t>
      </w:r>
      <w:proofErr w:type="spellEnd"/>
      <w:r w:rsidRPr="00A86F11">
        <w:t xml:space="preserve"> in time series, the title, abstract, and conclusions assert definitively that SBL</w:t>
      </w:r>
      <w:r w:rsidR="00DF5E39" w:rsidRPr="00A86F11">
        <w:t xml:space="preserve"> </w:t>
      </w:r>
      <w:r w:rsidRPr="00A86F11">
        <w:rPr>
          <w:rFonts w:hint="eastAsia"/>
        </w:rPr>
        <w:t>“</w:t>
      </w:r>
      <w:r w:rsidRPr="00A86F11">
        <w:t>reveals” volcanic fluid supply from deeper to shallower regions, overstating what the</w:t>
      </w:r>
      <w:r w:rsidR="00DF5E39" w:rsidRPr="00A86F11">
        <w:t xml:space="preserve"> </w:t>
      </w:r>
      <w:r w:rsidRPr="00A86F11">
        <w:t>analysis results can support. In addition, there are deficiencies in the evaluation of</w:t>
      </w:r>
      <w:r w:rsidR="00DF5E39" w:rsidRPr="00A86F11">
        <w:t xml:space="preserve"> </w:t>
      </w:r>
      <w:r w:rsidRPr="00A86F11">
        <w:t>methodological validity and uncertainties, including the lack of quantitative criteria for SBL</w:t>
      </w:r>
      <w:r w:rsidR="00DF5E39" w:rsidRPr="00A86F11">
        <w:t xml:space="preserve"> </w:t>
      </w:r>
      <w:r w:rsidRPr="00A86F11">
        <w:t>trend determination and period classification, and the failure to consider the effects of</w:t>
      </w:r>
      <w:r w:rsidR="00DF5E39" w:rsidRPr="00A86F11">
        <w:t xml:space="preserve"> </w:t>
      </w:r>
      <w:r w:rsidRPr="00A86F11">
        <w:t>borehole station installation depths on Rayleigh wave characteristics in the target frequency</w:t>
      </w:r>
      <w:r w:rsidR="00DF5E39" w:rsidRPr="00A86F11">
        <w:t xml:space="preserve"> </w:t>
      </w:r>
      <w:r w:rsidRPr="00A86F11">
        <w:t>band. The claims should be revised to a level commensurate with what the analysis results</w:t>
      </w:r>
      <w:r w:rsidR="00DF5E39" w:rsidRPr="00A86F11">
        <w:t xml:space="preserve"> </w:t>
      </w:r>
      <w:r w:rsidRPr="00A86F11">
        <w:t>can support, and the methodological foundations should be strengthened.</w:t>
      </w:r>
    </w:p>
    <w:p w14:paraId="0F9D6F8D" w14:textId="0EDB0F6F" w:rsidR="00DE209B" w:rsidRPr="00A86F11" w:rsidRDefault="00DE209B" w:rsidP="007C10A4">
      <w:pPr>
        <w:rPr>
          <w:b/>
          <w:bCs/>
          <w:u w:val="single"/>
        </w:rPr>
      </w:pPr>
    </w:p>
    <w:p w14:paraId="4E714697" w14:textId="2618B5EE" w:rsidR="002C66DC" w:rsidRPr="00A86F11" w:rsidRDefault="00E62A57" w:rsidP="007C10A4">
      <w:pPr>
        <w:rPr>
          <w:b/>
          <w:bCs/>
        </w:rPr>
      </w:pPr>
      <w:r w:rsidRPr="00A86F11">
        <w:rPr>
          <w:rFonts w:hint="eastAsia"/>
          <w:b/>
          <w:bCs/>
        </w:rPr>
        <w:t>General</w:t>
      </w:r>
      <w:r w:rsidR="002C66DC" w:rsidRPr="00A86F11">
        <w:rPr>
          <w:rFonts w:hint="eastAsia"/>
          <w:b/>
          <w:bCs/>
        </w:rPr>
        <w:t xml:space="preserve"> response:</w:t>
      </w:r>
    </w:p>
    <w:p w14:paraId="2BC0550F" w14:textId="77777777" w:rsidR="000246B7" w:rsidRPr="00A86F11" w:rsidRDefault="000246B7" w:rsidP="000246B7">
      <w:pPr>
        <w:widowControl/>
        <w:jc w:val="left"/>
      </w:pPr>
      <w:r w:rsidRPr="00A86F11">
        <w:t>We sincerely thank the reviewer for the careful and constructive evaluation of our manuscript. We agree that the original manuscript overstated the interpretation of the SBL variations, particularly regarding volcanic fluid supply from deeper to shallower regions. In the revised manuscript, we have substantially toned down the title, Abstract, Discussion, and Conclusions so that the claims are more consistent with what the observations can support.</w:t>
      </w:r>
    </w:p>
    <w:p w14:paraId="6C0BB43B" w14:textId="77777777" w:rsidR="000246B7" w:rsidRPr="00A86F11" w:rsidRDefault="000246B7" w:rsidP="000246B7">
      <w:pPr>
        <w:widowControl/>
        <w:jc w:val="left"/>
      </w:pPr>
      <w:r w:rsidRPr="00A86F11">
        <w:t xml:space="preserve">Specifically, we revised the manuscript to describe the SBL variations as being temporally associated with volcanic unrest and as possibly reflecting changes in the shallow hydrothermal system, rather than as direct evidence that uniquely reveals deep-to-shallow volcanic fluid supply. We also revised the manuscript to make the methodological assumptions and limitations clearer. Specifically, we added a quantitative assessment of SBL trends within the predefined periods, explicitly stated how the period classification was made, examined the sensitivity of the SBL results to the choice of frequency band and </w:t>
      </w:r>
      <w:r w:rsidRPr="00A86F11">
        <w:lastRenderedPageBreak/>
        <w:t>reference period, and added notes on possible uncertainties related to wavefield composition, borehole installation depths, and the interpretation of polarization analysis.</w:t>
      </w:r>
    </w:p>
    <w:p w14:paraId="659A61A0" w14:textId="1A7E9826" w:rsidR="00DE209B" w:rsidRPr="00A86F11" w:rsidRDefault="000246B7" w:rsidP="000246B7">
      <w:pPr>
        <w:widowControl/>
        <w:jc w:val="left"/>
      </w:pPr>
      <w:r w:rsidRPr="00A86F11">
        <w:t>Accordingly, the polarization analysis and normalized SBL ratio analysis are now presented more cautiously as providing qualitative and preliminary constraints, rather than as definitive evidence for source migration. These revisions are described in detail in our responses to the individual comments below.</w:t>
      </w:r>
      <w:r w:rsidR="005F4FB0">
        <w:rPr>
          <w:rFonts w:hint="eastAsia"/>
        </w:rPr>
        <w:t xml:space="preserve"> </w:t>
      </w:r>
      <w:r w:rsidR="005F4FB0" w:rsidRPr="005F4FB0">
        <w:t>In addition, we changed the term “normalized SBL ratio” to “SBL ratio” throughout the revised manuscript, without changing its definition or calculation method.</w:t>
      </w:r>
      <w:r w:rsidR="00DE209B" w:rsidRPr="00A86F11">
        <w:br w:type="page"/>
      </w:r>
    </w:p>
    <w:p w14:paraId="1638AC1C" w14:textId="794E4B55" w:rsidR="007C10A4" w:rsidRPr="00A86F11" w:rsidRDefault="007C10A4" w:rsidP="007C10A4">
      <w:pPr>
        <w:rPr>
          <w:b/>
          <w:bCs/>
        </w:rPr>
      </w:pPr>
      <w:r w:rsidRPr="00A86F11">
        <w:rPr>
          <w:b/>
          <w:bCs/>
        </w:rPr>
        <w:lastRenderedPageBreak/>
        <w:t>Major comments</w:t>
      </w:r>
    </w:p>
    <w:p w14:paraId="0880D30D" w14:textId="319187E9" w:rsidR="000845AD" w:rsidRPr="00A86F11" w:rsidRDefault="00CA36FD" w:rsidP="007C10A4">
      <w:pPr>
        <w:rPr>
          <w:b/>
          <w:bCs/>
        </w:rPr>
      </w:pPr>
      <w:r w:rsidRPr="00A86F11">
        <w:rPr>
          <w:rFonts w:hint="eastAsia"/>
          <w:b/>
          <w:bCs/>
        </w:rPr>
        <w:t>[</w:t>
      </w:r>
      <w:r w:rsidR="000845AD" w:rsidRPr="00A86F11">
        <w:rPr>
          <w:rFonts w:hint="eastAsia"/>
          <w:b/>
          <w:bCs/>
        </w:rPr>
        <w:t>Comment 1</w:t>
      </w:r>
      <w:r w:rsidRPr="00A86F11">
        <w:rPr>
          <w:rFonts w:hint="eastAsia"/>
          <w:b/>
          <w:bCs/>
        </w:rPr>
        <w:t>]</w:t>
      </w:r>
    </w:p>
    <w:p w14:paraId="3EAA9806" w14:textId="145AAD10" w:rsidR="007C10A4" w:rsidRPr="00A86F11" w:rsidRDefault="007C10A4" w:rsidP="007C10A4">
      <w:r w:rsidRPr="00A86F11">
        <w:t>It is questionable whether the central interpretation of this paper—fluid supply from</w:t>
      </w:r>
      <w:r w:rsidR="000A4F2D" w:rsidRPr="00A86F11">
        <w:t xml:space="preserve"> </w:t>
      </w:r>
      <w:r w:rsidRPr="00A86F11">
        <w:t>deeper to shallower regions—is fully supported by the results. The main conclusion of this</w:t>
      </w:r>
      <w:r w:rsidR="000A4F2D" w:rsidRPr="00A86F11">
        <w:t xml:space="preserve"> </w:t>
      </w:r>
      <w:r w:rsidRPr="00A86F11">
        <w:t>paper is that SBL increases correspond to inflation of deep and shallow deformation</w:t>
      </w:r>
      <w:r w:rsidR="000A4F2D" w:rsidRPr="00A86F11">
        <w:t xml:space="preserve"> </w:t>
      </w:r>
      <w:r w:rsidRPr="00A86F11">
        <w:t>sources, reflecting the supply of volcanic fluids. However, what is shown in the text is</w:t>
      </w:r>
      <w:r w:rsidR="000A4F2D" w:rsidRPr="00A86F11">
        <w:t xml:space="preserve"> </w:t>
      </w:r>
      <w:r w:rsidRPr="00A86F11">
        <w:t>primarily temporal consistency, and it does not amount to a unique demonstration of causal</w:t>
      </w:r>
      <w:r w:rsidR="000A4F2D" w:rsidRPr="00A86F11">
        <w:t xml:space="preserve"> </w:t>
      </w:r>
      <w:r w:rsidRPr="00A86F11">
        <w:t>relationships. Moreover, the authors themselves acknowledge that shallow deformation data</w:t>
      </w:r>
      <w:r w:rsidR="000A4F2D" w:rsidRPr="00A86F11">
        <w:t xml:space="preserve"> </w:t>
      </w:r>
      <w:r w:rsidRPr="00A86F11">
        <w:t>are sparse, limiting detailed comparison, and that the areal strain after 2011 retains the</w:t>
      </w:r>
      <w:r w:rsidR="000A4F2D" w:rsidRPr="00A86F11">
        <w:t xml:space="preserve"> </w:t>
      </w:r>
      <w:r w:rsidRPr="00A86F11">
        <w:t xml:space="preserve">influence of </w:t>
      </w:r>
      <w:proofErr w:type="spellStart"/>
      <w:r w:rsidRPr="00A86F11">
        <w:t>postseismic</w:t>
      </w:r>
      <w:proofErr w:type="spellEnd"/>
      <w:r w:rsidRPr="00A86F11">
        <w:t xml:space="preserve"> deformation from the Tohoku-</w:t>
      </w:r>
      <w:proofErr w:type="spellStart"/>
      <w:r w:rsidRPr="00A86F11">
        <w:t>oki</w:t>
      </w:r>
      <w:proofErr w:type="spellEnd"/>
      <w:r w:rsidRPr="00A86F11">
        <w:t xml:space="preserve"> earthquake. Therefore, “reveal</w:t>
      </w:r>
      <w:r w:rsidR="000A4F2D" w:rsidRPr="00A86F11">
        <w:t xml:space="preserve"> </w:t>
      </w:r>
      <w:r w:rsidRPr="00A86F11">
        <w:t>volcanic fluid supply” in the title, abstract, and conclusions is an overstatement under the</w:t>
      </w:r>
      <w:r w:rsidR="000A4F2D" w:rsidRPr="00A86F11">
        <w:t xml:space="preserve"> </w:t>
      </w:r>
      <w:r w:rsidRPr="00A86F11">
        <w:t>current evidence. Expressions should be revised to match the level of inference, such as</w:t>
      </w:r>
      <w:r w:rsidR="000A4F2D" w:rsidRPr="00A86F11">
        <w:t xml:space="preserve"> </w:t>
      </w:r>
      <w:r w:rsidRPr="00A86F11">
        <w:rPr>
          <w:rFonts w:hint="eastAsia"/>
        </w:rPr>
        <w:t>“</w:t>
      </w:r>
      <w:r w:rsidRPr="00A86F11">
        <w:t>suggest,” “are consistent with,” or “may reflect.”</w:t>
      </w:r>
    </w:p>
    <w:p w14:paraId="4782F139" w14:textId="77777777" w:rsidR="002B4DA3" w:rsidRPr="00A86F11" w:rsidRDefault="002B4DA3" w:rsidP="007C10A4"/>
    <w:p w14:paraId="0BD5F3CB" w14:textId="77777777" w:rsidR="006C5F26" w:rsidRPr="00A86F11" w:rsidRDefault="006C5F26" w:rsidP="006C5F26">
      <w:pPr>
        <w:rPr>
          <w:b/>
          <w:bCs/>
        </w:rPr>
      </w:pPr>
      <w:r w:rsidRPr="00A86F11">
        <w:rPr>
          <w:b/>
          <w:bCs/>
        </w:rPr>
        <w:t>Response:</w:t>
      </w:r>
    </w:p>
    <w:p w14:paraId="692EBDBB" w14:textId="77777777" w:rsidR="00725C72" w:rsidRPr="00A86F11" w:rsidRDefault="00725C72" w:rsidP="00725C72">
      <w:pPr>
        <w:widowControl/>
        <w:jc w:val="left"/>
      </w:pPr>
      <w:r w:rsidRPr="00A86F11">
        <w:t>We thank the reviewer for this important comment. We agree that the expression “reveal volcanic fluid supply” in the title, Abstract, and Conclusions was too strong given the evidence presented in this study.</w:t>
      </w:r>
    </w:p>
    <w:p w14:paraId="41319091" w14:textId="4FBFEF2D" w:rsidR="00725C72" w:rsidRPr="00A86F11" w:rsidRDefault="00725C72" w:rsidP="00725C72">
      <w:pPr>
        <w:widowControl/>
        <w:jc w:val="left"/>
      </w:pPr>
      <w:r w:rsidRPr="00A86F11">
        <w:t>We have therefore revised the title, Abstract, Conclusions, and relevant parts of the main text to make the level of inference more appropriate.</w:t>
      </w:r>
    </w:p>
    <w:p w14:paraId="57AD358D" w14:textId="2583E39E" w:rsidR="00B468BF" w:rsidRPr="00A86F11" w:rsidRDefault="00725C72" w:rsidP="00725C72">
      <w:pPr>
        <w:widowControl/>
        <w:jc w:val="left"/>
      </w:pPr>
      <w:r w:rsidRPr="00A86F11">
        <w:t>Specifically, we replaced strong expressions such as “reveal” and “demonstrate” with more cautious wording such as “are consistent with,” “suggest,” “may reflect.”</w:t>
      </w:r>
      <w:r w:rsidR="00B468BF" w:rsidRPr="00A86F11">
        <w:br w:type="page"/>
      </w:r>
    </w:p>
    <w:p w14:paraId="56CAB844" w14:textId="012EBE8E" w:rsidR="00E3238F" w:rsidRPr="00A86F11" w:rsidRDefault="00E3238F" w:rsidP="00E3238F">
      <w:pPr>
        <w:rPr>
          <w:b/>
          <w:bCs/>
        </w:rPr>
      </w:pPr>
      <w:r w:rsidRPr="00A86F11">
        <w:rPr>
          <w:rFonts w:hint="eastAsia"/>
          <w:b/>
          <w:bCs/>
        </w:rPr>
        <w:lastRenderedPageBreak/>
        <w:t>[Comment 2]</w:t>
      </w:r>
    </w:p>
    <w:p w14:paraId="417B6896" w14:textId="5637454B" w:rsidR="007C10A4" w:rsidRPr="00A86F11" w:rsidRDefault="007C10A4" w:rsidP="007C10A4">
      <w:r w:rsidRPr="00A86F11">
        <w:t>The authors adopt the 3.5–7.0 Hz band following the precedent of Ichihara et al. (2023)</w:t>
      </w:r>
      <w:r w:rsidR="0020075F" w:rsidRPr="00A86F11">
        <w:t xml:space="preserve"> </w:t>
      </w:r>
      <w:r w:rsidRPr="00A86F11">
        <w:t>at Kirishima. According to the Supplementary Information, KSHA had narrowband noise</w:t>
      </w:r>
      <w:r w:rsidR="0020075F" w:rsidRPr="00A86F11">
        <w:t xml:space="preserve"> </w:t>
      </w:r>
      <w:r w:rsidRPr="00A86F11">
        <w:t>around 3 Hz before the seismometer replacement, and after replacement, the characteristic</w:t>
      </w:r>
      <w:r w:rsidR="0020075F" w:rsidRPr="00A86F11">
        <w:t xml:space="preserve"> </w:t>
      </w:r>
      <w:r w:rsidRPr="00A86F11">
        <w:t>~3 Hz component of the 2014 unrest falls outside the integration band, so the SBL increase</w:t>
      </w:r>
      <w:r w:rsidR="0020075F" w:rsidRPr="00A86F11">
        <w:t xml:space="preserve"> </w:t>
      </w:r>
      <w:r w:rsidRPr="00A86F11">
        <w:t>in 2014 is explicitly noted to be underestimated. The authors state that the temporal trends</w:t>
      </w:r>
      <w:r w:rsidR="0020075F" w:rsidRPr="00A86F11">
        <w:t xml:space="preserve"> </w:t>
      </w:r>
      <w:r w:rsidRPr="00A86F11">
        <w:t>and the relative relationship between 2014 and 2018 remain unchanged, but this concerns</w:t>
      </w:r>
      <w:r w:rsidR="0020075F" w:rsidRPr="00A86F11">
        <w:t xml:space="preserve"> </w:t>
      </w:r>
      <w:r w:rsidRPr="00A86F11">
        <w:t>the very core comparisons of this paper. Rather than relegating this to supplementary</w:t>
      </w:r>
      <w:r w:rsidR="0020075F" w:rsidRPr="00A86F11">
        <w:t xml:space="preserve"> </w:t>
      </w:r>
      <w:r w:rsidRPr="00A86F11">
        <w:t>materials, this point should be explicitly stated in the main text, and a sensitivity analysis</w:t>
      </w:r>
      <w:r w:rsidR="0020075F" w:rsidRPr="00A86F11">
        <w:t xml:space="preserve"> </w:t>
      </w:r>
      <w:r w:rsidRPr="00A86F11">
        <w:t>should be brought to the forefront to demonstrate how robust the main results (long-term</w:t>
      </w:r>
      <w:r w:rsidR="0020075F" w:rsidRPr="00A86F11">
        <w:t xml:space="preserve"> </w:t>
      </w:r>
      <w:r w:rsidRPr="00A86F11">
        <w:t>SBL trends, comparison of 2014/2018, interpretation of inter-station ratios) are with respect</w:t>
      </w:r>
      <w:r w:rsidR="0020075F" w:rsidRPr="00A86F11">
        <w:t xml:space="preserve"> </w:t>
      </w:r>
      <w:r w:rsidRPr="00A86F11">
        <w:t>to the choice of the lower frequency bound.</w:t>
      </w:r>
    </w:p>
    <w:p w14:paraId="25BD3157" w14:textId="77777777" w:rsidR="00066FF5" w:rsidRPr="00A86F11" w:rsidRDefault="00066FF5" w:rsidP="007C10A4"/>
    <w:p w14:paraId="520D4974" w14:textId="0ACC8FFC" w:rsidR="004D493B" w:rsidRPr="00A86F11" w:rsidRDefault="007E6C7C" w:rsidP="007C10A4">
      <w:pPr>
        <w:rPr>
          <w:b/>
          <w:bCs/>
        </w:rPr>
      </w:pPr>
      <w:r w:rsidRPr="00A86F11">
        <w:rPr>
          <w:rFonts w:hint="eastAsia"/>
          <w:b/>
          <w:bCs/>
        </w:rPr>
        <w:t>Response:</w:t>
      </w:r>
    </w:p>
    <w:p w14:paraId="0CBA4A5F" w14:textId="77777777" w:rsidR="006501F4" w:rsidRPr="00A86F11" w:rsidRDefault="006501F4" w:rsidP="006501F4">
      <w:r w:rsidRPr="00A86F11">
        <w:t>We thank the reviewer for this insightful and important comment.</w:t>
      </w:r>
    </w:p>
    <w:p w14:paraId="45802BBF" w14:textId="5E9F48C5" w:rsidR="006501F4" w:rsidRPr="00A86F11" w:rsidRDefault="001D0DEC" w:rsidP="006501F4">
      <w:r w:rsidRPr="00A86F11">
        <w:t>W</w:t>
      </w:r>
      <w:r w:rsidR="006501F4" w:rsidRPr="00A86F11">
        <w:t xml:space="preserve">e added a new </w:t>
      </w:r>
      <w:r w:rsidR="00702668" w:rsidRPr="00A86F11">
        <w:t>sub</w:t>
      </w:r>
      <w:r w:rsidR="008B69CB" w:rsidRPr="00A86F11">
        <w:t xml:space="preserve">section </w:t>
      </w:r>
      <w:r w:rsidR="00702668" w:rsidRPr="00A86F11">
        <w:t xml:space="preserve">entitled </w:t>
      </w:r>
      <w:r w:rsidR="00413253" w:rsidRPr="00A86F11">
        <w:t>“</w:t>
      </w:r>
      <w:r w:rsidR="008B69CB" w:rsidRPr="00A86F11">
        <w:t>Adaptation of frequency band</w:t>
      </w:r>
      <w:r w:rsidR="00413253" w:rsidRPr="00A86F11">
        <w:t>”</w:t>
      </w:r>
      <w:r w:rsidR="00702668" w:rsidRPr="00A86F11">
        <w:t xml:space="preserve"> under Section 3.2</w:t>
      </w:r>
      <w:r w:rsidR="008B69CB" w:rsidRPr="00A86F11">
        <w:t xml:space="preserve">, </w:t>
      </w:r>
      <w:r w:rsidR="00A75CA5" w:rsidRPr="00A86F11">
        <w:t>together with a new</w:t>
      </w:r>
      <w:r w:rsidR="008B69CB" w:rsidRPr="00A86F11">
        <w:t xml:space="preserve"> </w:t>
      </w:r>
      <w:r w:rsidR="006501F4" w:rsidRPr="00A86F11">
        <w:t xml:space="preserve">figure (Fig. 4). Specifically, we compared the results obtained using 3.0–7.0 Hz and 3.5–7.0 Hz, and confirmed that (1) although the influence of noise is evident in the absolute amplitudes, the overall temporal variations of the SBL throughout the entire observation period remain similar, and (2) for the period after 2014, the relative magnitudes of the SBL peaks associated with the 2014 and 2018 unrests are preserved. </w:t>
      </w:r>
    </w:p>
    <w:p w14:paraId="655DF32F" w14:textId="4060B301" w:rsidR="006501F4" w:rsidRPr="00A86F11" w:rsidRDefault="006501F4" w:rsidP="006501F4">
      <w:r w:rsidRPr="00A86F11">
        <w:t>In addition, by comparing the results obtained using 3.5–7.0 Hz and 4.0–7.0 Hz, we confirmed that there is no significant leakage of the noise component above 3.5 Hz.</w:t>
      </w:r>
    </w:p>
    <w:p w14:paraId="2718CE69" w14:textId="58BFF358" w:rsidR="006501F4" w:rsidRPr="00A86F11" w:rsidRDefault="006501F4" w:rsidP="006501F4">
      <w:r w:rsidRPr="00A86F11">
        <w:t>These results demonstrate that the main conclusions of this study, including the long-term SBL trends, the comparison between the 2014 and 2018 unrests, and the interpretation of inter-station SBL ratios, are not sensitive to the choice of the lower frequency bound.</w:t>
      </w:r>
    </w:p>
    <w:p w14:paraId="258B22DD" w14:textId="14B075C8" w:rsidR="00DE2BC3" w:rsidRPr="00A86F11" w:rsidRDefault="006501F4" w:rsidP="006501F4">
      <w:r w:rsidRPr="00A86F11">
        <w:t>Furthermore, a more comparison including other stations is provided in the Supplementary Information</w:t>
      </w:r>
      <w:r w:rsidR="003401FA" w:rsidRPr="00A86F11">
        <w:rPr>
          <w:rFonts w:hint="eastAsia"/>
        </w:rPr>
        <w:t xml:space="preserve"> (Fig. S7, S8)</w:t>
      </w:r>
      <w:r w:rsidRPr="00A86F11">
        <w:t>, which confirms that the results are consistent across stations.</w:t>
      </w:r>
    </w:p>
    <w:p w14:paraId="42C64F20" w14:textId="2E9172AA" w:rsidR="00B468BF" w:rsidRPr="00A86F11" w:rsidRDefault="00B468BF" w:rsidP="00DD75E9">
      <w:r w:rsidRPr="00A86F11">
        <w:br w:type="page"/>
      </w:r>
    </w:p>
    <w:p w14:paraId="4B478896" w14:textId="1AFB37E5" w:rsidR="00A7797C" w:rsidRPr="00A86F11" w:rsidRDefault="00A7797C" w:rsidP="00A7797C">
      <w:pPr>
        <w:rPr>
          <w:b/>
          <w:bCs/>
        </w:rPr>
      </w:pPr>
      <w:r w:rsidRPr="00A86F11">
        <w:rPr>
          <w:rFonts w:hint="eastAsia"/>
          <w:b/>
          <w:bCs/>
        </w:rPr>
        <w:lastRenderedPageBreak/>
        <w:t>[Comment 3]</w:t>
      </w:r>
    </w:p>
    <w:p w14:paraId="2E1CF09D" w14:textId="414FC69F" w:rsidR="007C10A4" w:rsidRPr="00A86F11" w:rsidRDefault="007C10A4" w:rsidP="007C10A4">
      <w:r w:rsidRPr="00A86F11">
        <w:t>In Table 1, the paper divides the temporal changes of SBL into 11 periods and describes</w:t>
      </w:r>
      <w:r w:rsidR="0002144A" w:rsidRPr="00A86F11">
        <w:t xml:space="preserve"> </w:t>
      </w:r>
      <w:r w:rsidRPr="00A86F11">
        <w:t>the trend for each period (increase, decrease, no significant change, keeping high levels).</w:t>
      </w:r>
      <w:r w:rsidR="0002144A" w:rsidRPr="00A86F11">
        <w:t xml:space="preserve"> </w:t>
      </w:r>
      <w:r w:rsidRPr="00A86F11">
        <w:t>This period classification and determination form the backbone of the entire discussion, yet</w:t>
      </w:r>
      <w:r w:rsidR="0002144A" w:rsidRPr="00A86F11">
        <w:t xml:space="preserve"> </w:t>
      </w:r>
      <w:r w:rsidRPr="00A86F11">
        <w:t>no quantitative criteria for the determination are provided. This is problematic from multiple</w:t>
      </w:r>
      <w:r w:rsidR="0002144A" w:rsidRPr="00A86F11">
        <w:t xml:space="preserve"> </w:t>
      </w:r>
      <w:r w:rsidRPr="00A86F11">
        <w:t>perspectives.</w:t>
      </w:r>
    </w:p>
    <w:p w14:paraId="2B335405" w14:textId="3019D64B" w:rsidR="007C10A4" w:rsidRPr="00A86F11" w:rsidRDefault="007C10A4" w:rsidP="0002144A">
      <w:pPr>
        <w:ind w:leftChars="270" w:left="567"/>
      </w:pPr>
      <w:r w:rsidRPr="00A86F11">
        <w:t>First, the significance of the trends has not been evaluated. Even after smoothing,</w:t>
      </w:r>
      <w:r w:rsidR="0002144A" w:rsidRPr="00A86F11">
        <w:t xml:space="preserve"> </w:t>
      </w:r>
      <w:r w:rsidRPr="00A86F11">
        <w:t>week-to-month-scale fluctuations remain in the SBL time series. Whether the SBL in</w:t>
      </w:r>
      <w:r w:rsidR="0002144A" w:rsidRPr="00A86F11">
        <w:t xml:space="preserve"> </w:t>
      </w:r>
      <w:r w:rsidRPr="00A86F11">
        <w:t>each period shows an “increasing trend” should depend on the amplitude of fluctuations</w:t>
      </w:r>
      <w:r w:rsidR="0002144A" w:rsidRPr="00A86F11">
        <w:t xml:space="preserve"> </w:t>
      </w:r>
      <w:r w:rsidRPr="00A86F11">
        <w:t>and the signal-to-noise ratio during that period, yet no objective method such as linear</w:t>
      </w:r>
      <w:r w:rsidR="0002144A" w:rsidRPr="00A86F11">
        <w:t xml:space="preserve"> </w:t>
      </w:r>
      <w:r w:rsidRPr="00A86F11">
        <w:t>regression slopes or change-point detection algorithms has been applied. It is unclear</w:t>
      </w:r>
      <w:r w:rsidR="0002144A" w:rsidRPr="00A86F11">
        <w:t xml:space="preserve"> </w:t>
      </w:r>
      <w:r w:rsidRPr="00A86F11">
        <w:t>whether it is appropriate to treat minor fluctuations like Periods I–III and clear</w:t>
      </w:r>
      <w:r w:rsidR="0002144A" w:rsidRPr="00A86F11">
        <w:t xml:space="preserve"> </w:t>
      </w:r>
      <w:r w:rsidRPr="00A86F11">
        <w:t>fluctuations like Periods V and VII equally as “increase.”</w:t>
      </w:r>
    </w:p>
    <w:p w14:paraId="6E7B6305" w14:textId="567328B8" w:rsidR="007C10A4" w:rsidRPr="00A86F11" w:rsidRDefault="007C10A4" w:rsidP="0002144A">
      <w:pPr>
        <w:ind w:leftChars="270" w:left="567"/>
      </w:pPr>
      <w:r w:rsidRPr="00A86F11">
        <w:t>Second, the period boundaries are arbitrary. How the start and end times of each</w:t>
      </w:r>
      <w:r w:rsidR="0002144A" w:rsidRPr="00A86F11">
        <w:t xml:space="preserve"> </w:t>
      </w:r>
      <w:r w:rsidRPr="00A86F11">
        <w:t>period in Table 1 were determined is not stated. For example, the onset of Period V is</w:t>
      </w:r>
      <w:r w:rsidR="0002144A" w:rsidRPr="00A86F11">
        <w:t xml:space="preserve"> </w:t>
      </w:r>
      <w:r w:rsidRPr="00A86F11">
        <w:t>given as “around May 2014,” but whether this was visually read from SBL changes or</w:t>
      </w:r>
      <w:r w:rsidR="0002144A" w:rsidRPr="00A86F11">
        <w:t xml:space="preserve"> </w:t>
      </w:r>
      <w:r w:rsidRPr="00A86F11">
        <w:t>based on some statistical criterion is unclear. Since the setting of period boundaries</w:t>
      </w:r>
      <w:r w:rsidR="0002144A" w:rsidRPr="00A86F11">
        <w:t xml:space="preserve"> </w:t>
      </w:r>
      <w:r w:rsidRPr="00A86F11">
        <w:t>directly affects the discussion of trend directions and temporal correspondence with</w:t>
      </w:r>
      <w:r w:rsidR="0002144A" w:rsidRPr="00A86F11">
        <w:t xml:space="preserve"> </w:t>
      </w:r>
      <w:r w:rsidRPr="00A86F11">
        <w:t>ground deformation data (Section 4.3), the determination method should be stated.</w:t>
      </w:r>
    </w:p>
    <w:p w14:paraId="692B1BAF" w14:textId="4EF80AAD" w:rsidR="007C10A4" w:rsidRPr="00A86F11" w:rsidRDefault="007C10A4" w:rsidP="0002144A">
      <w:pPr>
        <w:ind w:leftChars="270" w:left="567"/>
      </w:pPr>
      <w:r w:rsidRPr="00A86F11">
        <w:t>Third, there is no criterion distinguishing “no significant change” from “keeping high</w:t>
      </w:r>
      <w:r w:rsidR="0002144A" w:rsidRPr="00A86F11">
        <w:t xml:space="preserve"> </w:t>
      </w:r>
      <w:r w:rsidRPr="00A86F11">
        <w:t>levels.” Period IV (2009–May 2014) and Period VIII (January 2020–January 2022) are</w:t>
      </w:r>
      <w:r w:rsidR="0002144A" w:rsidRPr="00A86F11">
        <w:t xml:space="preserve"> </w:t>
      </w:r>
      <w:r w:rsidRPr="00A86F11">
        <w:t>both described as periods when SBL did not change significantly, yet they are assigned</w:t>
      </w:r>
      <w:r w:rsidR="0002144A" w:rsidRPr="00A86F11">
        <w:t xml:space="preserve"> </w:t>
      </w:r>
      <w:r w:rsidRPr="00A86F11">
        <w:t>different labels.</w:t>
      </w:r>
    </w:p>
    <w:p w14:paraId="3FE38BF7" w14:textId="3C98F1AC" w:rsidR="007C10A4" w:rsidRPr="00A86F11" w:rsidRDefault="007C10A4" w:rsidP="0002144A">
      <w:pPr>
        <w:ind w:leftChars="270" w:left="567"/>
      </w:pPr>
      <w:r w:rsidRPr="00A86F11">
        <w:t>Fourth, the footnote of Table 1 states that the decrease in Period IX becomes clear only</w:t>
      </w:r>
      <w:r w:rsidR="0002144A" w:rsidRPr="00A86F11">
        <w:t xml:space="preserve"> </w:t>
      </w:r>
      <w:r w:rsidRPr="00A86F11">
        <w:t>when KSE data are incorporated, but neither the method for integrating data from</w:t>
      </w:r>
      <w:r w:rsidR="0002144A" w:rsidRPr="00A86F11">
        <w:t xml:space="preserve"> </w:t>
      </w:r>
      <w:r w:rsidRPr="00A86F11">
        <w:t>multiple stations nor the policy for handling cases where trend determinations differ</w:t>
      </w:r>
      <w:r w:rsidR="0002144A" w:rsidRPr="00A86F11">
        <w:t xml:space="preserve"> </w:t>
      </w:r>
      <w:r w:rsidRPr="00A86F11">
        <w:t>between single and multiple stations is provided.</w:t>
      </w:r>
    </w:p>
    <w:p w14:paraId="177D644A" w14:textId="77777777" w:rsidR="007C10A4" w:rsidRPr="00A86F11" w:rsidRDefault="007C10A4" w:rsidP="007C10A4">
      <w:r w:rsidRPr="00A86F11">
        <w:t>To address these issues, I recommend adopting one of the following approaches:</w:t>
      </w:r>
    </w:p>
    <w:p w14:paraId="33FC5F56" w14:textId="6781938B" w:rsidR="007C10A4" w:rsidRPr="00A86F11" w:rsidRDefault="007C10A4" w:rsidP="00B56475">
      <w:pPr>
        <w:ind w:leftChars="270" w:left="567"/>
      </w:pPr>
      <w:r w:rsidRPr="00A86F11">
        <w:t>(a) Apply a statistical change-point detection method (e.g., Bayesian change point</w:t>
      </w:r>
      <w:r w:rsidR="001C7CFF" w:rsidRPr="00A86F11">
        <w:t xml:space="preserve"> </w:t>
      </w:r>
      <w:r w:rsidRPr="00A86F11">
        <w:t>detection) to objectively determine period classification. Evaluate the significance of</w:t>
      </w:r>
      <w:r w:rsidR="001C7CFF" w:rsidRPr="00A86F11">
        <w:t xml:space="preserve"> </w:t>
      </w:r>
      <w:r w:rsidRPr="00A86F11">
        <w:t>trends in each period by statistical testing and report confidence intervals.</w:t>
      </w:r>
    </w:p>
    <w:p w14:paraId="477B027D" w14:textId="5D4AAD3F" w:rsidR="007C10A4" w:rsidRPr="00A86F11" w:rsidRDefault="007C10A4" w:rsidP="00B56475">
      <w:pPr>
        <w:ind w:leftChars="270" w:left="567"/>
      </w:pPr>
      <w:r w:rsidRPr="00A86F11">
        <w:t>(b) If the above is difficult, at least compute linear regression or moving-average slopes</w:t>
      </w:r>
      <w:r w:rsidR="001C7CFF" w:rsidRPr="00A86F11">
        <w:t xml:space="preserve"> </w:t>
      </w:r>
      <w:r w:rsidRPr="00A86F11">
        <w:t>for the SBL time series in each period, and compare the magnitude of slopes with the</w:t>
      </w:r>
      <w:r w:rsidR="001C7CFF" w:rsidRPr="00A86F11">
        <w:t xml:space="preserve"> </w:t>
      </w:r>
      <w:r w:rsidRPr="00A86F11">
        <w:t>variability and scatter of SBL to demonstrate that trend determination is not arbitrary.</w:t>
      </w:r>
    </w:p>
    <w:p w14:paraId="1EE67FB9" w14:textId="3E10714E" w:rsidR="007C10A4" w:rsidRPr="00A86F11" w:rsidRDefault="007C10A4" w:rsidP="00B56475">
      <w:pPr>
        <w:ind w:leftChars="270" w:left="567"/>
      </w:pPr>
      <w:r w:rsidRPr="00A86F11">
        <w:t>(c) Also, clearly distinguish between minor fluctuations such as Periods I–III and large</w:t>
      </w:r>
      <w:r w:rsidR="001C7CFF" w:rsidRPr="00A86F11">
        <w:t xml:space="preserve"> </w:t>
      </w:r>
      <w:r w:rsidRPr="00A86F11">
        <w:t xml:space="preserve">fluctuations such as Periods V and VII, and explicitly state for the former that “whether </w:t>
      </w:r>
      <w:r w:rsidRPr="00A86F11">
        <w:lastRenderedPageBreak/>
        <w:t>a</w:t>
      </w:r>
      <w:r w:rsidR="001C7CFF" w:rsidRPr="00A86F11">
        <w:t xml:space="preserve"> </w:t>
      </w:r>
      <w:r w:rsidRPr="00A86F11">
        <w:t>statistically significant trend was detected is uncertain.” Discussion of detection limits is</w:t>
      </w:r>
      <w:r w:rsidR="001C7CFF" w:rsidRPr="00A86F11">
        <w:t xml:space="preserve"> </w:t>
      </w:r>
      <w:r w:rsidRPr="00A86F11">
        <w:t>essential when claiming SBL sensitivity.</w:t>
      </w:r>
    </w:p>
    <w:p w14:paraId="7FC7A119" w14:textId="6DDA4846" w:rsidR="007C10A4" w:rsidRPr="00A86F11" w:rsidRDefault="007C10A4" w:rsidP="007C10A4">
      <w:r w:rsidRPr="00A86F11">
        <w:t>One of the major contributions of this paper is the assertion that SBL can detect subtle</w:t>
      </w:r>
      <w:r w:rsidR="00CC2ADF" w:rsidRPr="00A86F11">
        <w:t xml:space="preserve"> </w:t>
      </w:r>
      <w:r w:rsidRPr="00A86F11">
        <w:t>changes in volcanic activity that are difficult to capture with conventional analyses. However,</w:t>
      </w:r>
      <w:r w:rsidR="00CC2ADF" w:rsidRPr="00A86F11">
        <w:t xml:space="preserve"> </w:t>
      </w:r>
      <w:r w:rsidRPr="00A86F11">
        <w:t>if the criteria for such “detection” are not quantitatively defined, the utility of SBL cannot be</w:t>
      </w:r>
      <w:r w:rsidR="00CC2ADF" w:rsidRPr="00A86F11">
        <w:t xml:space="preserve"> </w:t>
      </w:r>
      <w:r w:rsidRPr="00A86F11">
        <w:t>objectively evaluated. The introduction of quantitative criteria is also important from the</w:t>
      </w:r>
      <w:r w:rsidR="00CC2ADF" w:rsidRPr="00A86F11">
        <w:t xml:space="preserve"> </w:t>
      </w:r>
      <w:r w:rsidRPr="00A86F11">
        <w:t>perspective of reproducibility when applying this method to other volcanoes.</w:t>
      </w:r>
    </w:p>
    <w:p w14:paraId="65221B32" w14:textId="49FAE1A4" w:rsidR="00BD3109" w:rsidRPr="00A86F11" w:rsidRDefault="00BD3109" w:rsidP="007C10A4">
      <w:pPr>
        <w:rPr>
          <w:color w:val="0000FF"/>
        </w:rPr>
      </w:pPr>
    </w:p>
    <w:p w14:paraId="29961D55" w14:textId="77777777" w:rsidR="007E6C7C" w:rsidRPr="00A86F11" w:rsidRDefault="007E6C7C" w:rsidP="007E6C7C">
      <w:pPr>
        <w:rPr>
          <w:b/>
          <w:bCs/>
        </w:rPr>
      </w:pPr>
      <w:r w:rsidRPr="00A86F11">
        <w:rPr>
          <w:rFonts w:hint="eastAsia"/>
          <w:b/>
          <w:bCs/>
        </w:rPr>
        <w:t>Response:</w:t>
      </w:r>
    </w:p>
    <w:p w14:paraId="5F4ED1D9" w14:textId="665B3765" w:rsidR="00E1586E" w:rsidRPr="00A86F11" w:rsidRDefault="00E1586E" w:rsidP="00E1586E">
      <w:pPr>
        <w:widowControl/>
        <w:jc w:val="left"/>
      </w:pPr>
      <w:r w:rsidRPr="00A86F11">
        <w:t>We thank the reviewer for this helpful suggestion.</w:t>
      </w:r>
    </w:p>
    <w:p w14:paraId="2ED56857" w14:textId="15D9B3AB" w:rsidR="00E1586E" w:rsidRPr="00A86F11" w:rsidRDefault="00517620" w:rsidP="00E1586E">
      <w:pPr>
        <w:widowControl/>
        <w:jc w:val="left"/>
      </w:pPr>
      <w:r w:rsidRPr="00A86F11">
        <w:rPr>
          <w:rFonts w:hint="eastAsia"/>
        </w:rPr>
        <w:t>R</w:t>
      </w:r>
      <w:r w:rsidR="00E1586E" w:rsidRPr="00A86F11">
        <w:t>egarding the basis of the period classification, we clarify that the classification was not determined solely from the SBL time series at station KSHA. The periods were primarily defined based on temporal variations in SBL</w:t>
      </w:r>
      <w:r w:rsidR="00955595" w:rsidRPr="00A86F11">
        <w:rPr>
          <w:rFonts w:hint="eastAsia"/>
        </w:rPr>
        <w:t xml:space="preserve"> at KSHA</w:t>
      </w:r>
      <w:r w:rsidR="00E1586E" w:rsidRPr="00A86F11">
        <w:t>, while independent observations, particularly ground deformation data (e.g., areal strain; described in Section 4.</w:t>
      </w:r>
      <w:r w:rsidR="00554802" w:rsidRPr="00A86F11">
        <w:rPr>
          <w:rFonts w:hint="eastAsia"/>
        </w:rPr>
        <w:t>2</w:t>
      </w:r>
      <w:r w:rsidR="00E1586E" w:rsidRPr="00A86F11">
        <w:t>), were referred to as supporting information to confirm the timing of changes and transitions in trends. We have revised the manuscript to explicitly state this point</w:t>
      </w:r>
      <w:r w:rsidR="00C922B7" w:rsidRPr="00A86F11">
        <w:rPr>
          <w:rFonts w:hint="eastAsia"/>
        </w:rPr>
        <w:t xml:space="preserve"> (</w:t>
      </w:r>
      <w:r w:rsidR="00C922B7" w:rsidRPr="00A86F11">
        <w:t>lines 2</w:t>
      </w:r>
      <w:r w:rsidR="00687114" w:rsidRPr="00A86F11">
        <w:rPr>
          <w:rFonts w:hint="eastAsia"/>
        </w:rPr>
        <w:t>43</w:t>
      </w:r>
      <w:r w:rsidR="00BE5825" w:rsidRPr="00A86F11">
        <w:t>–</w:t>
      </w:r>
      <w:r w:rsidR="00C922B7" w:rsidRPr="00A86F11">
        <w:t>2</w:t>
      </w:r>
      <w:r w:rsidR="00687114" w:rsidRPr="00A86F11">
        <w:rPr>
          <w:rFonts w:hint="eastAsia"/>
        </w:rPr>
        <w:t>45</w:t>
      </w:r>
      <w:r w:rsidR="00C922B7" w:rsidRPr="00A86F11">
        <w:t xml:space="preserve"> in the revised manuscript</w:t>
      </w:r>
      <w:r w:rsidR="00C922B7" w:rsidRPr="00A86F11">
        <w:rPr>
          <w:rFonts w:hint="eastAsia"/>
        </w:rPr>
        <w:t>)</w:t>
      </w:r>
      <w:r w:rsidR="00E1586E" w:rsidRPr="00A86F11">
        <w:t>.</w:t>
      </w:r>
    </w:p>
    <w:p w14:paraId="49FC7AE6" w14:textId="1FEC2181" w:rsidR="00243DAC" w:rsidRPr="00A86F11" w:rsidRDefault="00E1586E" w:rsidP="00E1586E">
      <w:pPr>
        <w:widowControl/>
        <w:jc w:val="left"/>
      </w:pPr>
      <w:r w:rsidRPr="00A86F11">
        <w:t>Nevertheless, we acknowledge that some degree of subjectivity remains in the definition of the period boundaries. Therefore, as a minimum quantitative evaluation,</w:t>
      </w:r>
      <w:r w:rsidR="006374F4" w:rsidRPr="00A86F11">
        <w:t xml:space="preserve"> we implemented the reviewer’s suggested approach (b). In addition,</w:t>
      </w:r>
      <w:r w:rsidR="00260FFD" w:rsidRPr="00A86F11">
        <w:rPr>
          <w:rFonts w:hint="eastAsia"/>
        </w:rPr>
        <w:t xml:space="preserve"> </w:t>
      </w:r>
      <w:r w:rsidRPr="00A86F11">
        <w:t xml:space="preserve">we examined whether the assigned trends in each period are statistically supported. Specifically, we applied ordinary least squares (OLS) regression to each period and evaluated the statistical significance of the slopes. </w:t>
      </w:r>
      <w:r w:rsidR="00243DAC" w:rsidRPr="00A86F11">
        <w:t>The results are presented in the Supplementary Information (Figures S</w:t>
      </w:r>
      <w:r w:rsidR="00243DAC" w:rsidRPr="00A86F11">
        <w:rPr>
          <w:rFonts w:hint="eastAsia"/>
        </w:rPr>
        <w:t>10</w:t>
      </w:r>
      <w:r w:rsidR="00243DAC" w:rsidRPr="00A86F11">
        <w:t xml:space="preserve"> and S</w:t>
      </w:r>
      <w:r w:rsidR="00243DAC" w:rsidRPr="00A86F11">
        <w:rPr>
          <w:rFonts w:hint="eastAsia"/>
        </w:rPr>
        <w:t>11</w:t>
      </w:r>
      <w:r w:rsidR="00243DAC" w:rsidRPr="00A86F11">
        <w:t>). The slopes are statistically significant (p &lt; 0.05) for most periods, whereas several periods have small absolute slopes and are therefore interpreted as periods with weak or no substantial change. Overall, the regression results are consistent with the qualitative classification.</w:t>
      </w:r>
    </w:p>
    <w:p w14:paraId="0EC89F63" w14:textId="21EE31E2" w:rsidR="00E26DF5" w:rsidRPr="00A86F11" w:rsidRDefault="00E26DF5" w:rsidP="00E1586E">
      <w:pPr>
        <w:widowControl/>
        <w:jc w:val="left"/>
      </w:pPr>
      <w:r w:rsidRPr="00A86F11">
        <w:t>We note that more objective approaches, such as Bayesian change-point detection, could be applied to determine period boundaries in a more systematic manner, and this will be explored in future work.</w:t>
      </w:r>
    </w:p>
    <w:p w14:paraId="2AE7EF5F" w14:textId="5882145A" w:rsidR="00E1586E" w:rsidRPr="00A86F11" w:rsidRDefault="00E1586E" w:rsidP="00E1586E">
      <w:pPr>
        <w:widowControl/>
        <w:jc w:val="left"/>
      </w:pPr>
      <w:r w:rsidRPr="00A86F11">
        <w:t>We have also revised Table 1 to unify the labeling of periods with no clear trend as “no significant change.” For Period VIII, we retain the additional description “(keeping high levels)” to indicate its relatively elevated SBL level, while maintaining consistency in the classification.</w:t>
      </w:r>
    </w:p>
    <w:p w14:paraId="5412B5AA" w14:textId="6F07EE5D" w:rsidR="00B468BF" w:rsidRPr="00A86F11" w:rsidRDefault="00020C23" w:rsidP="00C4183C">
      <w:r w:rsidRPr="00A86F11">
        <w:t xml:space="preserve">Finally, regarding the statement in the footnote of Table 1 for Period IX, we found that the expression was ambiguous and could lead to misunderstanding, particularly that the trend was </w:t>
      </w:r>
      <w:r w:rsidRPr="00A86F11">
        <w:lastRenderedPageBreak/>
        <w:t>determined based solely on the KSE data. Therefore, we have removed this statement in the revised manuscript.</w:t>
      </w:r>
    </w:p>
    <w:p w14:paraId="73E9826F" w14:textId="77777777" w:rsidR="00C4183C" w:rsidRPr="00A86F11" w:rsidRDefault="00C4183C" w:rsidP="000136F6">
      <w:pPr>
        <w:rPr>
          <w:b/>
          <w:bCs/>
        </w:rPr>
      </w:pPr>
    </w:p>
    <w:p w14:paraId="404737D1" w14:textId="77777777" w:rsidR="001F7F89" w:rsidRPr="00A86F11" w:rsidRDefault="001F7F89">
      <w:pPr>
        <w:widowControl/>
        <w:jc w:val="left"/>
        <w:rPr>
          <w:b/>
          <w:bCs/>
        </w:rPr>
      </w:pPr>
      <w:r w:rsidRPr="00A86F11">
        <w:rPr>
          <w:b/>
          <w:bCs/>
        </w:rPr>
        <w:br w:type="page"/>
      </w:r>
    </w:p>
    <w:p w14:paraId="4C53B146" w14:textId="70DBEE05" w:rsidR="000136F6" w:rsidRPr="00A86F11" w:rsidRDefault="000136F6" w:rsidP="000136F6">
      <w:pPr>
        <w:rPr>
          <w:b/>
          <w:bCs/>
        </w:rPr>
      </w:pPr>
      <w:r w:rsidRPr="00A86F11">
        <w:rPr>
          <w:rFonts w:hint="eastAsia"/>
          <w:b/>
          <w:bCs/>
        </w:rPr>
        <w:lastRenderedPageBreak/>
        <w:t>[Comment 4]</w:t>
      </w:r>
      <w:r w:rsidR="00115002" w:rsidRPr="00A86F11">
        <w:rPr>
          <w:noProof/>
          <w:color w:val="EE0000"/>
        </w:rPr>
        <w:t xml:space="preserve"> </w:t>
      </w:r>
    </w:p>
    <w:p w14:paraId="4022F1B5" w14:textId="2AA8E522" w:rsidR="007C10A4" w:rsidRPr="00A86F11" w:rsidRDefault="007C10A4" w:rsidP="007C10A4">
      <w:r w:rsidRPr="00A86F11">
        <w:t>For SBL variations before 2014 (Periods I–III), corresponding ground deformation data</w:t>
      </w:r>
      <w:r w:rsidR="00621DE1" w:rsidRPr="00A86F11">
        <w:t xml:space="preserve"> </w:t>
      </w:r>
      <w:r w:rsidRPr="00A86F11">
        <w:t>are scarce (GNSS observation intervals are coarse, and signals from deep deformation</w:t>
      </w:r>
      <w:r w:rsidR="00621DE1" w:rsidRPr="00A86F11">
        <w:t xml:space="preserve"> </w:t>
      </w:r>
      <w:r w:rsidRPr="00A86F11">
        <w:t>sources have not been detected), and the basis for interpretation is weak. In Section 5.1.2,</w:t>
      </w:r>
      <w:r w:rsidR="00621DE1" w:rsidRPr="00A86F11">
        <w:t xml:space="preserve"> </w:t>
      </w:r>
      <w:r w:rsidRPr="00A86F11">
        <w:t>the discussion cites results from geomagnetic observations and lake water chemical</w:t>
      </w:r>
      <w:r w:rsidR="00621DE1" w:rsidRPr="00A86F11">
        <w:t xml:space="preserve"> </w:t>
      </w:r>
      <w:r w:rsidRPr="00A86F11">
        <w:t>analyses, but whether the SBL variations actually reflect volcanic activity or might instead</w:t>
      </w:r>
      <w:r w:rsidR="00621DE1" w:rsidRPr="00A86F11">
        <w:t xml:space="preserve"> </w:t>
      </w:r>
      <w:r w:rsidRPr="00A86F11">
        <w:t>reflect changes in the observational environment (seasonal variations in groundwater level,</w:t>
      </w:r>
      <w:r w:rsidR="00621DE1" w:rsidRPr="00A86F11">
        <w:t xml:space="preserve"> </w:t>
      </w:r>
      <w:r w:rsidRPr="00A86F11">
        <w:t>changes in surface conditions, etc.) has not been sufficiently examined. In particular, since</w:t>
      </w:r>
      <w:r w:rsidR="00621DE1" w:rsidRPr="00A86F11">
        <w:t xml:space="preserve"> </w:t>
      </w:r>
      <w:r w:rsidRPr="00A86F11">
        <w:t>KSHA is a surface installation and is presumably susceptible to environmental noise, a more</w:t>
      </w:r>
      <w:r w:rsidR="00621DE1" w:rsidRPr="00A86F11">
        <w:t xml:space="preserve"> </w:t>
      </w:r>
      <w:r w:rsidRPr="00A86F11">
        <w:t>cautious discussion of the reliability of SBL variations during this period is needed.</w:t>
      </w:r>
    </w:p>
    <w:p w14:paraId="56828BBF" w14:textId="77777777" w:rsidR="00FA1110" w:rsidRPr="00A86F11" w:rsidRDefault="00FA1110" w:rsidP="007C10A4"/>
    <w:p w14:paraId="6CA97A50" w14:textId="77777777" w:rsidR="00486383" w:rsidRPr="00A86F11" w:rsidRDefault="00486383" w:rsidP="00486383">
      <w:pPr>
        <w:rPr>
          <w:b/>
          <w:bCs/>
        </w:rPr>
      </w:pPr>
      <w:r w:rsidRPr="00A86F11">
        <w:rPr>
          <w:rFonts w:hint="eastAsia"/>
          <w:b/>
          <w:bCs/>
        </w:rPr>
        <w:t>Response:</w:t>
      </w:r>
    </w:p>
    <w:p w14:paraId="463D19DD" w14:textId="77777777" w:rsidR="0070385B" w:rsidRPr="00A86F11" w:rsidRDefault="0070385B" w:rsidP="0070385B">
      <w:r w:rsidRPr="00A86F11">
        <w:t>We thank the reviewer for this important comment.</w:t>
      </w:r>
    </w:p>
    <w:p w14:paraId="346748CB" w14:textId="77777777" w:rsidR="0070385B" w:rsidRPr="00A86F11" w:rsidRDefault="0070385B" w:rsidP="0070385B">
      <w:r w:rsidRPr="00A86F11">
        <w:t>We agree that near-surface environmental factors, such as groundwater level variations and surface conditions, may influence the SBL, particularly at KSHA, which is a surface installation. At the same time, it should be noted that such environmental changes may themselves be driven by volcanic processes, for example through hydrothermal activity or changes in subsurface fluid pressure. Therefore, it is inherently difficult to clearly distinguish between environmental effects and volcanic processes.</w:t>
      </w:r>
    </w:p>
    <w:p w14:paraId="7F9BB03A" w14:textId="514F320A" w:rsidR="0070385B" w:rsidRPr="00A86F11" w:rsidRDefault="00F3296B" w:rsidP="0070385B">
      <w:r w:rsidRPr="00A86F11">
        <w:rPr>
          <w:rFonts w:hint="eastAsia"/>
        </w:rPr>
        <w:t xml:space="preserve">As a minimum </w:t>
      </w:r>
      <w:r w:rsidR="0070385B" w:rsidRPr="00A86F11">
        <w:t>evaluat</w:t>
      </w:r>
      <w:r w:rsidRPr="00A86F11">
        <w:rPr>
          <w:rFonts w:hint="eastAsia"/>
        </w:rPr>
        <w:t xml:space="preserve">ion of </w:t>
      </w:r>
      <w:r w:rsidR="0070385B" w:rsidRPr="00A86F11">
        <w:t xml:space="preserve">possible environmental effects, </w:t>
      </w:r>
      <w:r w:rsidRPr="00A86F11">
        <w:t>we examined the contribution of seasonal variations by extracting the seasonal component of the SBL time series using the STL method</w:t>
      </w:r>
      <w:r w:rsidR="0070385B" w:rsidRPr="00A86F11">
        <w:t xml:space="preserve"> (Fig. </w:t>
      </w:r>
      <w:r w:rsidR="0035455A" w:rsidRPr="00A86F11">
        <w:rPr>
          <w:rFonts w:hint="eastAsia"/>
        </w:rPr>
        <w:t>R1</w:t>
      </w:r>
      <w:r w:rsidR="00B61208" w:rsidRPr="00A86F11">
        <w:rPr>
          <w:rFonts w:hint="eastAsia"/>
        </w:rPr>
        <w:t xml:space="preserve"> in this letter</w:t>
      </w:r>
      <w:r w:rsidR="0070385B" w:rsidRPr="00A86F11">
        <w:t>). The results show that the amplitude of the seasonal component is substantially smaller than the multi-year variations defining Periods I–III. Moreover, the characteristic increasing and decreasing trends remain evident even after removal of the seasonal component.</w:t>
      </w:r>
    </w:p>
    <w:p w14:paraId="7B7666A6" w14:textId="0D4D9F99" w:rsidR="00103E7C" w:rsidRPr="00A86F11" w:rsidRDefault="0070385B" w:rsidP="0070385B">
      <w:r w:rsidRPr="00A86F11">
        <w:t>These observations suggest that the SBL variations during Periods I–III cannot be explained solely by simple seasonal environmental effects. However, as pointed out by the reviewer, independent geodetic constraints for this period are limited, and the influence of non-volcanic near-surface environmental processes cannot be completely excluded given the currently available observations. Therefore, the interpretation of SBL variations before 2014 is subject to greater uncertainty than that for the 2014 and 2018 unrest periods.</w:t>
      </w:r>
    </w:p>
    <w:p w14:paraId="1F73EB64" w14:textId="77777777" w:rsidR="00E30F1C" w:rsidRPr="00A86F11" w:rsidRDefault="00E30F1C" w:rsidP="007C10A4"/>
    <w:p w14:paraId="6B5AC8E8" w14:textId="77777777" w:rsidR="00E30F1C" w:rsidRPr="00A86F11" w:rsidRDefault="00E30F1C" w:rsidP="007C10A4"/>
    <w:p w14:paraId="53BCF94E" w14:textId="7FEEBD8C" w:rsidR="00557F47" w:rsidRPr="00A86F11" w:rsidRDefault="0016314E" w:rsidP="007C10A4">
      <w:r w:rsidRPr="00A86F11">
        <w:rPr>
          <w:noProof/>
          <w:color w:val="0000FF"/>
        </w:rPr>
        <w:lastRenderedPageBreak/>
        <w:drawing>
          <wp:inline distT="0" distB="0" distL="0" distR="0" wp14:anchorId="04EA8FFC" wp14:editId="4ED11A2D">
            <wp:extent cx="5272333" cy="4519141"/>
            <wp:effectExtent l="0" t="0" r="5080" b="0"/>
            <wp:docPr id="1588616995"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616995" name="図 3"/>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272333" cy="4519141"/>
                    </a:xfrm>
                    <a:prstGeom prst="rect">
                      <a:avLst/>
                    </a:prstGeom>
                    <a:noFill/>
                    <a:ln>
                      <a:noFill/>
                    </a:ln>
                  </pic:spPr>
                </pic:pic>
              </a:graphicData>
            </a:graphic>
          </wp:inline>
        </w:drawing>
      </w:r>
    </w:p>
    <w:p w14:paraId="46670FA6" w14:textId="7D5BFAAD" w:rsidR="00265E2F" w:rsidRPr="00A86F11" w:rsidRDefault="00265E2F" w:rsidP="00265E2F">
      <w:r w:rsidRPr="00A86F11">
        <w:t>Fig</w:t>
      </w:r>
      <w:r w:rsidR="003F26E4" w:rsidRPr="00A86F11">
        <w:rPr>
          <w:rFonts w:hint="eastAsia"/>
        </w:rPr>
        <w:t>ure</w:t>
      </w:r>
      <w:r w:rsidRPr="00A86F11">
        <w:t xml:space="preserve"> </w:t>
      </w:r>
      <w:r w:rsidR="002B67DB" w:rsidRPr="00A86F11">
        <w:rPr>
          <w:rFonts w:hint="eastAsia"/>
        </w:rPr>
        <w:t>R1</w:t>
      </w:r>
      <w:r w:rsidRPr="00A86F11">
        <w:t>. Decomposition of the SBL time series at KSHA using the STL method.</w:t>
      </w:r>
    </w:p>
    <w:p w14:paraId="7AD02F3D" w14:textId="77777777" w:rsidR="00265E2F" w:rsidRPr="00A86F11" w:rsidRDefault="00265E2F" w:rsidP="00265E2F">
      <w:r w:rsidRPr="00A86F11">
        <w:t>(a) Original SBL (black) and extracted long-term trend (red).</w:t>
      </w:r>
    </w:p>
    <w:p w14:paraId="1FB1327F" w14:textId="77777777" w:rsidR="00265E2F" w:rsidRPr="00A86F11" w:rsidRDefault="00265E2F" w:rsidP="00265E2F">
      <w:r w:rsidRPr="00A86F11">
        <w:t>(b) Seasonal component representing annual variations.</w:t>
      </w:r>
    </w:p>
    <w:p w14:paraId="6BEAE503" w14:textId="77777777" w:rsidR="00265E2F" w:rsidRPr="00A86F11" w:rsidRDefault="00265E2F" w:rsidP="00265E2F">
      <w:r w:rsidRPr="00A86F11">
        <w:t>(c) Comparison between the original SBL (black) and the de-seasonalized series (red).</w:t>
      </w:r>
    </w:p>
    <w:p w14:paraId="2D608ABE" w14:textId="77777777" w:rsidR="00265E2F" w:rsidRPr="00A86F11" w:rsidRDefault="00265E2F" w:rsidP="00265E2F"/>
    <w:p w14:paraId="79E35A27" w14:textId="6BB76F2A" w:rsidR="00265E2F" w:rsidRPr="00A86F11" w:rsidRDefault="00265E2F" w:rsidP="00265E2F">
      <w:r w:rsidRPr="00A86F11">
        <w:t>The seasonal component has a relatively small amplitude compared to the multi-year SBL variations, and the long-term increasing and decreasing trends remain after removal of the seasonal component.</w:t>
      </w:r>
    </w:p>
    <w:p w14:paraId="6FDBE172" w14:textId="77777777" w:rsidR="00265E2F" w:rsidRPr="00A86F11" w:rsidRDefault="00265E2F" w:rsidP="007C10A4"/>
    <w:p w14:paraId="0517CA3E" w14:textId="77777777" w:rsidR="00B468BF" w:rsidRPr="00A86F11" w:rsidRDefault="00B468BF">
      <w:pPr>
        <w:widowControl/>
        <w:jc w:val="left"/>
      </w:pPr>
      <w:r w:rsidRPr="00A86F11">
        <w:br w:type="page"/>
      </w:r>
    </w:p>
    <w:p w14:paraId="16F91E62" w14:textId="5B59771A" w:rsidR="004B47F4" w:rsidRPr="00A86F11" w:rsidRDefault="004B47F4" w:rsidP="004B47F4">
      <w:pPr>
        <w:rPr>
          <w:b/>
          <w:bCs/>
        </w:rPr>
      </w:pPr>
      <w:r w:rsidRPr="00A86F11">
        <w:rPr>
          <w:rFonts w:hint="eastAsia"/>
          <w:b/>
          <w:bCs/>
        </w:rPr>
        <w:lastRenderedPageBreak/>
        <w:t>[Comment 5]</w:t>
      </w:r>
    </w:p>
    <w:p w14:paraId="37F99C69" w14:textId="327942A4" w:rsidR="007C10A4" w:rsidRPr="00A86F11" w:rsidRDefault="007C10A4" w:rsidP="007C10A4">
      <w:r w:rsidRPr="00A86F11">
        <w:t>In Section 3.3, the reference period for the normalized SBL ratio is selected as December</w:t>
      </w:r>
      <w:r w:rsidR="006F6E22" w:rsidRPr="00A86F11">
        <w:t xml:space="preserve"> </w:t>
      </w:r>
      <w:r w:rsidRPr="00A86F11">
        <w:t>2019–January 2020, but the only stated reason is that “it was the period when KSHA’s SBL</w:t>
      </w:r>
      <w:r w:rsidR="006F6E22" w:rsidRPr="00A86F11">
        <w:t xml:space="preserve"> </w:t>
      </w:r>
      <w:r w:rsidRPr="00A86F11">
        <w:t>was highest.” Whether using the period of highest SBL as a reference is the most statistically</w:t>
      </w:r>
      <w:r w:rsidR="006F6E22" w:rsidRPr="00A86F11">
        <w:t xml:space="preserve"> </w:t>
      </w:r>
      <w:r w:rsidRPr="00A86F11">
        <w:t>appropriate choice is not self-evident. Using a period of relatively quiescent activity as the</w:t>
      </w:r>
      <w:r w:rsidR="006F6E22" w:rsidRPr="00A86F11">
        <w:t xml:space="preserve"> </w:t>
      </w:r>
      <w:r w:rsidRPr="00A86F11">
        <w:t>reference might make it easier to interpret variations. It would be desirable to conduct a</w:t>
      </w:r>
      <w:r w:rsidR="006F6E22" w:rsidRPr="00A86F11">
        <w:t xml:space="preserve"> </w:t>
      </w:r>
      <w:r w:rsidRPr="00A86F11">
        <w:t>sensitivity test on how the choice of reference period affects the temporal pattern of SBL</w:t>
      </w:r>
      <w:r w:rsidR="006F6E22" w:rsidRPr="00A86F11">
        <w:t xml:space="preserve"> </w:t>
      </w:r>
      <w:r w:rsidRPr="00A86F11">
        <w:t>ratios, or at least show a comparison with a different reference period.</w:t>
      </w:r>
    </w:p>
    <w:p w14:paraId="60FF4319" w14:textId="77777777" w:rsidR="005743C7" w:rsidRPr="00A86F11" w:rsidRDefault="005743C7" w:rsidP="007C10A4"/>
    <w:p w14:paraId="0CF373B5" w14:textId="77777777" w:rsidR="004246D8" w:rsidRPr="00A86F11" w:rsidRDefault="004246D8" w:rsidP="004246D8">
      <w:pPr>
        <w:rPr>
          <w:b/>
          <w:bCs/>
        </w:rPr>
      </w:pPr>
      <w:r w:rsidRPr="00A86F11">
        <w:rPr>
          <w:rFonts w:hint="eastAsia"/>
          <w:b/>
          <w:bCs/>
        </w:rPr>
        <w:t>Response:</w:t>
      </w:r>
    </w:p>
    <w:p w14:paraId="09F71E4A" w14:textId="77777777" w:rsidR="00AC7A30" w:rsidRPr="00A86F11" w:rsidRDefault="00AC7A30" w:rsidP="00AC7A30">
      <w:r w:rsidRPr="00A86F11">
        <w:t>We thank the reviewer for this valuable comment.</w:t>
      </w:r>
    </w:p>
    <w:p w14:paraId="1F7D5B64" w14:textId="16B5AE69" w:rsidR="00AC7A30" w:rsidRPr="00A86F11" w:rsidRDefault="00AC7A30" w:rsidP="00AC7A30">
      <w:r w:rsidRPr="00A86F11">
        <w:t>We agree that the rationale for selecting the reference period was not sufficiently explained in the original manuscript, and we have revised the text accordingly</w:t>
      </w:r>
      <w:r w:rsidR="00970F2B" w:rsidRPr="00A86F11">
        <w:rPr>
          <w:rFonts w:hint="eastAsia"/>
        </w:rPr>
        <w:t xml:space="preserve"> </w:t>
      </w:r>
      <w:r w:rsidR="00970F2B" w:rsidRPr="00A86F11">
        <w:t>(lines 2</w:t>
      </w:r>
      <w:r w:rsidR="00074E04" w:rsidRPr="00A86F11">
        <w:t>1</w:t>
      </w:r>
      <w:r w:rsidR="00433A9C" w:rsidRPr="00A86F11">
        <w:rPr>
          <w:rFonts w:hint="eastAsia"/>
        </w:rPr>
        <w:t>4</w:t>
      </w:r>
      <w:r w:rsidR="00611F83" w:rsidRPr="00A86F11">
        <w:t>–</w:t>
      </w:r>
      <w:r w:rsidR="00970F2B" w:rsidRPr="00A86F11">
        <w:t>2</w:t>
      </w:r>
      <w:r w:rsidR="00074E04" w:rsidRPr="00A86F11">
        <w:t>1</w:t>
      </w:r>
      <w:r w:rsidR="00433A9C" w:rsidRPr="00A86F11">
        <w:rPr>
          <w:rFonts w:hint="eastAsia"/>
        </w:rPr>
        <w:t>5</w:t>
      </w:r>
      <w:r w:rsidR="00970F2B" w:rsidRPr="00A86F11">
        <w:t xml:space="preserve"> in the revised manuscript)</w:t>
      </w:r>
      <w:r w:rsidRPr="00A86F11">
        <w:t>. In addition to the previously stated reason that this period corresponds to relatively high SBL values at KSHA, we note that December 2019–January 2020 contains relatively few missing data and provides a stable reference interval.</w:t>
      </w:r>
      <w:r w:rsidR="00B561A9" w:rsidRPr="00A86F11">
        <w:rPr>
          <w:rFonts w:hint="eastAsia"/>
        </w:rPr>
        <w:t xml:space="preserve"> </w:t>
      </w:r>
      <w:r w:rsidR="00B561A9" w:rsidRPr="00A86F11">
        <w:t>And, we renamed “normalized SBL ratio” to “SBL ratio” in the revised manuscript.</w:t>
      </w:r>
    </w:p>
    <w:p w14:paraId="3DD213D9" w14:textId="5B0DB973" w:rsidR="00AC7A30" w:rsidRPr="00A86F11" w:rsidRDefault="00AC7A30" w:rsidP="00AC7A30">
      <w:r w:rsidRPr="00A86F11">
        <w:t xml:space="preserve">Furthermore, to evaluate the sensitivity of the results to the choice of reference period, we recalculated the SBL ratios using an alternative reference period (November–December 2012; Fig. </w:t>
      </w:r>
      <w:r w:rsidR="00856F37" w:rsidRPr="00A86F11">
        <w:rPr>
          <w:rFonts w:hint="eastAsia"/>
        </w:rPr>
        <w:t>S</w:t>
      </w:r>
      <w:r w:rsidR="00B87E08" w:rsidRPr="00A86F11">
        <w:rPr>
          <w:rFonts w:hint="eastAsia"/>
        </w:rPr>
        <w:t>9</w:t>
      </w:r>
      <w:r w:rsidR="00123B32" w:rsidRPr="00A86F11">
        <w:rPr>
          <w:rFonts w:hint="eastAsia"/>
        </w:rPr>
        <w:t xml:space="preserve"> in Supplementa</w:t>
      </w:r>
      <w:r w:rsidR="00330EF5" w:rsidRPr="00A86F11">
        <w:rPr>
          <w:rFonts w:hint="eastAsia"/>
        </w:rPr>
        <w:t>r</w:t>
      </w:r>
      <w:r w:rsidR="00123B32" w:rsidRPr="00A86F11">
        <w:rPr>
          <w:rFonts w:hint="eastAsia"/>
        </w:rPr>
        <w:t>y Information</w:t>
      </w:r>
      <w:r w:rsidRPr="00A86F11">
        <w:t>). The comparison shows that the overall temporal patterns of both the normalized SBL and the SBL ratios remain essentially unchanged, despite differences in the absolute values.</w:t>
      </w:r>
    </w:p>
    <w:p w14:paraId="2502256F" w14:textId="06B2DBF8" w:rsidR="000F6D67" w:rsidRPr="00A86F11" w:rsidRDefault="00AC7A30" w:rsidP="00AC7A30">
      <w:r w:rsidRPr="00A86F11">
        <w:t>These results indicate that the main features discussed in this study are robust with respect to the choice of reference period.</w:t>
      </w:r>
    </w:p>
    <w:p w14:paraId="22C82B59" w14:textId="77777777" w:rsidR="009B7CE7" w:rsidRPr="00A86F11" w:rsidRDefault="009B7CE7" w:rsidP="000B3BBC"/>
    <w:p w14:paraId="7A573FA3" w14:textId="6F470B0A" w:rsidR="00B468BF" w:rsidRPr="00A86F11" w:rsidRDefault="00B468BF" w:rsidP="000B3BBC">
      <w:r w:rsidRPr="00A86F11">
        <w:br w:type="page"/>
      </w:r>
    </w:p>
    <w:p w14:paraId="03624DAC" w14:textId="77E95914" w:rsidR="00917973" w:rsidRPr="00A86F11" w:rsidRDefault="00917EE1" w:rsidP="00917973">
      <w:pPr>
        <w:rPr>
          <w:b/>
          <w:bCs/>
        </w:rPr>
      </w:pPr>
      <w:r w:rsidRPr="00A86F11">
        <w:rPr>
          <w:rFonts w:hint="eastAsia"/>
          <w:b/>
          <w:bCs/>
        </w:rPr>
        <w:lastRenderedPageBreak/>
        <w:t xml:space="preserve"> </w:t>
      </w:r>
      <w:r w:rsidR="00917973" w:rsidRPr="00A86F11">
        <w:rPr>
          <w:rFonts w:hint="eastAsia"/>
          <w:b/>
          <w:bCs/>
        </w:rPr>
        <w:t>[Comment 6]</w:t>
      </w:r>
    </w:p>
    <w:p w14:paraId="64455FC2" w14:textId="76FF027A" w:rsidR="007C10A4" w:rsidRPr="00A86F11" w:rsidRDefault="007C10A4" w:rsidP="007C10A4">
      <w:r w:rsidRPr="00A86F11">
        <w:t>The Discussion part of this paper contains a circular reasoning problem regarding the</w:t>
      </w:r>
      <w:r w:rsidR="007908A5" w:rsidRPr="00A86F11">
        <w:t xml:space="preserve"> </w:t>
      </w:r>
      <w:r w:rsidRPr="00A86F11">
        <w:t>physical mechanism of SBL oscillations. In Section 5.1, based on the temporal</w:t>
      </w:r>
      <w:r w:rsidR="007908A5" w:rsidRPr="00A86F11">
        <w:t xml:space="preserve"> </w:t>
      </w:r>
      <w:r w:rsidRPr="00A86F11">
        <w:t>correspondence between SBL variations and ground deformation/seismic activity, SBL is</w:t>
      </w:r>
      <w:r w:rsidR="007908A5" w:rsidRPr="00A86F11">
        <w:t xml:space="preserve"> </w:t>
      </w:r>
      <w:r w:rsidRPr="00A86F11">
        <w:t>interpreted as reflecting volcanic fluid supply. In particular, Section 5.1.2 concludes that</w:t>
      </w:r>
      <w:r w:rsidR="007908A5" w:rsidRPr="00A86F11">
        <w:t xml:space="preserve"> </w:t>
      </w:r>
      <w:r w:rsidRPr="00A86F11">
        <w:t>volcanic vibration signals have been continuously present since Period I, citing lake water</w:t>
      </w:r>
      <w:r w:rsidR="007908A5" w:rsidRPr="00A86F11">
        <w:t xml:space="preserve"> </w:t>
      </w:r>
      <w:r w:rsidRPr="00A86F11">
        <w:t>temperature data at Yugama as evidence. However, this argument implicitly assumes that</w:t>
      </w:r>
      <w:r w:rsidR="007908A5" w:rsidRPr="00A86F11">
        <w:t xml:space="preserve"> </w:t>
      </w:r>
      <w:r w:rsidRPr="00A86F11">
        <w:rPr>
          <w:rFonts w:hint="eastAsia"/>
        </w:rPr>
        <w:t>“</w:t>
      </w:r>
      <w:r w:rsidRPr="00A86F11">
        <w:t>SBL captures volcanic tremor,” and this assumption itself has not been verified.</w:t>
      </w:r>
      <w:r w:rsidR="007908A5" w:rsidRPr="00A86F11">
        <w:t xml:space="preserve"> </w:t>
      </w:r>
      <w:r w:rsidRPr="00A86F11">
        <w:t>Consequently, reading the statement “Therefore, it is reasonable to consider that volcanic</w:t>
      </w:r>
      <w:r w:rsidR="007908A5" w:rsidRPr="00A86F11">
        <w:t xml:space="preserve"> </w:t>
      </w:r>
      <w:r w:rsidRPr="00A86F11">
        <w:t>vibration signals have been present throughout the entire period after Period-I” (lines 371–</w:t>
      </w:r>
      <w:r w:rsidR="007908A5" w:rsidRPr="00A86F11">
        <w:t xml:space="preserve"> </w:t>
      </w:r>
      <w:r w:rsidRPr="00A86F11">
        <w:t>373), it is unclear what makes this “reasonable.” The authors suggest continuous heat</w:t>
      </w:r>
      <w:r w:rsidR="007908A5" w:rsidRPr="00A86F11">
        <w:t xml:space="preserve"> </w:t>
      </w:r>
      <w:r w:rsidRPr="00A86F11">
        <w:t>supply to the shallow region from the fact that Yugama lake water temperature does not fall</w:t>
      </w:r>
      <w:r w:rsidR="007908A5" w:rsidRPr="00A86F11">
        <w:t xml:space="preserve"> </w:t>
      </w:r>
      <w:r w:rsidRPr="00A86F11">
        <w:t>below 0°C, but this fact alone is insufficient as a basis for interpreting SBL variations as</w:t>
      </w:r>
      <w:r w:rsidR="007908A5" w:rsidRPr="00A86F11">
        <w:t xml:space="preserve"> </w:t>
      </w:r>
      <w:r w:rsidRPr="00A86F11">
        <w:t>dominance of volcanic tremor. The explanation of what kind of vibration phenomenon SBL</w:t>
      </w:r>
      <w:r w:rsidR="007908A5" w:rsidRPr="00A86F11">
        <w:t xml:space="preserve"> </w:t>
      </w:r>
      <w:r w:rsidRPr="00A86F11">
        <w:t>represents and what physical process generates it is deferred to Section 5.3, where even</w:t>
      </w:r>
      <w:r w:rsidR="007908A5" w:rsidRPr="00A86F11">
        <w:t xml:space="preserve"> </w:t>
      </w:r>
      <w:r w:rsidRPr="00A86F11">
        <w:t>there, non-destructive processes in the shallow hydrothermal system are presented only as</w:t>
      </w:r>
      <w:r w:rsidR="007908A5" w:rsidRPr="00A86F11">
        <w:t xml:space="preserve"> </w:t>
      </w:r>
      <w:r w:rsidRPr="00A86F11">
        <w:t>a “plausible explanation.” Therefore, rather than asserting “reasonable” at the stage of</w:t>
      </w:r>
      <w:r w:rsidR="007908A5" w:rsidRPr="00A86F11">
        <w:t xml:space="preserve"> </w:t>
      </w:r>
      <w:r w:rsidRPr="00A86F11">
        <w:t>Section 5.1.2, the authors should either (</w:t>
      </w:r>
      <w:proofErr w:type="spellStart"/>
      <w:r w:rsidRPr="00A86F11">
        <w:t>i</w:t>
      </w:r>
      <w:proofErr w:type="spellEnd"/>
      <w:r w:rsidRPr="00A86F11">
        <w:t>) provide a brief explanation of the tremor</w:t>
      </w:r>
      <w:r w:rsidR="007908A5" w:rsidRPr="00A86F11">
        <w:t xml:space="preserve"> </w:t>
      </w:r>
      <w:r w:rsidRPr="00A86F11">
        <w:t>mechanism concept earlier, or (ii) weaken the expression to “may suggest” or “is consistent</w:t>
      </w:r>
      <w:r w:rsidR="007908A5" w:rsidRPr="00A86F11">
        <w:t xml:space="preserve"> </w:t>
      </w:r>
      <w:r w:rsidRPr="00A86F11">
        <w:t>with.” At the very least, it should be made explicit that there remains an interpretive leap</w:t>
      </w:r>
      <w:r w:rsidR="007908A5" w:rsidRPr="00A86F11">
        <w:t xml:space="preserve"> </w:t>
      </w:r>
      <w:r w:rsidRPr="00A86F11">
        <w:t>between the continuation of heat supply and the volcanic origin of SBL.</w:t>
      </w:r>
    </w:p>
    <w:p w14:paraId="6CCF89D5" w14:textId="77777777" w:rsidR="00DC3E92" w:rsidRPr="00A86F11" w:rsidRDefault="00DC3E92" w:rsidP="007C10A4"/>
    <w:p w14:paraId="65B5B48C" w14:textId="77777777" w:rsidR="009266A0" w:rsidRPr="00A86F11" w:rsidRDefault="009266A0" w:rsidP="009266A0">
      <w:pPr>
        <w:rPr>
          <w:b/>
          <w:bCs/>
        </w:rPr>
      </w:pPr>
      <w:r w:rsidRPr="00A86F11">
        <w:rPr>
          <w:rFonts w:hint="eastAsia"/>
          <w:b/>
          <w:bCs/>
        </w:rPr>
        <w:t>Response:</w:t>
      </w:r>
    </w:p>
    <w:p w14:paraId="30E729FE" w14:textId="77777777" w:rsidR="00D60E05" w:rsidRPr="00A86F11" w:rsidRDefault="00D60E05" w:rsidP="00D60E05">
      <w:r w:rsidRPr="00A86F11">
        <w:t>We thank the reviewer for this insightful comment.</w:t>
      </w:r>
    </w:p>
    <w:p w14:paraId="2F419208" w14:textId="0BB5F0AB" w:rsidR="00D60E05" w:rsidRPr="00A86F11" w:rsidRDefault="00D60E05" w:rsidP="00D60E05">
      <w:r w:rsidRPr="00A86F11">
        <w:t>We agree that the previous wording was too strong and could imply a circular interpretation of the origin of the SBL variations. In the revised manuscript, we have therefore weakened the relevant statements and revised the logical flow of Section 5.1.2</w:t>
      </w:r>
      <w:r w:rsidR="006E5BF9" w:rsidRPr="00A86F11">
        <w:rPr>
          <w:rFonts w:hint="eastAsia"/>
        </w:rPr>
        <w:t xml:space="preserve"> (</w:t>
      </w:r>
      <w:r w:rsidR="006E5BF9" w:rsidRPr="00A86F11">
        <w:t xml:space="preserve">lines </w:t>
      </w:r>
      <w:r w:rsidR="000D5012" w:rsidRPr="00A86F11">
        <w:rPr>
          <w:rFonts w:hint="eastAsia"/>
        </w:rPr>
        <w:t>387</w:t>
      </w:r>
      <w:r w:rsidR="00611F83" w:rsidRPr="00A86F11">
        <w:t>–</w:t>
      </w:r>
      <w:r w:rsidR="000D5012" w:rsidRPr="00A86F11">
        <w:rPr>
          <w:rFonts w:hint="eastAsia"/>
        </w:rPr>
        <w:t>405</w:t>
      </w:r>
      <w:r w:rsidR="006E5BF9" w:rsidRPr="00A86F11">
        <w:t xml:space="preserve"> in the revised manuscript</w:t>
      </w:r>
      <w:r w:rsidR="006E5BF9" w:rsidRPr="00A86F11">
        <w:rPr>
          <w:rFonts w:hint="eastAsia"/>
        </w:rPr>
        <w:t>)</w:t>
      </w:r>
      <w:r w:rsidRPr="00A86F11">
        <w:t>.</w:t>
      </w:r>
    </w:p>
    <w:p w14:paraId="72327E85" w14:textId="4FDD4D3F" w:rsidR="00D60E05" w:rsidRPr="00A86F11" w:rsidRDefault="00D60E05" w:rsidP="00D60E05">
      <w:r w:rsidRPr="00A86F11">
        <w:t>Specifically, we no longer state that volcanic vibration signals were continuously present throughout the period after Period I. Instead, we describe this more cautiously as SBL-related vibration signals that may have persisted during Periods I–III, while their amplitudes fluctuated over time. In support of this interpretation, we added the observation that the decrease in SBL during Period</w:t>
      </w:r>
      <w:r w:rsidRPr="00A86F11">
        <w:rPr>
          <w:rFonts w:hint="eastAsia"/>
        </w:rPr>
        <w:t xml:space="preserve"> II</w:t>
      </w:r>
      <w:r w:rsidRPr="00A86F11">
        <w:t xml:space="preserve"> was followed by a renewed increase in Period III without an intervening stable stage, and that the transition between Periods II and III corresponds to the lowest SBL level during Periods I–III.</w:t>
      </w:r>
    </w:p>
    <w:p w14:paraId="29AA4162" w14:textId="6C03903E" w:rsidR="00D60E05" w:rsidRPr="00A86F11" w:rsidRDefault="000117E0" w:rsidP="00D60E05">
      <w:r w:rsidRPr="00A86F11">
        <w:t xml:space="preserve">We also clarified that the crater-lake temperature observations are used only as supporting </w:t>
      </w:r>
      <w:r w:rsidRPr="00A86F11">
        <w:lastRenderedPageBreak/>
        <w:t>information for the persistence of heat contribution to the shallow region beneath Yugama, rather than as direct evidence for the volcanic origin of the SBL variations</w:t>
      </w:r>
      <w:r w:rsidRPr="00A86F11">
        <w:rPr>
          <w:rFonts w:hint="eastAsia"/>
        </w:rPr>
        <w:t>.</w:t>
      </w:r>
    </w:p>
    <w:p w14:paraId="4191D3A2" w14:textId="77777777" w:rsidR="009A6CC3" w:rsidRPr="00A86F11" w:rsidRDefault="009A6CC3" w:rsidP="00D60E05">
      <w:pPr>
        <w:rPr>
          <w:color w:val="EE0000"/>
        </w:rPr>
      </w:pPr>
    </w:p>
    <w:p w14:paraId="67AEAF83" w14:textId="77777777" w:rsidR="00D60E05" w:rsidRPr="00A86F11" w:rsidRDefault="00D60E05" w:rsidP="007C10A4">
      <w:pPr>
        <w:rPr>
          <w:color w:val="EE0000"/>
        </w:rPr>
      </w:pPr>
    </w:p>
    <w:p w14:paraId="7C910584" w14:textId="77777777" w:rsidR="00B468BF" w:rsidRPr="00A86F11" w:rsidRDefault="00B468BF">
      <w:pPr>
        <w:widowControl/>
        <w:jc w:val="left"/>
      </w:pPr>
      <w:r w:rsidRPr="00A86F11">
        <w:br w:type="page"/>
      </w:r>
    </w:p>
    <w:p w14:paraId="564CC369" w14:textId="28D4BB33" w:rsidR="00917973" w:rsidRPr="00A86F11" w:rsidRDefault="00752266" w:rsidP="00917973">
      <w:pPr>
        <w:rPr>
          <w:b/>
          <w:bCs/>
        </w:rPr>
      </w:pPr>
      <w:r w:rsidRPr="00A86F11">
        <w:rPr>
          <w:rFonts w:hint="eastAsia"/>
          <w:b/>
          <w:bCs/>
        </w:rPr>
        <w:lastRenderedPageBreak/>
        <w:t xml:space="preserve"> </w:t>
      </w:r>
      <w:r w:rsidR="00917973" w:rsidRPr="00A86F11">
        <w:rPr>
          <w:rFonts w:hint="eastAsia"/>
          <w:b/>
          <w:bCs/>
        </w:rPr>
        <w:t>[Comment 7]</w:t>
      </w:r>
    </w:p>
    <w:p w14:paraId="05D6B9BB" w14:textId="508DBAF9" w:rsidR="007C10A4" w:rsidRPr="00A86F11" w:rsidRDefault="007C10A4" w:rsidP="007C10A4">
      <w:r w:rsidRPr="00A86F11">
        <w:t>Lines 360–363: “Knowing that the ground deformations are of volcanic origin (Munekane</w:t>
      </w:r>
      <w:r w:rsidR="00AC7118" w:rsidRPr="00A86F11">
        <w:t xml:space="preserve"> </w:t>
      </w:r>
      <w:r w:rsidRPr="00A86F11">
        <w:t>2021; Terada et al. 2025), we interpret the observed relationship between the SBL and the</w:t>
      </w:r>
      <w:r w:rsidR="00AC7118" w:rsidRPr="00A86F11">
        <w:t xml:space="preserve"> </w:t>
      </w:r>
      <w:r w:rsidRPr="00A86F11">
        <w:t>deformation of the deep and shallow sources as indicative of the supply of volcanic fluids</w:t>
      </w:r>
      <w:r w:rsidR="00AC7118" w:rsidRPr="00A86F11">
        <w:t xml:space="preserve"> </w:t>
      </w:r>
      <w:r w:rsidRPr="00A86F11">
        <w:t>from deeper to shallower regions within the volcanic system.” This interpretation is the</w:t>
      </w:r>
      <w:r w:rsidR="00AC7118" w:rsidRPr="00A86F11">
        <w:t xml:space="preserve"> </w:t>
      </w:r>
      <w:r w:rsidRPr="00A86F11">
        <w:t>central claim of this paper, but the logical leap from the temporal correspondence between</w:t>
      </w:r>
      <w:r w:rsidR="00AC7118" w:rsidRPr="00A86F11">
        <w:t xml:space="preserve"> </w:t>
      </w:r>
      <w:r w:rsidRPr="00A86F11">
        <w:t>SBL increase and inflation of deformation sources to “fluid supply from deeper to shallower</w:t>
      </w:r>
      <w:r w:rsidR="00AC7118" w:rsidRPr="00A86F11">
        <w:t xml:space="preserve"> </w:t>
      </w:r>
      <w:r w:rsidRPr="00A86F11">
        <w:t>regions” is somewhat large. The SBL increase implies an increase in shallow vibrations, and</w:t>
      </w:r>
      <w:r w:rsidR="00AC7118" w:rsidRPr="00A86F11">
        <w:t xml:space="preserve"> </w:t>
      </w:r>
      <w:r w:rsidRPr="00A86F11">
        <w:t>inflation of the deep deformation source implies fluid accumulation at depth, but to conclude</w:t>
      </w:r>
      <w:r w:rsidR="00AC7118" w:rsidRPr="00A86F11">
        <w:t xml:space="preserve"> </w:t>
      </w:r>
      <w:r w:rsidRPr="00A86F11">
        <w:rPr>
          <w:rFonts w:hint="eastAsia"/>
        </w:rPr>
        <w:t>“</w:t>
      </w:r>
      <w:r w:rsidRPr="00A86F11">
        <w:t>deep-to-shallow fluid migration” from their co-occurrence, at least one of the following</w:t>
      </w:r>
      <w:r w:rsidR="00AC7118" w:rsidRPr="00A86F11">
        <w:t xml:space="preserve"> </w:t>
      </w:r>
      <w:r w:rsidRPr="00A86F11">
        <w:t>seems necessary:</w:t>
      </w:r>
    </w:p>
    <w:p w14:paraId="2650B1EA" w14:textId="09A2B0C9" w:rsidR="007C10A4" w:rsidRPr="00A86F11" w:rsidRDefault="007C10A4" w:rsidP="001536B3">
      <w:pPr>
        <w:ind w:leftChars="270" w:left="567"/>
      </w:pPr>
      <w:r w:rsidRPr="00A86F11">
        <w:t>(a) Confirmation of a temporal relationship where deep inflation precedes shallow</w:t>
      </w:r>
      <w:r w:rsidR="001536B3" w:rsidRPr="00A86F11">
        <w:t xml:space="preserve"> </w:t>
      </w:r>
      <w:r w:rsidRPr="00A86F11">
        <w:t>inflation</w:t>
      </w:r>
    </w:p>
    <w:p w14:paraId="4D9BC58D" w14:textId="53D0B96D" w:rsidR="007C10A4" w:rsidRPr="00A86F11" w:rsidRDefault="007C10A4" w:rsidP="001536B3">
      <w:pPr>
        <w:ind w:leftChars="270" w:left="567"/>
      </w:pPr>
      <w:r w:rsidRPr="00A86F11">
        <w:t>(b) Confirmation of a temporal relationship where SBL increases after the onset of deep</w:t>
      </w:r>
      <w:r w:rsidR="001536B3" w:rsidRPr="00A86F11">
        <w:t xml:space="preserve"> </w:t>
      </w:r>
      <w:r w:rsidRPr="00A86F11">
        <w:t>inflation</w:t>
      </w:r>
    </w:p>
    <w:p w14:paraId="468F8B6A" w14:textId="1FE00845" w:rsidR="007C10A4" w:rsidRPr="00A86F11" w:rsidRDefault="007C10A4" w:rsidP="007C10A4">
      <w:r w:rsidRPr="00A86F11">
        <w:t>For 2014, deep deformation (areal strain) precedes SBL (lines 326–327), which is</w:t>
      </w:r>
      <w:r w:rsidR="001536B3" w:rsidRPr="00A86F11">
        <w:t xml:space="preserve"> </w:t>
      </w:r>
      <w:r w:rsidRPr="00A86F11">
        <w:t>consistent. However, for 2018, SBL and deep deformation begin at approximately the same</w:t>
      </w:r>
      <w:r w:rsidR="001536B3" w:rsidRPr="00A86F11">
        <w:t xml:space="preserve"> </w:t>
      </w:r>
      <w:r w:rsidRPr="00A86F11">
        <w:t>time (lines 336–337), making the direction of causality somewhat unclear. A more cautious</w:t>
      </w:r>
      <w:r w:rsidR="001536B3" w:rsidRPr="00A86F11">
        <w:t xml:space="preserve"> </w:t>
      </w:r>
      <w:r w:rsidRPr="00A86F11">
        <w:t>discussion on this point would be desirable.</w:t>
      </w:r>
    </w:p>
    <w:p w14:paraId="7BD2C792" w14:textId="77777777" w:rsidR="00756BC1" w:rsidRPr="00A86F11" w:rsidRDefault="00756BC1" w:rsidP="007C10A4"/>
    <w:p w14:paraId="3A8CEE91" w14:textId="4BA8F529" w:rsidR="00D22323" w:rsidRPr="00A86F11" w:rsidRDefault="00D22323" w:rsidP="007C10A4">
      <w:pPr>
        <w:rPr>
          <w:b/>
          <w:bCs/>
        </w:rPr>
      </w:pPr>
      <w:r w:rsidRPr="00A86F11">
        <w:rPr>
          <w:rFonts w:hint="eastAsia"/>
          <w:b/>
          <w:bCs/>
        </w:rPr>
        <w:t>Response:</w:t>
      </w:r>
    </w:p>
    <w:p w14:paraId="544A5D68" w14:textId="77777777" w:rsidR="004058E2" w:rsidRPr="00A86F11" w:rsidRDefault="004058E2" w:rsidP="004058E2">
      <w:pPr>
        <w:widowControl/>
        <w:jc w:val="left"/>
      </w:pPr>
      <w:r w:rsidRPr="00A86F11">
        <w:t>We thank the reviewer for this important comment. We agree that the temporal correspondence between the SBL increase and deformation signals alone does not uniquely demonstrate deep-to-shallow fluid migration. We therefore substantially revised Section 5.1.1 to make this interpretation more cautious.</w:t>
      </w:r>
    </w:p>
    <w:p w14:paraId="241EC786" w14:textId="19DEF39A" w:rsidR="004058E2" w:rsidRPr="00A86F11" w:rsidRDefault="004058E2" w:rsidP="004058E2">
      <w:pPr>
        <w:widowControl/>
        <w:jc w:val="left"/>
      </w:pPr>
      <w:r w:rsidRPr="00A86F11">
        <w:t>Regarding point (a), the deep deformation preceded the shallow deformation during both the 2014 and 2018 unrest episodes</w:t>
      </w:r>
      <w:r w:rsidR="00287BBD" w:rsidRPr="00A86F11">
        <w:rPr>
          <w:rFonts w:hint="eastAsia"/>
        </w:rPr>
        <w:t xml:space="preserve"> (</w:t>
      </w:r>
      <w:r w:rsidR="00287BBD" w:rsidRPr="00A86F11">
        <w:t>lines 3</w:t>
      </w:r>
      <w:r w:rsidR="00B0191A" w:rsidRPr="00A86F11">
        <w:rPr>
          <w:rFonts w:hint="eastAsia"/>
        </w:rPr>
        <w:t>77</w:t>
      </w:r>
      <w:r w:rsidR="00287BBD" w:rsidRPr="00A86F11">
        <w:t>–3</w:t>
      </w:r>
      <w:r w:rsidR="00B0191A" w:rsidRPr="00A86F11">
        <w:rPr>
          <w:rFonts w:hint="eastAsia"/>
        </w:rPr>
        <w:t>84</w:t>
      </w:r>
      <w:r w:rsidR="00287BBD" w:rsidRPr="00A86F11">
        <w:t xml:space="preserve"> in the revised manuscript</w:t>
      </w:r>
      <w:r w:rsidR="0087452F" w:rsidRPr="00A86F11">
        <w:t xml:space="preserve">, Fig. S13 in </w:t>
      </w:r>
      <w:r w:rsidR="00192DDA" w:rsidRPr="00A86F11">
        <w:t>Supplementary Information</w:t>
      </w:r>
      <w:r w:rsidR="00287BBD" w:rsidRPr="00A86F11">
        <w:rPr>
          <w:rFonts w:hint="eastAsia"/>
        </w:rPr>
        <w:t>)</w:t>
      </w:r>
      <w:r w:rsidRPr="00A86F11">
        <w:t>. Regarding point (b), the deep deformation preceded the SBL increase in 2014</w:t>
      </w:r>
      <w:r w:rsidRPr="00A86F11">
        <w:rPr>
          <w:rFonts w:hint="eastAsia"/>
        </w:rPr>
        <w:t xml:space="preserve"> unrest</w:t>
      </w:r>
      <w:r w:rsidRPr="00A86F11">
        <w:t xml:space="preserve">, </w:t>
      </w:r>
      <w:r w:rsidR="00E23264" w:rsidRPr="00A86F11">
        <w:t>whereas the relative timing between the SBL increase and the deep deformation during the 2018 unrest is difficult to determine</w:t>
      </w:r>
      <w:r w:rsidR="00E23264" w:rsidRPr="00A86F11">
        <w:rPr>
          <w:rFonts w:hint="eastAsia"/>
        </w:rPr>
        <w:t xml:space="preserve"> </w:t>
      </w:r>
      <w:r w:rsidR="00E23264" w:rsidRPr="00A86F11">
        <w:t>(lines 3</w:t>
      </w:r>
      <w:r w:rsidR="00FA2758" w:rsidRPr="00A86F11">
        <w:rPr>
          <w:rFonts w:hint="eastAsia"/>
        </w:rPr>
        <w:t>23</w:t>
      </w:r>
      <w:r w:rsidR="00E23264" w:rsidRPr="00A86F11">
        <w:t>–3</w:t>
      </w:r>
      <w:r w:rsidR="00FA2758" w:rsidRPr="00A86F11">
        <w:rPr>
          <w:rFonts w:hint="eastAsia"/>
        </w:rPr>
        <w:t>26</w:t>
      </w:r>
      <w:r w:rsidR="00E23264" w:rsidRPr="00A86F11">
        <w:t xml:space="preserve"> in the revised manuscript).</w:t>
      </w:r>
    </w:p>
    <w:p w14:paraId="6A6DB3CA" w14:textId="7E142BA7" w:rsidR="00B468BF" w:rsidRPr="00A86F11" w:rsidRDefault="004058E2" w:rsidP="004058E2">
      <w:pPr>
        <w:widowControl/>
        <w:jc w:val="left"/>
      </w:pPr>
      <w:r w:rsidRPr="00A86F11">
        <w:t>Accordingly, we revised the manuscript to state that the SBL variations are related to volcanic activity based on their temporal correspondence with deformation and seismic activity. We also explicitly described the difference in the timing of the SBL changes between the 2014 and 2018 unrest episodes</w:t>
      </w:r>
      <w:r w:rsidR="006D3F46" w:rsidRPr="00A86F11">
        <w:rPr>
          <w:rFonts w:hint="eastAsia"/>
        </w:rPr>
        <w:t xml:space="preserve"> </w:t>
      </w:r>
      <w:r w:rsidR="006D3F46" w:rsidRPr="00A86F11">
        <w:t xml:space="preserve">(lines </w:t>
      </w:r>
      <w:r w:rsidR="001A30C2" w:rsidRPr="00A86F11">
        <w:rPr>
          <w:rFonts w:hint="eastAsia"/>
        </w:rPr>
        <w:t>38</w:t>
      </w:r>
      <w:r w:rsidR="006D3F46" w:rsidRPr="00A86F11">
        <w:t>1–</w:t>
      </w:r>
      <w:r w:rsidR="001A30C2" w:rsidRPr="00A86F11">
        <w:rPr>
          <w:rFonts w:hint="eastAsia"/>
        </w:rPr>
        <w:t>385</w:t>
      </w:r>
      <w:r w:rsidR="006D3F46" w:rsidRPr="00A86F11">
        <w:t xml:space="preserve"> in the revised manuscript)</w:t>
      </w:r>
      <w:r w:rsidRPr="00A86F11">
        <w:t>.</w:t>
      </w:r>
      <w:r w:rsidR="00B468BF" w:rsidRPr="00A86F11">
        <w:br w:type="page"/>
      </w:r>
    </w:p>
    <w:p w14:paraId="20D69C6E" w14:textId="16A0B7AB" w:rsidR="00917973" w:rsidRPr="00A86F11" w:rsidRDefault="00752266" w:rsidP="00917973">
      <w:pPr>
        <w:rPr>
          <w:b/>
          <w:bCs/>
        </w:rPr>
      </w:pPr>
      <w:r w:rsidRPr="00A86F11">
        <w:rPr>
          <w:rFonts w:hint="eastAsia"/>
          <w:b/>
          <w:bCs/>
        </w:rPr>
        <w:lastRenderedPageBreak/>
        <w:t xml:space="preserve"> </w:t>
      </w:r>
      <w:r w:rsidR="00917973" w:rsidRPr="00A86F11">
        <w:rPr>
          <w:rFonts w:hint="eastAsia"/>
          <w:b/>
          <w:bCs/>
        </w:rPr>
        <w:t>[Comment 8]</w:t>
      </w:r>
    </w:p>
    <w:p w14:paraId="4D41650D" w14:textId="6E834816" w:rsidR="007C10A4" w:rsidRPr="00A86F11" w:rsidRDefault="007C10A4" w:rsidP="007C10A4">
      <w:r w:rsidRPr="00A86F11">
        <w:t>The polarization analysis in Section 5.2.1 covers only the period December 2019–</w:t>
      </w:r>
      <w:r w:rsidR="00F37A10" w:rsidRPr="00A86F11">
        <w:t xml:space="preserve"> </w:t>
      </w:r>
      <w:r w:rsidRPr="00A86F11">
        <w:t>January 2020. Although this is a period of high SBL, no vibration source location estimation</w:t>
      </w:r>
      <w:r w:rsidR="00F37A10" w:rsidRPr="00A86F11">
        <w:t xml:space="preserve"> </w:t>
      </w:r>
      <w:r w:rsidRPr="00A86F11">
        <w:t>has been performed for the 2014 unrest period or non-unrest periods. Since Section 5.2.2</w:t>
      </w:r>
      <w:r w:rsidR="00F37A10" w:rsidRPr="00A86F11">
        <w:t xml:space="preserve"> </w:t>
      </w:r>
      <w:r w:rsidRPr="00A86F11">
        <w:t>discusses spatial migration of the vibration source based on changes in SBL ratios, it is</w:t>
      </w:r>
      <w:r w:rsidR="00F37A10" w:rsidRPr="00A86F11">
        <w:t xml:space="preserve"> </w:t>
      </w:r>
      <w:r w:rsidRPr="00A86F11">
        <w:t>important to also conduct polarization analysis for different periods and directly verify</w:t>
      </w:r>
      <w:r w:rsidR="00F37A10" w:rsidRPr="00A86F11">
        <w:t xml:space="preserve"> </w:t>
      </w:r>
      <w:r w:rsidRPr="00A86F11">
        <w:t>temporal changes in vibration source location. If results showing that the epicenter is not</w:t>
      </w:r>
      <w:r w:rsidR="00F37A10" w:rsidRPr="00A86F11">
        <w:t xml:space="preserve"> </w:t>
      </w:r>
      <w:r w:rsidRPr="00A86F11">
        <w:t>estimated near Yugama crater during non-unrest periods were obtained, this would support</w:t>
      </w:r>
      <w:r w:rsidR="00F37A10" w:rsidRPr="00A86F11">
        <w:t xml:space="preserve"> </w:t>
      </w:r>
      <w:r w:rsidRPr="00A86F11">
        <w:t>the authors’ claims. Additionally, verification that the Rayleigh wave assumption is valid (e.g.,</w:t>
      </w:r>
      <w:r w:rsidR="00F37A10" w:rsidRPr="00A86F11">
        <w:t xml:space="preserve"> </w:t>
      </w:r>
      <w:r w:rsidRPr="00A86F11">
        <w:t>confirmation of particle motion ellipticity) is needed.</w:t>
      </w:r>
    </w:p>
    <w:p w14:paraId="7366663F" w14:textId="77777777" w:rsidR="00641BDB" w:rsidRPr="00A86F11" w:rsidRDefault="00641BDB" w:rsidP="007C10A4"/>
    <w:p w14:paraId="467F627F" w14:textId="2BD2007C" w:rsidR="00641BDB" w:rsidRPr="00A86F11" w:rsidRDefault="00D22323" w:rsidP="007C10A4">
      <w:pPr>
        <w:rPr>
          <w:b/>
          <w:bCs/>
        </w:rPr>
      </w:pPr>
      <w:r w:rsidRPr="00A86F11">
        <w:rPr>
          <w:rFonts w:hint="eastAsia"/>
          <w:b/>
          <w:bCs/>
        </w:rPr>
        <w:t>Response:</w:t>
      </w:r>
    </w:p>
    <w:p w14:paraId="31BA1BF2" w14:textId="77777777" w:rsidR="00F35A51" w:rsidRPr="00A86F11" w:rsidRDefault="00F35A51" w:rsidP="00F35A51">
      <w:r w:rsidRPr="00A86F11">
        <w:t>We thank the reviewer for this valuable comment.</w:t>
      </w:r>
    </w:p>
    <w:p w14:paraId="5A695049" w14:textId="77777777" w:rsidR="00F35A51" w:rsidRPr="00A86F11" w:rsidRDefault="00F35A51" w:rsidP="00F35A51">
      <w:r w:rsidRPr="00A86F11">
        <w:t>We explored polarization analyses for additional periods, including unrest and non-unrest intervals. However, the results were not sufficiently stable to robustly track temporal changes in source location. In addition, together with the issues raised in Comments 9–13 regarding the interpretation of polarization results, the dominant wave type, and possible changes in wavefield composition, we reconsidered the role of the polarization analysis in this study.</w:t>
      </w:r>
    </w:p>
    <w:p w14:paraId="6B632016" w14:textId="106FFCED" w:rsidR="00F35A51" w:rsidRPr="00A86F11" w:rsidRDefault="00F35A51" w:rsidP="00F35A51">
      <w:r w:rsidRPr="00A86F11">
        <w:t>Accordingly, we revised Section 5.2 and repositioned the polarization analysis as a supplementary examination that provides qualitative constraints on the source region of the SBL vibrations rather than a principal basis for inferring temporal source migration</w:t>
      </w:r>
      <w:r w:rsidR="009733E2" w:rsidRPr="00A86F11">
        <w:rPr>
          <w:rFonts w:hint="eastAsia"/>
        </w:rPr>
        <w:t xml:space="preserve"> </w:t>
      </w:r>
      <w:r w:rsidR="009733E2" w:rsidRPr="00A86F11">
        <w:t xml:space="preserve">(lines </w:t>
      </w:r>
      <w:r w:rsidR="001A5D2A" w:rsidRPr="00A86F11">
        <w:t>4</w:t>
      </w:r>
      <w:r w:rsidR="001C2CDA" w:rsidRPr="00A86F11">
        <w:rPr>
          <w:rFonts w:hint="eastAsia"/>
        </w:rPr>
        <w:t>12</w:t>
      </w:r>
      <w:r w:rsidR="009733E2" w:rsidRPr="00A86F11">
        <w:t>-</w:t>
      </w:r>
      <w:r w:rsidR="001A5D2A" w:rsidRPr="00A86F11">
        <w:t>4</w:t>
      </w:r>
      <w:r w:rsidR="001C2CDA" w:rsidRPr="00A86F11">
        <w:rPr>
          <w:rFonts w:hint="eastAsia"/>
        </w:rPr>
        <w:t>14</w:t>
      </w:r>
      <w:r w:rsidR="009733E2" w:rsidRPr="00A86F11">
        <w:t xml:space="preserve"> in the revised manuscript)</w:t>
      </w:r>
      <w:r w:rsidRPr="00A86F11">
        <w:t>. We also revised Section 5.2 to clarify that source migration is only one possible interpretation of the observed changes in SBL ratios</w:t>
      </w:r>
      <w:r w:rsidR="00EC4DA7" w:rsidRPr="00A86F11">
        <w:rPr>
          <w:rFonts w:hint="eastAsia"/>
        </w:rPr>
        <w:t xml:space="preserve"> </w:t>
      </w:r>
      <w:r w:rsidR="00EC4DA7" w:rsidRPr="00A86F11">
        <w:t>(lines 4</w:t>
      </w:r>
      <w:r w:rsidR="0005673D" w:rsidRPr="00A86F11">
        <w:rPr>
          <w:rFonts w:hint="eastAsia"/>
        </w:rPr>
        <w:t>47</w:t>
      </w:r>
      <w:r w:rsidR="00611F83" w:rsidRPr="00A86F11">
        <w:t>–</w:t>
      </w:r>
      <w:r w:rsidR="00EC4DA7" w:rsidRPr="00A86F11">
        <w:t>4</w:t>
      </w:r>
      <w:r w:rsidR="0005673D" w:rsidRPr="00A86F11">
        <w:rPr>
          <w:rFonts w:hint="eastAsia"/>
        </w:rPr>
        <w:t>50</w:t>
      </w:r>
      <w:r w:rsidR="00EC4DA7" w:rsidRPr="00A86F11">
        <w:t xml:space="preserve"> in the revised manuscript)</w:t>
      </w:r>
      <w:r w:rsidRPr="00A86F11">
        <w:t>.</w:t>
      </w:r>
    </w:p>
    <w:p w14:paraId="389D6DCA" w14:textId="16DC1BF1" w:rsidR="00641BDB" w:rsidRPr="00A86F11" w:rsidRDefault="00F35A51" w:rsidP="00F35A51">
      <w:r w:rsidRPr="00A86F11">
        <w:t>In response to the reviewer’s comment regarding the Rayleigh-wave assumption, we additionally inspected particle motions for representative time windows. An example is provided in this response letter</w:t>
      </w:r>
      <w:r w:rsidR="00411749" w:rsidRPr="00A86F11">
        <w:rPr>
          <w:rFonts w:hint="eastAsia"/>
        </w:rPr>
        <w:t xml:space="preserve"> (Fig. R2</w:t>
      </w:r>
      <w:r w:rsidR="00063A89" w:rsidRPr="00A86F11">
        <w:rPr>
          <w:rFonts w:hint="eastAsia"/>
        </w:rPr>
        <w:t xml:space="preserve"> in this letter</w:t>
      </w:r>
      <w:r w:rsidR="00411749" w:rsidRPr="00A86F11">
        <w:rPr>
          <w:rFonts w:hint="eastAsia"/>
        </w:rPr>
        <w:t>)</w:t>
      </w:r>
      <w:r w:rsidRPr="00A86F11">
        <w:t>. Some windows exhibit retrograde elliptical motions qualitatively consistent with Rayleigh-wave-like surface waves. However, these observations are not sufficiently systematic to identify the dominant wave type throughout the study period and are therefore treated only as supplementary qualitative information.</w:t>
      </w:r>
    </w:p>
    <w:p w14:paraId="532A2D1E" w14:textId="4ED7BA61" w:rsidR="00A03F3B" w:rsidRPr="00A86F11" w:rsidRDefault="00A03F3B">
      <w:pPr>
        <w:widowControl/>
        <w:jc w:val="left"/>
      </w:pPr>
      <w:r w:rsidRPr="00A86F11">
        <w:br w:type="page"/>
      </w:r>
    </w:p>
    <w:p w14:paraId="0755C202" w14:textId="4587AE56" w:rsidR="002F3C73" w:rsidRPr="00A86F11" w:rsidRDefault="00C62186" w:rsidP="00312634">
      <w:r w:rsidRPr="00A86F11">
        <w:rPr>
          <w:noProof/>
        </w:rPr>
        <w:lastRenderedPageBreak/>
        <w:drawing>
          <wp:inline distT="0" distB="0" distL="0" distR="0" wp14:anchorId="0137F1BD" wp14:editId="2FB3B538">
            <wp:extent cx="5359388" cy="6773672"/>
            <wp:effectExtent l="0" t="0" r="0" b="8255"/>
            <wp:docPr id="1005645322"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645322" name="図 18"/>
                    <pic:cNvPicPr/>
                  </pic:nvPicPr>
                  <pic:blipFill>
                    <a:blip r:embed="rId8">
                      <a:extLst>
                        <a:ext uri="{28A0092B-C50C-407E-A947-70E740481C1C}">
                          <a14:useLocalDpi xmlns:a14="http://schemas.microsoft.com/office/drawing/2010/main" val="0"/>
                        </a:ext>
                      </a:extLst>
                    </a:blip>
                    <a:stretch>
                      <a:fillRect/>
                    </a:stretch>
                  </pic:blipFill>
                  <pic:spPr>
                    <a:xfrm>
                      <a:off x="0" y="0"/>
                      <a:ext cx="5359388" cy="6773672"/>
                    </a:xfrm>
                    <a:prstGeom prst="rect">
                      <a:avLst/>
                    </a:prstGeom>
                  </pic:spPr>
                </pic:pic>
              </a:graphicData>
            </a:graphic>
          </wp:inline>
        </w:drawing>
      </w:r>
    </w:p>
    <w:p w14:paraId="0E9FDA7A" w14:textId="16FA0E35" w:rsidR="0064626A" w:rsidRPr="00A86F11" w:rsidRDefault="0064626A" w:rsidP="0064626A">
      <w:r w:rsidRPr="00A86F11">
        <w:t xml:space="preserve">Figure </w:t>
      </w:r>
      <w:r w:rsidR="00667ADB" w:rsidRPr="00A86F11">
        <w:rPr>
          <w:rFonts w:hint="eastAsia"/>
        </w:rPr>
        <w:t>R</w:t>
      </w:r>
      <w:r w:rsidR="00E855C4" w:rsidRPr="00A86F11">
        <w:rPr>
          <w:rFonts w:hint="eastAsia"/>
        </w:rPr>
        <w:t>2</w:t>
      </w:r>
      <w:r w:rsidRPr="00A86F11">
        <w:t xml:space="preserve">. Waveforms and particle motions at KSE for a 10-s time window beginning at 19:29:30 JST on 2 January 2020. The seismic power in this time window corresponds to the 39.1st percentile of the analyzed windows. </w:t>
      </w:r>
    </w:p>
    <w:p w14:paraId="258D3032" w14:textId="77777777" w:rsidR="0064626A" w:rsidRPr="00A86F11" w:rsidRDefault="0064626A" w:rsidP="0064626A">
      <w:r w:rsidRPr="00A86F11">
        <w:t xml:space="preserve">(a) Stockwell transform of the vertical component. </w:t>
      </w:r>
    </w:p>
    <w:p w14:paraId="347EB8A5" w14:textId="77777777" w:rsidR="0064626A" w:rsidRPr="00A86F11" w:rsidRDefault="0064626A" w:rsidP="0064626A">
      <w:r w:rsidRPr="00A86F11">
        <w:t xml:space="preserve">(b–d) Waveforms of the vertical, north–south, and east–west components, respectively. Gray, blue, and red lines indicate the raw velocity waveform, the 3.5–7.0 Hz band-pass-filtered </w:t>
      </w:r>
      <w:r w:rsidRPr="00A86F11">
        <w:lastRenderedPageBreak/>
        <w:t xml:space="preserve">velocity waveform, and the displacement waveform obtained by integrating the band-pass-filtered velocity waveform, respectively. </w:t>
      </w:r>
    </w:p>
    <w:p w14:paraId="7C7E5A8B" w14:textId="77777777" w:rsidR="0064626A" w:rsidRPr="00A86F11" w:rsidRDefault="0064626A" w:rsidP="0064626A">
      <w:r w:rsidRPr="00A86F11">
        <w:t xml:space="preserve">(e, f) Radial and transverse components obtained by rotating the horizontal components using a back azimuth of 281.0°, which was estimated from the polarization analysis for this time window. The line colors are the same as in (b–d). </w:t>
      </w:r>
    </w:p>
    <w:p w14:paraId="11CC8191" w14:textId="17A5BAB2" w:rsidR="00C34C62" w:rsidRPr="00A86F11" w:rsidRDefault="0064626A" w:rsidP="0064626A">
      <w:r w:rsidRPr="00A86F11">
        <w:t>(g–</w:t>
      </w:r>
      <w:proofErr w:type="spellStart"/>
      <w:r w:rsidRPr="00A86F11">
        <w:t>i</w:t>
      </w:r>
      <w:proofErr w:type="spellEnd"/>
      <w:r w:rsidRPr="00A86F11">
        <w:t>) Particle motions in the radial–vertical, transverse–radial, and transverse–vertical planes, respectively. The particle motions were calculated from the displacement waveforms obtained by integrating the 3.5–7.0 Hz band-pass-filtered velocity waveforms.</w:t>
      </w:r>
      <w:r w:rsidR="001F5E7C" w:rsidRPr="00A86F11">
        <w:rPr>
          <w:rFonts w:hint="eastAsia"/>
        </w:rPr>
        <w:t xml:space="preserve"> </w:t>
      </w:r>
      <w:r w:rsidR="001F5E7C" w:rsidRPr="00A86F11">
        <w:t xml:space="preserve">The red dots represent the start points of each </w:t>
      </w:r>
      <w:r w:rsidR="00721D35" w:rsidRPr="00A86F11">
        <w:rPr>
          <w:rFonts w:hint="eastAsia"/>
        </w:rPr>
        <w:t>window</w:t>
      </w:r>
      <w:r w:rsidR="001F5E7C" w:rsidRPr="00A86F11">
        <w:t>.</w:t>
      </w:r>
    </w:p>
    <w:p w14:paraId="47801FC9" w14:textId="77777777" w:rsidR="00C34C62" w:rsidRPr="00A86F11" w:rsidRDefault="00C34C62" w:rsidP="00312634">
      <w:pPr>
        <w:rPr>
          <w:color w:val="EE0000"/>
        </w:rPr>
      </w:pPr>
    </w:p>
    <w:p w14:paraId="7E25E1E5" w14:textId="456147BD" w:rsidR="00B468BF" w:rsidRPr="00A86F11" w:rsidRDefault="00B468BF" w:rsidP="00312634">
      <w:r w:rsidRPr="00A86F11">
        <w:br w:type="page"/>
      </w:r>
    </w:p>
    <w:p w14:paraId="7CA85D42" w14:textId="5F7B9510" w:rsidR="00917973" w:rsidRPr="00A86F11" w:rsidRDefault="00752266" w:rsidP="00917973">
      <w:pPr>
        <w:rPr>
          <w:b/>
          <w:bCs/>
        </w:rPr>
      </w:pPr>
      <w:r w:rsidRPr="00A86F11">
        <w:rPr>
          <w:rFonts w:hint="eastAsia"/>
          <w:b/>
          <w:bCs/>
        </w:rPr>
        <w:lastRenderedPageBreak/>
        <w:t xml:space="preserve"> </w:t>
      </w:r>
      <w:r w:rsidR="00917973" w:rsidRPr="00A86F11">
        <w:rPr>
          <w:rFonts w:hint="eastAsia"/>
          <w:b/>
          <w:bCs/>
        </w:rPr>
        <w:t>[Comment 9]</w:t>
      </w:r>
    </w:p>
    <w:p w14:paraId="1D6E24EE" w14:textId="5100FC38" w:rsidR="007C10A4" w:rsidRPr="00A86F11" w:rsidRDefault="007C10A4" w:rsidP="007C10A4">
      <w:r w:rsidRPr="00A86F11">
        <w:t>The polarization analysis (Section 5.2.1 and Appendix B) is technically carefully</w:t>
      </w:r>
      <w:r w:rsidR="0031383B" w:rsidRPr="00A86F11">
        <w:t xml:space="preserve"> </w:t>
      </w:r>
      <w:r w:rsidRPr="00A86F11">
        <w:t>conducted, but its role within the main line of argument in this paper is unclear. Specifically,</w:t>
      </w:r>
      <w:r w:rsidR="0031383B" w:rsidRPr="00A86F11">
        <w:t xml:space="preserve"> </w:t>
      </w:r>
      <w:r w:rsidRPr="00A86F11">
        <w:t>the following points are of concern.</w:t>
      </w:r>
    </w:p>
    <w:p w14:paraId="5DA7A7A6" w14:textId="20EDB7A0" w:rsidR="007C10A4" w:rsidRPr="00A86F11" w:rsidRDefault="007C10A4" w:rsidP="00B81242">
      <w:pPr>
        <w:ind w:leftChars="270" w:left="567"/>
      </w:pPr>
      <w:r w:rsidRPr="00A86F11">
        <w:t>First, the polarization analysis covers only a two-month period from December 2019 to</w:t>
      </w:r>
      <w:r w:rsidR="0031383B" w:rsidRPr="00A86F11">
        <w:t xml:space="preserve"> </w:t>
      </w:r>
      <w:r w:rsidRPr="00A86F11">
        <w:t>January 2020, which is a large discrepancy from the 20-year time scale addressed in</w:t>
      </w:r>
      <w:r w:rsidR="0031383B" w:rsidRPr="00A86F11">
        <w:t xml:space="preserve"> </w:t>
      </w:r>
      <w:r w:rsidRPr="00A86F11">
        <w:t>this paper. How these analysis results contribute to the interpretation of long-term SBL</w:t>
      </w:r>
      <w:r w:rsidR="0031383B" w:rsidRPr="00A86F11">
        <w:t xml:space="preserve"> </w:t>
      </w:r>
      <w:r w:rsidRPr="00A86F11">
        <w:t>variations is not adequately explained.</w:t>
      </w:r>
    </w:p>
    <w:p w14:paraId="2C948F74" w14:textId="4553BEB1" w:rsidR="007C10A4" w:rsidRPr="00A86F11" w:rsidRDefault="007C10A4" w:rsidP="00B81242">
      <w:pPr>
        <w:ind w:leftChars="270" w:left="567"/>
      </w:pPr>
      <w:r w:rsidRPr="00A86F11">
        <w:t>Second, the main conclusion of the polarization analysis is that “the SBL vibration</w:t>
      </w:r>
      <w:r w:rsidR="0031383B" w:rsidRPr="00A86F11">
        <w:t xml:space="preserve"> </w:t>
      </w:r>
      <w:r w:rsidRPr="00A86F11">
        <w:t>source is located at shallow depth near the Yugama crater.” However, this can already</w:t>
      </w:r>
      <w:r w:rsidR="0031383B" w:rsidRPr="00A86F11">
        <w:t xml:space="preserve"> </w:t>
      </w:r>
      <w:r w:rsidRPr="00A86F11">
        <w:t>be inferred to some extent from the nature of SBL (commonly observed at multiple</w:t>
      </w:r>
      <w:r w:rsidR="0031383B" w:rsidRPr="00A86F11">
        <w:t xml:space="preserve"> </w:t>
      </w:r>
      <w:r w:rsidRPr="00A86F11">
        <w:t>nearby stations, larger amplitude at stations near the crater), and it is not an essentially</w:t>
      </w:r>
      <w:r w:rsidR="0031383B" w:rsidRPr="00A86F11">
        <w:t xml:space="preserve"> </w:t>
      </w:r>
      <w:r w:rsidRPr="00A86F11">
        <w:t>new finding that could not be obtained without polarization analysis. Presumably, the</w:t>
      </w:r>
      <w:r w:rsidR="0031383B" w:rsidRPr="00A86F11">
        <w:t xml:space="preserve"> </w:t>
      </w:r>
      <w:r w:rsidRPr="00A86F11">
        <w:t>logic is that Rayleigh waves are surface waves requiring a shallow source for excitation,</w:t>
      </w:r>
      <w:r w:rsidR="0031383B" w:rsidRPr="00A86F11">
        <w:t xml:space="preserve"> </w:t>
      </w:r>
      <w:r w:rsidRPr="00A86F11">
        <w:t>and that the observation of Rayleigh waves at short distances (where body waves</w:t>
      </w:r>
      <w:r w:rsidR="0031383B" w:rsidRPr="00A86F11">
        <w:t xml:space="preserve"> </w:t>
      </w:r>
      <w:r w:rsidRPr="00A86F11">
        <w:t>would typically dominate) suggests a shallow source that efficiently excites surface</w:t>
      </w:r>
      <w:r w:rsidR="0031383B" w:rsidRPr="00A86F11">
        <w:t xml:space="preserve"> </w:t>
      </w:r>
      <w:r w:rsidRPr="00A86F11">
        <w:t>waves, but this is not explicitly stated.</w:t>
      </w:r>
    </w:p>
    <w:p w14:paraId="5E9C003D" w14:textId="12F8D277" w:rsidR="007C10A4" w:rsidRPr="00A86F11" w:rsidRDefault="007C10A4" w:rsidP="00B81242">
      <w:pPr>
        <w:ind w:leftChars="270" w:left="567"/>
      </w:pPr>
      <w:r w:rsidRPr="00A86F11">
        <w:t>Third, in Section 5.2.2, the discussion of spatial differences in vibration source location</w:t>
      </w:r>
      <w:r w:rsidR="0031383B" w:rsidRPr="00A86F11">
        <w:t xml:space="preserve"> </w:t>
      </w:r>
      <w:r w:rsidRPr="00A86F11">
        <w:t>between the 2014 and 2018 unrest is based primarily on the hypocenter distribution of</w:t>
      </w:r>
      <w:r w:rsidR="0031383B" w:rsidRPr="00A86F11">
        <w:t xml:space="preserve"> </w:t>
      </w:r>
      <w:r w:rsidRPr="00A86F11">
        <w:t>high-frequency earthquakes and the thermal demagnetization source estimates of</w:t>
      </w:r>
      <w:r w:rsidR="0031383B" w:rsidRPr="00A86F11">
        <w:t xml:space="preserve"> </w:t>
      </w:r>
      <w:r w:rsidRPr="00A86F11">
        <w:t>Kanda et al. (2025), rather than on the polarization analysis results themselves. If</w:t>
      </w:r>
      <w:r w:rsidR="0031383B" w:rsidRPr="00A86F11">
        <w:t xml:space="preserve"> </w:t>
      </w:r>
      <w:r w:rsidRPr="00A86F11">
        <w:t>polarization analysis had been conducted for different periods, it could have served as</w:t>
      </w:r>
      <w:r w:rsidR="0031383B" w:rsidRPr="00A86F11">
        <w:t xml:space="preserve"> </w:t>
      </w:r>
      <w:r w:rsidRPr="00A86F11">
        <w:t>powerful direct evidence showing temporal changes in vibration source location, but as</w:t>
      </w:r>
      <w:r w:rsidR="0031383B" w:rsidRPr="00A86F11">
        <w:t xml:space="preserve"> </w:t>
      </w:r>
      <w:r w:rsidRPr="00A86F11">
        <w:t>it stands, the inference remains indirect.</w:t>
      </w:r>
    </w:p>
    <w:p w14:paraId="21C1FE4D" w14:textId="77777777" w:rsidR="007C10A4" w:rsidRPr="00A86F11" w:rsidRDefault="007C10A4" w:rsidP="007C10A4">
      <w:r w:rsidRPr="00A86F11">
        <w:t>Considering the above, I would like the authors to consider one of the following responses:</w:t>
      </w:r>
    </w:p>
    <w:p w14:paraId="74987269" w14:textId="136CFFBF" w:rsidR="007C10A4" w:rsidRPr="00A86F11" w:rsidRDefault="007C10A4" w:rsidP="007C10A4">
      <w:r w:rsidRPr="00A86F11">
        <w:t>(a) Apply polarization analysis also to the 2014 and 2018 unrest periods, directly</w:t>
      </w:r>
      <w:r w:rsidR="00B81242" w:rsidRPr="00A86F11">
        <w:t xml:space="preserve"> </w:t>
      </w:r>
      <w:r w:rsidRPr="00A86F11">
        <w:t>demonstrating temporal changes in vibration source location. This would substantially</w:t>
      </w:r>
      <w:r w:rsidR="00B81242" w:rsidRPr="00A86F11">
        <w:t xml:space="preserve"> </w:t>
      </w:r>
      <w:r w:rsidRPr="00A86F11">
        <w:t>strengthen the discussion in Section 5.2.2 on SBL ratio variations. (b) Alternatively, clearly</w:t>
      </w:r>
    </w:p>
    <w:p w14:paraId="58BA43D1" w14:textId="2203861D" w:rsidR="007C10A4" w:rsidRPr="00A86F11" w:rsidRDefault="007C10A4" w:rsidP="007C10A4">
      <w:r w:rsidRPr="00A86F11">
        <w:t>position the polarization analysis as a preliminary examination to confirm the basic</w:t>
      </w:r>
      <w:r w:rsidR="00B81242" w:rsidRPr="00A86F11">
        <w:t xml:space="preserve"> </w:t>
      </w:r>
      <w:r w:rsidRPr="00A86F11">
        <w:t>characteristics of the SBL vibration source (shallow, near-crater), and indicate to readers</w:t>
      </w:r>
      <w:r w:rsidR="00B81242" w:rsidRPr="00A86F11">
        <w:t xml:space="preserve"> </w:t>
      </w:r>
      <w:r w:rsidRPr="00A86F11">
        <w:t>that it is supplementary information somewhat independent of the main argument. Currently,</w:t>
      </w:r>
      <w:r w:rsidR="00B81242" w:rsidRPr="00A86F11">
        <w:t xml:space="preserve"> </w:t>
      </w:r>
      <w:r w:rsidRPr="00A86F11">
        <w:t>the polarization analysis appears positioned as one of the pillars supporting the main</w:t>
      </w:r>
      <w:r w:rsidR="00B81242" w:rsidRPr="00A86F11">
        <w:t xml:space="preserve"> </w:t>
      </w:r>
      <w:r w:rsidRPr="00A86F11">
        <w:t>conclusions, but relative to this expectation, the scope of the analysis is limited, creating a</w:t>
      </w:r>
      <w:r w:rsidR="00B81242" w:rsidRPr="00A86F11">
        <w:t xml:space="preserve"> </w:t>
      </w:r>
      <w:r w:rsidRPr="00A86F11">
        <w:t>gap between expectation and content.</w:t>
      </w:r>
    </w:p>
    <w:p w14:paraId="595F4F34" w14:textId="77777777" w:rsidR="00EF31A4" w:rsidRPr="00A86F11" w:rsidRDefault="00EF31A4" w:rsidP="006A611E">
      <w:pPr>
        <w:rPr>
          <w:color w:val="0000FF"/>
        </w:rPr>
      </w:pPr>
    </w:p>
    <w:p w14:paraId="78C53CCC" w14:textId="77777777" w:rsidR="000147D8" w:rsidRPr="00A86F11" w:rsidRDefault="000147D8">
      <w:pPr>
        <w:widowControl/>
        <w:jc w:val="left"/>
        <w:rPr>
          <w:color w:val="EE0000"/>
        </w:rPr>
      </w:pPr>
      <w:r w:rsidRPr="00A86F11">
        <w:rPr>
          <w:color w:val="EE0000"/>
        </w:rPr>
        <w:br w:type="page"/>
      </w:r>
    </w:p>
    <w:p w14:paraId="0F884665" w14:textId="6E2E1414" w:rsidR="00D22323" w:rsidRPr="00A86F11" w:rsidRDefault="00D22323" w:rsidP="006A611E">
      <w:pPr>
        <w:rPr>
          <w:b/>
          <w:bCs/>
        </w:rPr>
      </w:pPr>
      <w:r w:rsidRPr="00A86F11">
        <w:rPr>
          <w:rFonts w:hint="eastAsia"/>
          <w:b/>
          <w:bCs/>
        </w:rPr>
        <w:lastRenderedPageBreak/>
        <w:t>Response:</w:t>
      </w:r>
    </w:p>
    <w:p w14:paraId="1FD6A225" w14:textId="77777777" w:rsidR="00E27416" w:rsidRPr="00A86F11" w:rsidRDefault="00E27416" w:rsidP="00E27416">
      <w:pPr>
        <w:widowControl/>
        <w:jc w:val="left"/>
      </w:pPr>
      <w:r w:rsidRPr="00A86F11">
        <w:t>We thank the reviewer for this thoughtful comment.</w:t>
      </w:r>
    </w:p>
    <w:p w14:paraId="5FCD187D" w14:textId="65B09BCB" w:rsidR="00330530" w:rsidRPr="00A86F11" w:rsidRDefault="00E27416" w:rsidP="00E27416">
      <w:pPr>
        <w:widowControl/>
        <w:jc w:val="left"/>
      </w:pPr>
      <w:r w:rsidRPr="00A86F11">
        <w:t xml:space="preserve">We agree that the role of the polarization analysis was not sufficiently clear in the original manuscript. </w:t>
      </w:r>
      <w:r w:rsidR="00330530" w:rsidRPr="00A86F11">
        <w:t>We also explored polarization analyses for additional periods, including the 2014 unrest and non-unrest interval. However, the results were not sufficiently stable to robustly track temporal variations in source location.</w:t>
      </w:r>
      <w:r w:rsidR="00330530" w:rsidRPr="00A86F11">
        <w:rPr>
          <w:rFonts w:hint="eastAsia"/>
        </w:rPr>
        <w:t xml:space="preserve"> </w:t>
      </w:r>
      <w:r w:rsidR="00330530" w:rsidRPr="00A86F11">
        <w:t>Therefore, we adopted the reviewer’s suggested approach (b) and repositioned the polarization analysis as a preliminary and supplementary examination of the basic characteristics of the SBL vibration source.</w:t>
      </w:r>
    </w:p>
    <w:p w14:paraId="44CB0558" w14:textId="3735247A" w:rsidR="00E27416" w:rsidRPr="00A86F11" w:rsidRDefault="00E27416" w:rsidP="00E27416">
      <w:pPr>
        <w:widowControl/>
        <w:jc w:val="left"/>
      </w:pPr>
      <w:r w:rsidRPr="00A86F11">
        <w:t xml:space="preserve">In response to this comment, as well as related comments (Comments 8 and 10–13), we substantially revised Section 5.2 </w:t>
      </w:r>
      <w:r w:rsidR="00E41B27" w:rsidRPr="00A86F11">
        <w:t>(lines 4</w:t>
      </w:r>
      <w:r w:rsidR="001B6C55" w:rsidRPr="00A86F11">
        <w:rPr>
          <w:rFonts w:hint="eastAsia"/>
        </w:rPr>
        <w:t>23</w:t>
      </w:r>
      <w:r w:rsidR="00611F83" w:rsidRPr="00A86F11">
        <w:t>–</w:t>
      </w:r>
      <w:r w:rsidR="00E41B27" w:rsidRPr="00A86F11">
        <w:t>4</w:t>
      </w:r>
      <w:r w:rsidR="001B6C55" w:rsidRPr="00A86F11">
        <w:rPr>
          <w:rFonts w:hint="eastAsia"/>
        </w:rPr>
        <w:t>24</w:t>
      </w:r>
      <w:r w:rsidR="00E41B27" w:rsidRPr="00A86F11">
        <w:t xml:space="preserve"> in the revised manuscript)</w:t>
      </w:r>
      <w:r w:rsidRPr="00A86F11">
        <w:t xml:space="preserve">. Specifically, the analysis supports the interpretation that </w:t>
      </w:r>
      <w:r w:rsidR="00E41B27" w:rsidRPr="00A86F11">
        <w:t>the source region of the SBL vibrations is located around the Yugama crater</w:t>
      </w:r>
      <w:r w:rsidRPr="00A86F11">
        <w:t xml:space="preserve"> and may be associated with a relatively shallow source if the dominant signals are interpreted as Rayleigh-wave-like surface waves. </w:t>
      </w:r>
      <w:r w:rsidR="00A26089" w:rsidRPr="00A86F11">
        <w:rPr>
          <w:rFonts w:hint="eastAsia"/>
        </w:rPr>
        <w:t>And</w:t>
      </w:r>
      <w:r w:rsidRPr="00A86F11">
        <w:t>, we now explicitly state that the analysis does not uniquely constrain the dominant wave type, the precise source location</w:t>
      </w:r>
      <w:r w:rsidR="00A26089" w:rsidRPr="00A86F11">
        <w:rPr>
          <w:rFonts w:hint="eastAsia"/>
        </w:rPr>
        <w:t xml:space="preserve"> </w:t>
      </w:r>
      <w:r w:rsidR="00A26089" w:rsidRPr="00A86F11">
        <w:t>(lines 4</w:t>
      </w:r>
      <w:r w:rsidR="001B6C55" w:rsidRPr="00A86F11">
        <w:rPr>
          <w:rFonts w:hint="eastAsia"/>
        </w:rPr>
        <w:t>25</w:t>
      </w:r>
      <w:r w:rsidR="00611F83" w:rsidRPr="00A86F11">
        <w:t>–</w:t>
      </w:r>
      <w:r w:rsidR="00A26089" w:rsidRPr="00A86F11">
        <w:t>4</w:t>
      </w:r>
      <w:r w:rsidR="001B6C55" w:rsidRPr="00A86F11">
        <w:rPr>
          <w:rFonts w:hint="eastAsia"/>
        </w:rPr>
        <w:t>27</w:t>
      </w:r>
      <w:r w:rsidR="00A26089" w:rsidRPr="00A86F11">
        <w:t xml:space="preserve"> in the revised manuscript)</w:t>
      </w:r>
      <w:r w:rsidRPr="00A86F11">
        <w:t>.</w:t>
      </w:r>
    </w:p>
    <w:p w14:paraId="519D04C0" w14:textId="72144D92" w:rsidR="00E27416" w:rsidRPr="00A86F11" w:rsidRDefault="00E27416" w:rsidP="00E27416">
      <w:pPr>
        <w:widowControl/>
        <w:jc w:val="left"/>
      </w:pPr>
      <w:r w:rsidRPr="00A86F11">
        <w:t>Accordingly, the discussion of SBL ratio variations has also been revised. Rather than treating source migration as a conclusion supported by the polarization analysis, we now present it as one possible interpretation of the observations, together with alternative explanations involving changes in source depth, radiation characteristics, or wavefield composition</w:t>
      </w:r>
      <w:r w:rsidR="007B4A9D" w:rsidRPr="00A86F11">
        <w:rPr>
          <w:rFonts w:hint="eastAsia"/>
        </w:rPr>
        <w:t xml:space="preserve"> </w:t>
      </w:r>
      <w:r w:rsidR="007B4A9D" w:rsidRPr="00A86F11">
        <w:t>(lines 4</w:t>
      </w:r>
      <w:r w:rsidR="00DE19A5" w:rsidRPr="00A86F11">
        <w:rPr>
          <w:rFonts w:hint="eastAsia"/>
        </w:rPr>
        <w:t>47</w:t>
      </w:r>
      <w:r w:rsidR="00611F83" w:rsidRPr="00A86F11">
        <w:t>–</w:t>
      </w:r>
      <w:r w:rsidR="007D7F38" w:rsidRPr="00A86F11">
        <w:t>4</w:t>
      </w:r>
      <w:r w:rsidR="00DE19A5" w:rsidRPr="00A86F11">
        <w:rPr>
          <w:rFonts w:hint="eastAsia"/>
        </w:rPr>
        <w:t>50</w:t>
      </w:r>
      <w:r w:rsidR="007B4A9D" w:rsidRPr="00A86F11">
        <w:t xml:space="preserve"> in the revised manuscript)</w:t>
      </w:r>
      <w:r w:rsidRPr="00A86F11">
        <w:t>.</w:t>
      </w:r>
    </w:p>
    <w:p w14:paraId="65469254" w14:textId="3FD937D6" w:rsidR="00B468BF" w:rsidRPr="00A86F11" w:rsidRDefault="00B468BF" w:rsidP="00E27416">
      <w:pPr>
        <w:widowControl/>
        <w:jc w:val="left"/>
      </w:pPr>
      <w:r w:rsidRPr="00A86F11">
        <w:br w:type="page"/>
      </w:r>
    </w:p>
    <w:p w14:paraId="2866FFF3" w14:textId="4A264A9C" w:rsidR="00917973" w:rsidRPr="00A86F11" w:rsidRDefault="00752266" w:rsidP="00917973">
      <w:pPr>
        <w:rPr>
          <w:b/>
          <w:bCs/>
        </w:rPr>
      </w:pPr>
      <w:r w:rsidRPr="00A86F11">
        <w:rPr>
          <w:rFonts w:hint="eastAsia"/>
          <w:b/>
          <w:bCs/>
        </w:rPr>
        <w:lastRenderedPageBreak/>
        <w:t xml:space="preserve"> </w:t>
      </w:r>
      <w:r w:rsidR="00917973" w:rsidRPr="00A86F11">
        <w:rPr>
          <w:rFonts w:hint="eastAsia"/>
          <w:b/>
          <w:bCs/>
        </w:rPr>
        <w:t>[Comment 10]</w:t>
      </w:r>
    </w:p>
    <w:p w14:paraId="5395A041" w14:textId="20D6AD7E" w:rsidR="007C10A4" w:rsidRPr="00A86F11" w:rsidRDefault="007C10A4" w:rsidP="007C10A4">
      <w:r w:rsidRPr="00A86F11">
        <w:t>In the 3.5–7.0 Hz band used for SBL calculation, based on rough estimates using</w:t>
      </w:r>
      <w:r w:rsidR="00542340" w:rsidRPr="00A86F11">
        <w:t xml:space="preserve"> </w:t>
      </w:r>
      <w:r w:rsidRPr="00A86F11">
        <w:t>assumed shallow phase velocities (approximately 500–1500 m/s), the depth at which the</w:t>
      </w:r>
      <w:r w:rsidR="00542340" w:rsidRPr="00A86F11">
        <w:t xml:space="preserve"> </w:t>
      </w:r>
      <w:r w:rsidRPr="00A86F11">
        <w:t>particle motion of the fundamental-mode Rayleigh wave transitions from retrograde to</w:t>
      </w:r>
      <w:r w:rsidR="00542340" w:rsidRPr="00A86F11">
        <w:t xml:space="preserve"> </w:t>
      </w:r>
      <w:r w:rsidRPr="00A86F11">
        <w:t>prograde (hereinafter referred to as the “crossover depth”) is estimated to be on the order of</w:t>
      </w:r>
      <w:r w:rsidR="00542340" w:rsidRPr="00A86F11">
        <w:t xml:space="preserve"> </w:t>
      </w:r>
      <w:r w:rsidRPr="00A86F11">
        <w:t>several tens of meters (~λ/5). In contrast, the installation depths of KSW (220 m), KSS (110</w:t>
      </w:r>
      <w:r w:rsidR="00542340" w:rsidRPr="00A86F11">
        <w:t xml:space="preserve"> </w:t>
      </w:r>
      <w:r w:rsidRPr="00A86F11">
        <w:t>m), and KSAO (95 m) are considerably larger, and KSW in particular is likely to exceed this</w:t>
      </w:r>
    </w:p>
    <w:p w14:paraId="2E31CA56" w14:textId="77777777" w:rsidR="007C10A4" w:rsidRPr="00A86F11" w:rsidRDefault="007C10A4" w:rsidP="007C10A4">
      <w:r w:rsidRPr="00A86F11">
        <w:t>depth for much of the target frequency band. The following concerns arise:</w:t>
      </w:r>
    </w:p>
    <w:p w14:paraId="668EC163" w14:textId="3E3133A3" w:rsidR="007C10A4" w:rsidRPr="00A86F11" w:rsidRDefault="007C10A4" w:rsidP="00542340">
      <w:pPr>
        <w:ind w:leftChars="270" w:left="567"/>
      </w:pPr>
      <w:r w:rsidRPr="00A86F11">
        <w:t>First, the reliability of the polarization analysis results (Section 5.2.1 and Appendix B). If</w:t>
      </w:r>
      <w:r w:rsidR="00542340" w:rsidRPr="00A86F11">
        <w:t xml:space="preserve"> </w:t>
      </w:r>
      <w:r w:rsidRPr="00A86F11">
        <w:t>azimuthal estimation assuming retrograde polarization is applied to data from stations</w:t>
      </w:r>
      <w:r w:rsidR="00542340" w:rsidRPr="00A86F11">
        <w:t xml:space="preserve"> </w:t>
      </w:r>
      <w:r w:rsidRPr="00A86F11">
        <w:t>beyond the crossover depth, systematic errors are expected. Indeed, looking at Figure</w:t>
      </w:r>
      <w:r w:rsidR="00542340" w:rsidRPr="00A86F11">
        <w:t xml:space="preserve"> </w:t>
      </w:r>
      <w:r w:rsidRPr="00A86F11">
        <w:t>B2, the estimation results for KSW appear to deviate from Yugama crater.</w:t>
      </w:r>
    </w:p>
    <w:p w14:paraId="47D24B67" w14:textId="08D8E0EB" w:rsidR="007C10A4" w:rsidRPr="00A86F11" w:rsidRDefault="007C10A4" w:rsidP="00542340">
      <w:pPr>
        <w:ind w:leftChars="270" w:left="567"/>
      </w:pPr>
      <w:r w:rsidRPr="00A86F11">
        <w:t>Second, the physical interpretation of SBL ratios (Sections 4.1.2 and 5.2.2). At stations</w:t>
      </w:r>
      <w:r w:rsidR="00542340" w:rsidRPr="00A86F11">
        <w:t xml:space="preserve"> </w:t>
      </w:r>
      <w:r w:rsidRPr="00A86F11">
        <w:t>beyond the crossover depth and particle motion changes from retrograde to prograde.</w:t>
      </w:r>
      <w:r w:rsidR="00542340" w:rsidRPr="00A86F11">
        <w:t xml:space="preserve"> </w:t>
      </w:r>
      <w:r w:rsidRPr="00A86F11">
        <w:t>Furthermore, Rayleigh wave amplitude generally attenuates with depth. Consequently,</w:t>
      </w:r>
      <w:r w:rsidR="00542340" w:rsidRPr="00A86F11">
        <w:t xml:space="preserve"> </w:t>
      </w:r>
      <w:r w:rsidRPr="00A86F11">
        <w:t>at stations with different installation depths, the relative contributions of recorded</w:t>
      </w:r>
      <w:r w:rsidR="00542340" w:rsidRPr="00A86F11">
        <w:t xml:space="preserve"> </w:t>
      </w:r>
      <w:r w:rsidRPr="00A86F11">
        <w:t>Rayleigh waves and body waves differ, and the degree of Rayleigh wave contribution to</w:t>
      </w:r>
      <w:r w:rsidR="00542340" w:rsidRPr="00A86F11">
        <w:t xml:space="preserve"> </w:t>
      </w:r>
      <w:r w:rsidRPr="00A86F11">
        <w:t>SBL values based on the vertical component alone also depends on installation depth.</w:t>
      </w:r>
      <w:r w:rsidR="00542340" w:rsidRPr="00A86F11">
        <w:t xml:space="preserve"> </w:t>
      </w:r>
      <w:r w:rsidRPr="00A86F11">
        <w:t>The validity of taking SBL ratios between stations with different wavefield compositions</w:t>
      </w:r>
      <w:r w:rsidR="00251438" w:rsidRPr="00A86F11">
        <w:rPr>
          <w:rFonts w:hint="eastAsia"/>
        </w:rPr>
        <w:t xml:space="preserve">　</w:t>
      </w:r>
      <w:r w:rsidRPr="00A86F11">
        <w:t>due to installation depth and interpreting their temporal changes as spatial migration of</w:t>
      </w:r>
      <w:r w:rsidR="00542340" w:rsidRPr="00A86F11">
        <w:t xml:space="preserve"> </w:t>
      </w:r>
      <w:r w:rsidRPr="00A86F11">
        <w:t>the vibration source requires examination. If the depth or radiation characteristics of the</w:t>
      </w:r>
      <w:r w:rsidR="00542340" w:rsidRPr="00A86F11">
        <w:t xml:space="preserve"> </w:t>
      </w:r>
      <w:r w:rsidRPr="00A86F11">
        <w:t>vibration source change, the relative contributions of Rayleigh waves and body waves</w:t>
      </w:r>
      <w:r w:rsidR="00542340" w:rsidRPr="00A86F11">
        <w:t xml:space="preserve"> </w:t>
      </w:r>
      <w:r w:rsidRPr="00A86F11">
        <w:t>recorded at each station can change even without horizontal migration of the vibration</w:t>
      </w:r>
      <w:r w:rsidR="00542340" w:rsidRPr="00A86F11">
        <w:t xml:space="preserve"> </w:t>
      </w:r>
      <w:r w:rsidRPr="00A86F11">
        <w:t>source, which could result in SBL ratio variations.</w:t>
      </w:r>
    </w:p>
    <w:p w14:paraId="34FAE9CC" w14:textId="79D0B89C" w:rsidR="007C10A4" w:rsidRPr="00A86F11" w:rsidRDefault="007C10A4" w:rsidP="00542340">
      <w:pPr>
        <w:ind w:leftChars="270" w:left="567"/>
      </w:pPr>
      <w:r w:rsidRPr="00A86F11">
        <w:t>Third, the interpretation of inter-station SBL differences (lines 440–443). The</w:t>
      </w:r>
      <w:r w:rsidR="00542340" w:rsidRPr="00A86F11">
        <w:t xml:space="preserve"> </w:t>
      </w:r>
      <w:r w:rsidRPr="00A86F11">
        <w:t>observation that during the 2018 unrest, SBL amplitudes at KSHA and KSE were larger</w:t>
      </w:r>
      <w:r w:rsidR="00542340" w:rsidRPr="00A86F11">
        <w:t xml:space="preserve"> </w:t>
      </w:r>
      <w:r w:rsidRPr="00A86F11">
        <w:t>than in 2014, while at KSW, KSS, and KSAO they were larger in 2014, could also</w:t>
      </w:r>
      <w:r w:rsidR="00542340" w:rsidRPr="00A86F11">
        <w:t xml:space="preserve"> </w:t>
      </w:r>
      <w:r w:rsidRPr="00A86F11">
        <w:t>potentially be explained as changes in Rayleigh wave excitation efficiency</w:t>
      </w:r>
      <w:r w:rsidR="00542340" w:rsidRPr="00A86F11">
        <w:t xml:space="preserve"> </w:t>
      </w:r>
      <w:r w:rsidRPr="00A86F11">
        <w:t>accompanying changes in source depth or radiation characteristics, when the effect of</w:t>
      </w:r>
      <w:r w:rsidR="00542340" w:rsidRPr="00A86F11">
        <w:t xml:space="preserve"> </w:t>
      </w:r>
      <w:r w:rsidRPr="00A86F11">
        <w:t>installation depth is considered. For example, if the source depth or radiation</w:t>
      </w:r>
      <w:r w:rsidR="00542340" w:rsidRPr="00A86F11">
        <w:t xml:space="preserve"> </w:t>
      </w:r>
      <w:r w:rsidRPr="00A86F11">
        <w:t>characteristics during the 2018 unrest differed from 2014, the ratio of Rayleigh wave to</w:t>
      </w:r>
      <w:r w:rsidR="00542340" w:rsidRPr="00A86F11">
        <w:t xml:space="preserve"> </w:t>
      </w:r>
      <w:r w:rsidRPr="00A86F11">
        <w:t>body wave contributions and the recorded amplitudes at each station could change</w:t>
      </w:r>
      <w:r w:rsidR="00542340" w:rsidRPr="00A86F11">
        <w:t xml:space="preserve"> </w:t>
      </w:r>
      <w:r w:rsidRPr="00A86F11">
        <w:t>even without horizontal migration of the source. At stations near the surface, this effect</w:t>
      </w:r>
      <w:r w:rsidR="00542340" w:rsidRPr="00A86F11">
        <w:t xml:space="preserve"> </w:t>
      </w:r>
      <w:r w:rsidRPr="00A86F11">
        <w:t>would be relatively larger, while at deeper borehole stations, it could be relatively</w:t>
      </w:r>
      <w:r w:rsidR="00542340" w:rsidRPr="00A86F11">
        <w:t xml:space="preserve"> </w:t>
      </w:r>
      <w:r w:rsidRPr="00A86F11">
        <w:t>smaller due to the depth attenuation of fundamental-mode Rayleigh waves. However,</w:t>
      </w:r>
      <w:r w:rsidR="00542340" w:rsidRPr="00A86F11">
        <w:t xml:space="preserve"> </w:t>
      </w:r>
      <w:r w:rsidRPr="00A86F11">
        <w:t>since the depth dependence of Rayleigh wave excitation efficiency also depends on the</w:t>
      </w:r>
      <w:r w:rsidR="00542340" w:rsidRPr="00A86F11">
        <w:t xml:space="preserve"> </w:t>
      </w:r>
      <w:r w:rsidRPr="00A86F11">
        <w:lastRenderedPageBreak/>
        <w:t>period band and source mechanism, separating this effect from the effect of horizontal</w:t>
      </w:r>
      <w:r w:rsidR="00542340" w:rsidRPr="00A86F11">
        <w:t xml:space="preserve"> </w:t>
      </w:r>
      <w:r w:rsidRPr="00A86F11">
        <w:t>source migration requires quantitative evaluation of the eigenfunctions and excitation</w:t>
      </w:r>
      <w:r w:rsidR="00542340" w:rsidRPr="00A86F11">
        <w:t xml:space="preserve"> </w:t>
      </w:r>
      <w:r w:rsidRPr="00A86F11">
        <w:t>efficiency depth dependence of Rayleigh waves based on a velocity structure model.</w:t>
      </w:r>
    </w:p>
    <w:p w14:paraId="1C3C07F3" w14:textId="77777777" w:rsidR="00A8094E" w:rsidRPr="00A86F11" w:rsidRDefault="00A8094E" w:rsidP="00542340">
      <w:pPr>
        <w:ind w:leftChars="270" w:left="567"/>
      </w:pPr>
    </w:p>
    <w:p w14:paraId="085A6332" w14:textId="0E9C2306" w:rsidR="00D22323" w:rsidRPr="00A86F11" w:rsidRDefault="00D22323" w:rsidP="001E56FD">
      <w:pPr>
        <w:rPr>
          <w:b/>
          <w:bCs/>
        </w:rPr>
      </w:pPr>
      <w:r w:rsidRPr="00A86F11">
        <w:rPr>
          <w:rFonts w:hint="eastAsia"/>
          <w:b/>
          <w:bCs/>
        </w:rPr>
        <w:t>Response:</w:t>
      </w:r>
    </w:p>
    <w:p w14:paraId="0697C4B6" w14:textId="77777777" w:rsidR="001E4359" w:rsidRPr="00A86F11" w:rsidRDefault="001E4359" w:rsidP="001E56FD">
      <w:r w:rsidRPr="00A86F11">
        <w:t>We thank the reviewer for this valuable and insightful comment.</w:t>
      </w:r>
    </w:p>
    <w:p w14:paraId="5DBDE368" w14:textId="77777777" w:rsidR="001E4359" w:rsidRPr="00A86F11" w:rsidRDefault="001E4359" w:rsidP="001E56FD">
      <w:r w:rsidRPr="00A86F11">
        <w:t>We appreciate the reviewer's discussion regarding the crossover depth of Rayleigh-wave particle motions and the potential influence of station installation depth on both the polarization analysis and the interpretation of inter-station SBL ratios. We agree that stations installed at substantially different depths may record different mixtures of seismic wavefields, introducing additional uncertainty into the interpretation of station-dependent amplitude variations.</w:t>
      </w:r>
    </w:p>
    <w:p w14:paraId="75D080D0" w14:textId="634316D1" w:rsidR="009E362D" w:rsidRPr="00A86F11" w:rsidRDefault="001E4359" w:rsidP="001E56FD">
      <w:r w:rsidRPr="00A86F11">
        <w:t>In response to this comment, as well as related Comments 8, 9, 12, and 13, we substantially revised Section 5.2. The polarization analysis is now positioned as a supplementary examination that provides only qualitative constraints on the source region of the SBL vibrations, rather than as a primary basis for inferring temporal changes in source location</w:t>
      </w:r>
      <w:r w:rsidR="009E362D" w:rsidRPr="00A86F11">
        <w:rPr>
          <w:rFonts w:hint="eastAsia"/>
        </w:rPr>
        <w:t xml:space="preserve"> </w:t>
      </w:r>
      <w:r w:rsidR="009E362D" w:rsidRPr="00A86F11">
        <w:t>(lines 4</w:t>
      </w:r>
      <w:r w:rsidR="00402719" w:rsidRPr="00A86F11">
        <w:rPr>
          <w:rFonts w:hint="eastAsia"/>
        </w:rPr>
        <w:t>12</w:t>
      </w:r>
      <w:r w:rsidR="00611F83" w:rsidRPr="00A86F11">
        <w:t>–</w:t>
      </w:r>
      <w:r w:rsidR="009E362D" w:rsidRPr="00A86F11">
        <w:t>4</w:t>
      </w:r>
      <w:r w:rsidR="00402719" w:rsidRPr="00A86F11">
        <w:rPr>
          <w:rFonts w:hint="eastAsia"/>
        </w:rPr>
        <w:t>14</w:t>
      </w:r>
      <w:r w:rsidR="009E362D" w:rsidRPr="00A86F11">
        <w:t xml:space="preserve"> in the revised manuscript)</w:t>
      </w:r>
      <w:r w:rsidRPr="00A86F11">
        <w:t>.</w:t>
      </w:r>
    </w:p>
    <w:p w14:paraId="0EC91040" w14:textId="61C2FDC5" w:rsidR="001E4359" w:rsidRPr="00A86F11" w:rsidRDefault="001E4359" w:rsidP="001E56FD">
      <w:r w:rsidRPr="00A86F11">
        <w:t>We also revised the discussion of normalized SBL ratio variations. In the revised manuscript, we explicitly acknowledge that the observed station-dependent amplitude differences could be influenced not only by source migration but also by changes in source depth, radiation characteristics, or wavefield composition. Accordingly, we now describe source migration as one possible interpretation of the observations rather than a unique conclusion</w:t>
      </w:r>
      <w:r w:rsidR="0059307A" w:rsidRPr="00A86F11">
        <w:rPr>
          <w:rFonts w:hint="eastAsia"/>
        </w:rPr>
        <w:t xml:space="preserve"> </w:t>
      </w:r>
      <w:r w:rsidR="0059307A" w:rsidRPr="00A86F11">
        <w:t>(lines 4</w:t>
      </w:r>
      <w:r w:rsidR="009761A0" w:rsidRPr="00A86F11">
        <w:rPr>
          <w:rFonts w:hint="eastAsia"/>
        </w:rPr>
        <w:t>47</w:t>
      </w:r>
      <w:r w:rsidR="00611F83" w:rsidRPr="00A86F11">
        <w:t>–</w:t>
      </w:r>
      <w:r w:rsidR="00D17212" w:rsidRPr="00A86F11">
        <w:t>4</w:t>
      </w:r>
      <w:r w:rsidR="009761A0" w:rsidRPr="00A86F11">
        <w:rPr>
          <w:rFonts w:hint="eastAsia"/>
        </w:rPr>
        <w:t>50</w:t>
      </w:r>
      <w:r w:rsidR="0059307A" w:rsidRPr="00A86F11">
        <w:t xml:space="preserve"> in the revised manuscript)</w:t>
      </w:r>
      <w:r w:rsidRPr="00A86F11">
        <w:t>.</w:t>
      </w:r>
    </w:p>
    <w:p w14:paraId="05D9291F" w14:textId="3BEB7A43" w:rsidR="0048198B" w:rsidRPr="00A86F11" w:rsidRDefault="001E4359" w:rsidP="001E56FD">
      <w:r w:rsidRPr="00A86F11">
        <w:t>We agree that a quantitative evaluation of Rayleigh-wave excitation efficiency and depth dependence based on a velocity structure model would be valuable for separating these effects. However, such an analysis is beyond the scope of the present study and remains an important subject for future work.</w:t>
      </w:r>
    </w:p>
    <w:p w14:paraId="58C2E1F4" w14:textId="77777777" w:rsidR="000D4D4F" w:rsidRPr="00A86F11" w:rsidRDefault="000D4D4F" w:rsidP="009C4CE5"/>
    <w:p w14:paraId="47AED545" w14:textId="77777777" w:rsidR="00B468BF" w:rsidRPr="00A86F11" w:rsidRDefault="00B468BF">
      <w:pPr>
        <w:widowControl/>
        <w:jc w:val="left"/>
      </w:pPr>
      <w:r w:rsidRPr="00A86F11">
        <w:br w:type="page"/>
      </w:r>
    </w:p>
    <w:p w14:paraId="5C9C363E" w14:textId="2E6DECE8" w:rsidR="006F2E64" w:rsidRPr="00A86F11" w:rsidRDefault="00752266" w:rsidP="006F2E64">
      <w:pPr>
        <w:rPr>
          <w:b/>
          <w:bCs/>
        </w:rPr>
      </w:pPr>
      <w:r w:rsidRPr="00A86F11">
        <w:rPr>
          <w:rFonts w:hint="eastAsia"/>
          <w:b/>
          <w:bCs/>
        </w:rPr>
        <w:lastRenderedPageBreak/>
        <w:t xml:space="preserve"> </w:t>
      </w:r>
      <w:r w:rsidR="006F2E64" w:rsidRPr="00A86F11">
        <w:rPr>
          <w:rFonts w:hint="eastAsia"/>
          <w:b/>
          <w:bCs/>
        </w:rPr>
        <w:t>[Comment 11]</w:t>
      </w:r>
    </w:p>
    <w:p w14:paraId="6F5E3E1D" w14:textId="75423833" w:rsidR="007C10A4" w:rsidRPr="00A86F11" w:rsidRDefault="007C10A4" w:rsidP="007C10A4">
      <w:r w:rsidRPr="00A86F11">
        <w:t>The source-location comparison in Section 5.2.2 requires caution. What Section 5.2.1</w:t>
      </w:r>
      <w:r w:rsidR="0024755C" w:rsidRPr="00A86F11">
        <w:t xml:space="preserve"> </w:t>
      </w:r>
      <w:r w:rsidRPr="00A86F11">
        <w:t>directly shows is that the horizontal position of the SBL vibration source based on</w:t>
      </w:r>
      <w:r w:rsidR="0024755C" w:rsidRPr="00A86F11">
        <w:t xml:space="preserve"> </w:t>
      </w:r>
      <w:r w:rsidRPr="00A86F11">
        <w:t>polarization analysis is near Yugama crater, and from the Rayleigh wave interpretation, it is</w:t>
      </w:r>
      <w:r w:rsidR="0024755C" w:rsidRPr="00A86F11">
        <w:t xml:space="preserve"> </w:t>
      </w:r>
      <w:r w:rsidRPr="00A86F11">
        <w:t>inferred that the “source should be shallow”—quantitative depth estimation has not been</w:t>
      </w:r>
      <w:r w:rsidR="0024755C" w:rsidRPr="00A86F11">
        <w:t xml:space="preserve"> </w:t>
      </w:r>
      <w:r w:rsidRPr="00A86F11">
        <w:t>achieved. The authors themselves state in Section 5.3 that “source depth has not yet been</w:t>
      </w:r>
      <w:r w:rsidR="0024755C" w:rsidRPr="00A86F11">
        <w:t xml:space="preserve"> </w:t>
      </w:r>
      <w:r w:rsidRPr="00A86F11">
        <w:t>quantitatively estimated.” Nevertheless, Section 5.2.2 interprets that the SBL source moved</w:t>
      </w:r>
      <w:r w:rsidR="0024755C" w:rsidRPr="00A86F11">
        <w:t xml:space="preserve"> </w:t>
      </w:r>
      <w:r w:rsidRPr="00A86F11">
        <w:t>northeastward and upward during the 2018 unrest compared to 2014, citing hypocenters of</w:t>
      </w:r>
      <w:r w:rsidR="0024755C" w:rsidRPr="00A86F11">
        <w:t xml:space="preserve"> </w:t>
      </w:r>
      <w:r w:rsidRPr="00A86F11">
        <w:t>high-frequency earthquakes and thermal demagnetization sources from Kanda et al. (2025).</w:t>
      </w:r>
      <w:r w:rsidR="0024755C" w:rsidRPr="00A86F11">
        <w:t xml:space="preserve"> </w:t>
      </w:r>
      <w:r w:rsidRPr="00A86F11">
        <w:t>However, these location estimates are based on different methods, and the nature of their</w:t>
      </w:r>
      <w:r w:rsidR="0024755C" w:rsidRPr="00A86F11">
        <w:t xml:space="preserve"> </w:t>
      </w:r>
      <w:r w:rsidRPr="00A86F11">
        <w:t>uncertainties is not identical. Therefore, if source migration is to be discussed by comparing</w:t>
      </w:r>
      <w:r w:rsidR="0024755C" w:rsidRPr="00A86F11">
        <w:t xml:space="preserve"> </w:t>
      </w:r>
      <w:r w:rsidRPr="00A86F11">
        <w:t>them, the positional errors and model dependencies of each estimate should be stated</w:t>
      </w:r>
      <w:r w:rsidR="0024755C" w:rsidRPr="00A86F11">
        <w:t xml:space="preserve"> </w:t>
      </w:r>
      <w:r w:rsidRPr="00A86F11">
        <w:t>explicitly, and it should be demonstrated that the difference between 2014 and 2018 is</w:t>
      </w:r>
      <w:r w:rsidR="0024755C" w:rsidRPr="00A86F11">
        <w:t xml:space="preserve"> </w:t>
      </w:r>
      <w:r w:rsidRPr="00A86F11">
        <w:t>significant even considering these uncertainties. As it stands, what can be said from Figure 6</w:t>
      </w:r>
      <w:r w:rsidR="0024755C" w:rsidRPr="00A86F11">
        <w:t xml:space="preserve"> </w:t>
      </w:r>
      <w:r w:rsidRPr="00A86F11">
        <w:t>is at most a qualitative statement that things are “broadly consistent near Yugama crater,”</w:t>
      </w:r>
      <w:r w:rsidR="0024755C" w:rsidRPr="00A86F11">
        <w:t xml:space="preserve"> </w:t>
      </w:r>
      <w:r w:rsidRPr="00A86F11">
        <w:t>and the claim that the normalized SBL ratio provides spatial information on source location is</w:t>
      </w:r>
      <w:r w:rsidR="0024755C" w:rsidRPr="00A86F11">
        <w:t xml:space="preserve"> </w:t>
      </w:r>
      <w:r w:rsidRPr="00A86F11">
        <w:t>an overstatement.</w:t>
      </w:r>
    </w:p>
    <w:p w14:paraId="0BC5221C" w14:textId="77777777" w:rsidR="00196629" w:rsidRPr="00A86F11" w:rsidRDefault="00196629" w:rsidP="007C10A4"/>
    <w:p w14:paraId="216CB7BA" w14:textId="62D131DC" w:rsidR="003E599E" w:rsidRPr="00A86F11" w:rsidRDefault="003E599E" w:rsidP="007C10A4">
      <w:pPr>
        <w:rPr>
          <w:b/>
          <w:bCs/>
        </w:rPr>
      </w:pPr>
      <w:r w:rsidRPr="00A86F11">
        <w:rPr>
          <w:rFonts w:hint="eastAsia"/>
          <w:b/>
          <w:bCs/>
        </w:rPr>
        <w:t>Response:</w:t>
      </w:r>
    </w:p>
    <w:p w14:paraId="53D56EB6" w14:textId="77777777" w:rsidR="003D5F47" w:rsidRPr="00A86F11" w:rsidRDefault="003D5F47" w:rsidP="003D5F47">
      <w:r w:rsidRPr="00A86F11">
        <w:t>We thank the reviewer for this valuable comment.</w:t>
      </w:r>
    </w:p>
    <w:p w14:paraId="258271D0" w14:textId="77777777" w:rsidR="003D5F47" w:rsidRPr="00A86F11" w:rsidRDefault="003D5F47" w:rsidP="003D5F47">
      <w:r w:rsidRPr="00A86F11">
        <w:t>Regarding the studies cited in the manuscript, both the hypocenter distributions and the thermal demagnetization source estimates suggest systematic differences between the 2014 and 2018 unrests. For example, the thermal demagnetization source locations reported by Kanda et al. (2025) remain distinguishable even when their estimated uncertainties are considered. Likewise, the spatial distributions of high-frequency earthquakes during the two unrest periods show differences that are larger than the typical location uncertainties.</w:t>
      </w:r>
    </w:p>
    <w:p w14:paraId="1725E09E" w14:textId="3B716D60" w:rsidR="00196629" w:rsidRPr="00A86F11" w:rsidRDefault="003D5F47" w:rsidP="003D5F47">
      <w:r w:rsidRPr="00A86F11">
        <w:t>However, we agree that these observations alone do not provide sufficient evidence for a quantitative determination of the migration of the SBL vibration source. Therefore, in the revised manuscript, we no longer present source migration as a demonstrated result. Instead, we state that the SBL ratio variations are consistent with a northeastward and upward shift of the dominant vibration source region</w:t>
      </w:r>
      <w:r w:rsidR="00B016F1" w:rsidRPr="00A86F11">
        <w:rPr>
          <w:rFonts w:hint="eastAsia"/>
        </w:rPr>
        <w:t xml:space="preserve"> </w:t>
      </w:r>
      <w:r w:rsidR="00B016F1" w:rsidRPr="00A86F11">
        <w:t>(lines 4</w:t>
      </w:r>
      <w:r w:rsidR="00A67975" w:rsidRPr="00A86F11">
        <w:rPr>
          <w:rFonts w:hint="eastAsia"/>
        </w:rPr>
        <w:t>44</w:t>
      </w:r>
      <w:r w:rsidR="00611F83" w:rsidRPr="00A86F11">
        <w:t>–</w:t>
      </w:r>
      <w:r w:rsidR="00B016F1" w:rsidRPr="00A86F11">
        <w:t>4</w:t>
      </w:r>
      <w:r w:rsidR="00A67975" w:rsidRPr="00A86F11">
        <w:rPr>
          <w:rFonts w:hint="eastAsia"/>
        </w:rPr>
        <w:t>46</w:t>
      </w:r>
      <w:r w:rsidR="00B016F1" w:rsidRPr="00A86F11">
        <w:t xml:space="preserve"> in the revised manuscript)</w:t>
      </w:r>
      <w:r w:rsidRPr="00A86F11">
        <w:t>, while explicitly acknowledging that alternative explanations are also possible.</w:t>
      </w:r>
    </w:p>
    <w:p w14:paraId="5631C4BC" w14:textId="728E91B7" w:rsidR="003D5F47" w:rsidRPr="00A86F11" w:rsidRDefault="003D5F47" w:rsidP="007C10A4">
      <w:r w:rsidRPr="00A86F11">
        <w:t>Accordingly, the discussion in Section 5.2 has been revised to clarify that the inferred source-region differences represent one possible interpretation of the SBL ratio variations rather than a unique explanation</w:t>
      </w:r>
      <w:r w:rsidR="00741ACD" w:rsidRPr="00A86F11">
        <w:rPr>
          <w:rFonts w:hint="eastAsia"/>
        </w:rPr>
        <w:t xml:space="preserve"> </w:t>
      </w:r>
      <w:r w:rsidR="00741ACD" w:rsidRPr="00A86F11">
        <w:t>(lines 4</w:t>
      </w:r>
      <w:r w:rsidR="00562D5A" w:rsidRPr="00A86F11">
        <w:rPr>
          <w:rFonts w:hint="eastAsia"/>
        </w:rPr>
        <w:t>47</w:t>
      </w:r>
      <w:r w:rsidR="00611F83" w:rsidRPr="00A86F11">
        <w:t>–</w:t>
      </w:r>
      <w:r w:rsidR="006E2593" w:rsidRPr="00A86F11">
        <w:t>4</w:t>
      </w:r>
      <w:r w:rsidR="00562D5A" w:rsidRPr="00A86F11">
        <w:rPr>
          <w:rFonts w:hint="eastAsia"/>
        </w:rPr>
        <w:t>50</w:t>
      </w:r>
      <w:r w:rsidR="00741ACD" w:rsidRPr="00A86F11">
        <w:t xml:space="preserve"> in the revised manuscript)</w:t>
      </w:r>
      <w:r w:rsidRPr="00A86F11">
        <w:t>.</w:t>
      </w:r>
    </w:p>
    <w:p w14:paraId="2D0E02C1" w14:textId="77777777" w:rsidR="00B468BF" w:rsidRPr="00A86F11" w:rsidRDefault="00B468BF">
      <w:pPr>
        <w:widowControl/>
        <w:jc w:val="left"/>
      </w:pPr>
      <w:r w:rsidRPr="00A86F11">
        <w:br w:type="page"/>
      </w:r>
    </w:p>
    <w:p w14:paraId="3CBB5619" w14:textId="1BB33814" w:rsidR="006F2E64" w:rsidRPr="00A86F11" w:rsidRDefault="00752266" w:rsidP="006F2E64">
      <w:pPr>
        <w:rPr>
          <w:b/>
          <w:bCs/>
        </w:rPr>
      </w:pPr>
      <w:r w:rsidRPr="00A86F11">
        <w:rPr>
          <w:rFonts w:hint="eastAsia"/>
          <w:b/>
          <w:bCs/>
        </w:rPr>
        <w:lastRenderedPageBreak/>
        <w:t xml:space="preserve"> </w:t>
      </w:r>
      <w:r w:rsidR="006F2E64" w:rsidRPr="00A86F11">
        <w:rPr>
          <w:rFonts w:hint="eastAsia"/>
          <w:b/>
          <w:bCs/>
        </w:rPr>
        <w:t>[Comment 12]</w:t>
      </w:r>
    </w:p>
    <w:p w14:paraId="5B99998E" w14:textId="6B3BBA4F" w:rsidR="007C10A4" w:rsidRPr="00A86F11" w:rsidRDefault="007C10A4" w:rsidP="007C10A4">
      <w:r w:rsidRPr="00A86F11">
        <w:t>Only the vertical component is used for SBL calculation (Lines 177–178). The</w:t>
      </w:r>
      <w:r w:rsidR="00A42D06" w:rsidRPr="00A86F11">
        <w:t xml:space="preserve"> </w:t>
      </w:r>
      <w:r w:rsidRPr="00A86F11">
        <w:t>manuscript explains that this choice was made because “horizontal components sometimes</w:t>
      </w:r>
      <w:r w:rsidR="00A42D06" w:rsidRPr="00A86F11">
        <w:t xml:space="preserve"> </w:t>
      </w:r>
      <w:r w:rsidRPr="00A86F11">
        <w:t>had problems,” but this point has important implications from the perspective of seismic</w:t>
      </w:r>
      <w:r w:rsidR="00A42D06" w:rsidRPr="00A86F11">
        <w:t xml:space="preserve"> </w:t>
      </w:r>
      <w:r w:rsidRPr="00A86F11">
        <w:t>wave propagation. The seismic wavefield recorded on the vertical component strongly</w:t>
      </w:r>
      <w:r w:rsidR="00A42D06" w:rsidRPr="00A86F11">
        <w:t xml:space="preserve"> </w:t>
      </w:r>
      <w:r w:rsidRPr="00A86F11">
        <w:t>depends on the propagation mode. In general, the vertical component of Rayleigh waves is</w:t>
      </w:r>
      <w:r w:rsidR="00A42D06" w:rsidRPr="00A86F11">
        <w:t xml:space="preserve"> </w:t>
      </w:r>
      <w:r w:rsidRPr="00A86F11">
        <w:t>large near the free surface and attenuates with depth. Meanwhile, the vertical components of</w:t>
      </w:r>
      <w:r w:rsidR="00A42D06" w:rsidRPr="00A86F11">
        <w:t xml:space="preserve"> </w:t>
      </w:r>
      <w:r w:rsidRPr="00A86F11">
        <w:t xml:space="preserve">P-waves and SV-waves depend on take-off angle and radiation characteristics, and </w:t>
      </w:r>
      <w:proofErr w:type="spellStart"/>
      <w:r w:rsidRPr="00A86F11">
        <w:t>SHwaves</w:t>
      </w:r>
      <w:proofErr w:type="spellEnd"/>
      <w:r w:rsidR="00A42D06" w:rsidRPr="00A86F11">
        <w:t xml:space="preserve"> </w:t>
      </w:r>
      <w:r w:rsidRPr="00A86F11">
        <w:t>ideally do not contribute to the vertical component. Therefore, when the vibration</w:t>
      </w:r>
      <w:r w:rsidR="00A42D06" w:rsidRPr="00A86F11">
        <w:t xml:space="preserve"> </w:t>
      </w:r>
      <w:r w:rsidRPr="00A86F11">
        <w:t>source is shallow, the contribution of Rayleigh waves to the vertical component may be</w:t>
      </w:r>
      <w:r w:rsidR="00A42D06" w:rsidRPr="00A86F11">
        <w:t xml:space="preserve"> </w:t>
      </w:r>
      <w:r w:rsidRPr="00A86F11">
        <w:t>relatively larger at stations near the surface, while at borehole stations, the Rayleigh wave</w:t>
      </w:r>
      <w:r w:rsidR="00A42D06" w:rsidRPr="00A86F11">
        <w:t xml:space="preserve"> </w:t>
      </w:r>
      <w:r w:rsidRPr="00A86F11">
        <w:t>contribution weakens with depth, and the relative contribution of body waves such as P- and</w:t>
      </w:r>
      <w:r w:rsidR="00A42D06" w:rsidRPr="00A86F11">
        <w:t xml:space="preserve"> </w:t>
      </w:r>
      <w:r w:rsidRPr="00A86F11">
        <w:t>SV-waves may increase. In other words, even when computing the same SBL, the surface</w:t>
      </w:r>
      <w:r w:rsidR="00A42D06" w:rsidRPr="00A86F11">
        <w:t xml:space="preserve"> </w:t>
      </w:r>
      <w:r w:rsidRPr="00A86F11">
        <w:t>station KSHA and the borehole station KSW may effectively be observing different mixtures</w:t>
      </w:r>
      <w:r w:rsidR="00A42D06" w:rsidRPr="00A86F11">
        <w:t xml:space="preserve"> </w:t>
      </w:r>
      <w:r w:rsidRPr="00A86F11">
        <w:t>of wavefield components. This point could also affect the interpretation of the result</w:t>
      </w:r>
      <w:r w:rsidR="00A42D06" w:rsidRPr="00A86F11">
        <w:t xml:space="preserve"> </w:t>
      </w:r>
      <w:r w:rsidRPr="00A86F11">
        <w:t>discussed in Section 5.2.2 that “SBL amplitudes at KSHA and KSE were larger during the</w:t>
      </w:r>
      <w:r w:rsidR="00A42D06" w:rsidRPr="00A86F11">
        <w:t xml:space="preserve"> </w:t>
      </w:r>
      <w:r w:rsidRPr="00A86F11">
        <w:t>2018 unrest, while at KSW, KSS, and KSAO they were larger during the 2014 unrest” (lines</w:t>
      </w:r>
      <w:r w:rsidR="00A42D06" w:rsidRPr="00A86F11">
        <w:t xml:space="preserve"> </w:t>
      </w:r>
      <w:r w:rsidRPr="00A86F11">
        <w:t>440–443). This difference could potentially be explained not only by horizontal migration of</w:t>
      </w:r>
      <w:r w:rsidR="00A42D06" w:rsidRPr="00A86F11">
        <w:t xml:space="preserve"> </w:t>
      </w:r>
      <w:r w:rsidRPr="00A86F11">
        <w:t>the vibration source, but also by changes in wavefield composition (e.g., changes in the</w:t>
      </w:r>
      <w:r w:rsidR="00A42D06" w:rsidRPr="00A86F11">
        <w:t xml:space="preserve"> </w:t>
      </w:r>
      <w:r w:rsidRPr="00A86F11">
        <w:t>relative ratio of surface waves to body waves) or changes in source depth and radiation</w:t>
      </w:r>
      <w:r w:rsidR="00A42D06" w:rsidRPr="00A86F11">
        <w:t xml:space="preserve"> </w:t>
      </w:r>
      <w:r w:rsidRPr="00A86F11">
        <w:t>characteristics.</w:t>
      </w:r>
    </w:p>
    <w:p w14:paraId="6558591D" w14:textId="77777777" w:rsidR="00C3372C" w:rsidRPr="00A86F11" w:rsidRDefault="00C3372C" w:rsidP="007C10A4"/>
    <w:p w14:paraId="44454E45" w14:textId="31D87A52" w:rsidR="00970FC8" w:rsidRPr="00A86F11" w:rsidRDefault="00970FC8" w:rsidP="007C10A4">
      <w:pPr>
        <w:rPr>
          <w:b/>
          <w:bCs/>
        </w:rPr>
      </w:pPr>
      <w:r w:rsidRPr="00A86F11">
        <w:rPr>
          <w:rFonts w:hint="eastAsia"/>
          <w:b/>
          <w:bCs/>
        </w:rPr>
        <w:t>Response:</w:t>
      </w:r>
    </w:p>
    <w:p w14:paraId="0EE25CC7" w14:textId="77777777" w:rsidR="00286669" w:rsidRPr="00A86F11" w:rsidRDefault="00286669" w:rsidP="00286669">
      <w:r w:rsidRPr="00A86F11">
        <w:t>We thank the reviewer for this valuable comment.</w:t>
      </w:r>
    </w:p>
    <w:p w14:paraId="3979F5D4" w14:textId="45DD8DE2" w:rsidR="00286669" w:rsidRPr="00A86F11" w:rsidRDefault="00286669" w:rsidP="00286669">
      <w:r w:rsidRPr="00A86F11">
        <w:t>As pointed out by the reviewer, stations installed at different depths may record different mixtures of surface-wave and body-wave energy, and this could potentially affect comparisons among stations.</w:t>
      </w:r>
    </w:p>
    <w:p w14:paraId="0D2940E0" w14:textId="5B78FF21" w:rsidR="00286669" w:rsidRPr="00A86F11" w:rsidRDefault="00286669" w:rsidP="00286669">
      <w:r w:rsidRPr="00A86F11">
        <w:t>To evaluate the influence of component selection, we additionally calculated SBL using (1) the vertical component only, (2) the horizontal components only, and (3) all three components combined. We then compared both the long-term temporal variations of SBL and the temporal variations of the ratios among these measures. The results have been added to the Supplementary Information</w:t>
      </w:r>
      <w:r w:rsidR="00641C24" w:rsidRPr="00A86F11">
        <w:rPr>
          <w:rFonts w:hint="eastAsia"/>
        </w:rPr>
        <w:t xml:space="preserve"> (Fig. S2, S3, S4, S5, S6)</w:t>
      </w:r>
      <w:r w:rsidRPr="00A86F11">
        <w:t>.</w:t>
      </w:r>
    </w:p>
    <w:p w14:paraId="6363E91B" w14:textId="56547692" w:rsidR="00286669" w:rsidRPr="00A86F11" w:rsidRDefault="00286669" w:rsidP="00286669">
      <w:r w:rsidRPr="00A86F11">
        <w:t>We found that the overall temporal patterns of SBL, including the 2014 and 2018 unrest periods, were generally similar among the three calculations. Furthermore, the component ratios remained relatively stable through time at most stations. Although some variations were observed at KSE</w:t>
      </w:r>
      <w:r w:rsidR="003C0B6A" w:rsidRPr="00A86F11">
        <w:rPr>
          <w:rFonts w:hint="eastAsia"/>
        </w:rPr>
        <w:t xml:space="preserve"> (Fig. S4 in Supplementary Information)</w:t>
      </w:r>
      <w:r w:rsidRPr="00A86F11">
        <w:t>, no large systematic changes were identified at the other stations.</w:t>
      </w:r>
    </w:p>
    <w:p w14:paraId="3CC224F4" w14:textId="2F5996F6" w:rsidR="004B652B" w:rsidRPr="00A86F11" w:rsidRDefault="00286669" w:rsidP="00286669">
      <w:r w:rsidRPr="00A86F11">
        <w:lastRenderedPageBreak/>
        <w:t xml:space="preserve">These results suggest that, for the periods analyzed in this study, the use of the vertical component alone does not substantially affect the principal temporal variations discussed in the manuscript. However, we agree that changes in the relative contributions of surface waves and body waves cannot be completely excluded, particularly at KSE. Therefore, we revised the manuscript to explicitly acknowledge that differences in source </w:t>
      </w:r>
      <w:r w:rsidR="006333AC" w:rsidRPr="00A86F11">
        <w:rPr>
          <w:rFonts w:hint="eastAsia"/>
        </w:rPr>
        <w:t>locations</w:t>
      </w:r>
      <w:r w:rsidRPr="00A86F11">
        <w:t xml:space="preserve">, </w:t>
      </w:r>
      <w:r w:rsidR="006333AC" w:rsidRPr="00A86F11">
        <w:t>propagation</w:t>
      </w:r>
      <w:r w:rsidRPr="00A86F11">
        <w:t xml:space="preserve"> characteristics, and </w:t>
      </w:r>
      <w:r w:rsidR="006333AC" w:rsidRPr="00A86F11">
        <w:t>radiation patterns</w:t>
      </w:r>
      <w:r w:rsidRPr="00A86F11">
        <w:t xml:space="preserve"> may influence the observed SBL amplitudes and their interpretation</w:t>
      </w:r>
      <w:r w:rsidR="00A30B25" w:rsidRPr="00A86F11">
        <w:t xml:space="preserve"> (lines 4</w:t>
      </w:r>
      <w:r w:rsidR="00627EAA" w:rsidRPr="00A86F11">
        <w:rPr>
          <w:rFonts w:hint="eastAsia"/>
        </w:rPr>
        <w:t>49</w:t>
      </w:r>
      <w:r w:rsidR="00611F83" w:rsidRPr="00A86F11">
        <w:t>–</w:t>
      </w:r>
      <w:r w:rsidR="00A927B2" w:rsidRPr="00A86F11">
        <w:t>4</w:t>
      </w:r>
      <w:r w:rsidR="00627EAA" w:rsidRPr="00A86F11">
        <w:rPr>
          <w:rFonts w:hint="eastAsia"/>
        </w:rPr>
        <w:t>50</w:t>
      </w:r>
      <w:r w:rsidR="00A30B25" w:rsidRPr="00A86F11">
        <w:t xml:space="preserve"> in the revised manuscript)</w:t>
      </w:r>
      <w:r w:rsidRPr="00A86F11">
        <w:t>.</w:t>
      </w:r>
    </w:p>
    <w:p w14:paraId="6B0FE682" w14:textId="77777777" w:rsidR="004B652B" w:rsidRPr="00A86F11" w:rsidRDefault="004B652B" w:rsidP="007C10A4">
      <w:pPr>
        <w:rPr>
          <w:color w:val="EE0000"/>
        </w:rPr>
      </w:pPr>
    </w:p>
    <w:p w14:paraId="5DB7579E" w14:textId="77777777" w:rsidR="00B468BF" w:rsidRPr="00A86F11" w:rsidRDefault="00B468BF">
      <w:pPr>
        <w:widowControl/>
        <w:jc w:val="left"/>
      </w:pPr>
      <w:r w:rsidRPr="00A86F11">
        <w:br w:type="page"/>
      </w:r>
    </w:p>
    <w:p w14:paraId="570DA130" w14:textId="41FB15E1" w:rsidR="000C4201" w:rsidRPr="00A86F11" w:rsidRDefault="00752266" w:rsidP="000C4201">
      <w:pPr>
        <w:rPr>
          <w:b/>
          <w:bCs/>
        </w:rPr>
      </w:pPr>
      <w:r w:rsidRPr="00A86F11">
        <w:rPr>
          <w:rFonts w:hint="eastAsia"/>
          <w:b/>
          <w:bCs/>
        </w:rPr>
        <w:lastRenderedPageBreak/>
        <w:t xml:space="preserve"> </w:t>
      </w:r>
      <w:r w:rsidR="000C4201" w:rsidRPr="00A86F11">
        <w:rPr>
          <w:rFonts w:hint="eastAsia"/>
          <w:b/>
          <w:bCs/>
        </w:rPr>
        <w:t>[Comment 13]</w:t>
      </w:r>
    </w:p>
    <w:p w14:paraId="2E759085" w14:textId="57B263B5" w:rsidR="007C10A4" w:rsidRPr="00A86F11" w:rsidRDefault="007C10A4" w:rsidP="007C10A4">
      <w:r w:rsidRPr="00A86F11">
        <w:t>SBL itself is an amplitude-based indicator, and the propagation mode of the recorded</w:t>
      </w:r>
      <w:r w:rsidR="00A85DB3" w:rsidRPr="00A86F11">
        <w:t xml:space="preserve"> </w:t>
      </w:r>
      <w:r w:rsidRPr="00A86F11">
        <w:t>seismic waves cannot be identified from its definition alone. Whether the component</w:t>
      </w:r>
      <w:r w:rsidR="00A85DB3" w:rsidRPr="00A86F11">
        <w:t xml:space="preserve"> </w:t>
      </w:r>
      <w:r w:rsidRPr="00A86F11">
        <w:t>contributing to SBL is predominantly Rayleigh waves, surface waves including scattered</w:t>
      </w:r>
      <w:r w:rsidR="00A85DB3" w:rsidRPr="00A86F11">
        <w:t xml:space="preserve"> </w:t>
      </w:r>
      <w:r w:rsidRPr="00A86F11">
        <w:t>waves, or includes body waves cannot be determined from the SBL definition alone.</w:t>
      </w:r>
      <w:r w:rsidR="00A85DB3" w:rsidRPr="00A86F11">
        <w:t xml:space="preserve"> </w:t>
      </w:r>
      <w:r w:rsidRPr="00A86F11">
        <w:t>Therefore, directly interpreting SBL increase/decrease as “strength of volcanic tremor” or</w:t>
      </w:r>
      <w:r w:rsidR="00A85DB3" w:rsidRPr="00A86F11">
        <w:t xml:space="preserve"> </w:t>
      </w:r>
      <w:r w:rsidRPr="00A86F11">
        <w:rPr>
          <w:rFonts w:hint="eastAsia"/>
        </w:rPr>
        <w:t>“</w:t>
      </w:r>
      <w:r w:rsidRPr="00A86F11">
        <w:t>strength of vibration sources in the shallow hydrothermal system” requires an additional</w:t>
      </w:r>
      <w:r w:rsidR="00A85DB3" w:rsidRPr="00A86F11">
        <w:t xml:space="preserve"> </w:t>
      </w:r>
      <w:r w:rsidRPr="00A86F11">
        <w:t>step of verification. At a minimum, additional evidence should be presented to support which</w:t>
      </w:r>
      <w:r w:rsidR="00A85DB3" w:rsidRPr="00A86F11">
        <w:t xml:space="preserve"> </w:t>
      </w:r>
      <w:r w:rsidRPr="00A86F11">
        <w:t>wave component dominates in this band, such as polarization characteristics based on</w:t>
      </w:r>
      <w:r w:rsidR="00A85DB3" w:rsidRPr="00A86F11">
        <w:t xml:space="preserve"> </w:t>
      </w:r>
      <w:r w:rsidRPr="00A86F11">
        <w:t>three-component records or consistency with Rayleigh-wave-like elliptical motion. Since the</w:t>
      </w:r>
      <w:r w:rsidR="00A85DB3" w:rsidRPr="00A86F11">
        <w:t xml:space="preserve"> </w:t>
      </w:r>
      <w:r w:rsidRPr="00A86F11">
        <w:t>manuscript notes that horizontal components were not used for SBL calculation because</w:t>
      </w:r>
      <w:r w:rsidR="00A85DB3" w:rsidRPr="00A86F11">
        <w:t xml:space="preserve"> </w:t>
      </w:r>
      <w:r w:rsidRPr="00A86F11">
        <w:rPr>
          <w:rFonts w:hint="eastAsia"/>
        </w:rPr>
        <w:t>“</w:t>
      </w:r>
      <w:r w:rsidRPr="00A86F11">
        <w:t>horizontal components sometimes had problems,” extra caution is needed when equating</w:t>
      </w:r>
      <w:r w:rsidR="00A85DB3" w:rsidRPr="00A86F11">
        <w:t xml:space="preserve"> </w:t>
      </w:r>
      <w:r w:rsidRPr="00A86F11">
        <w:t>SBL with “Rayleigh-wave-like tremor.”</w:t>
      </w:r>
    </w:p>
    <w:p w14:paraId="6337D05A" w14:textId="77777777" w:rsidR="005D7B04" w:rsidRPr="00A86F11" w:rsidRDefault="005D7B04" w:rsidP="005D7B04">
      <w:pPr>
        <w:widowControl/>
        <w:jc w:val="left"/>
      </w:pPr>
    </w:p>
    <w:p w14:paraId="2B8D7CC4" w14:textId="3E980362" w:rsidR="005D7B04" w:rsidRPr="00A86F11" w:rsidRDefault="00B91F02" w:rsidP="005D7B04">
      <w:pPr>
        <w:widowControl/>
        <w:jc w:val="left"/>
        <w:rPr>
          <w:b/>
          <w:bCs/>
        </w:rPr>
      </w:pPr>
      <w:r w:rsidRPr="00A86F11">
        <w:rPr>
          <w:rFonts w:hint="eastAsia"/>
          <w:b/>
          <w:bCs/>
        </w:rPr>
        <w:t>Response:</w:t>
      </w:r>
    </w:p>
    <w:p w14:paraId="3A805861" w14:textId="77777777" w:rsidR="005D7B04" w:rsidRPr="00A86F11" w:rsidRDefault="005D7B04" w:rsidP="005D7B04">
      <w:pPr>
        <w:widowControl/>
        <w:jc w:val="left"/>
      </w:pPr>
      <w:r w:rsidRPr="00A86F11">
        <w:t>We thank the reviewer for this valuable comment.</w:t>
      </w:r>
    </w:p>
    <w:p w14:paraId="5C55213B" w14:textId="77777777" w:rsidR="005D7B04" w:rsidRPr="00A86F11" w:rsidRDefault="005D7B04" w:rsidP="005D7B04">
      <w:pPr>
        <w:widowControl/>
        <w:jc w:val="left"/>
      </w:pPr>
      <w:r w:rsidRPr="00A86F11">
        <w:t>We agree that SBL is an amplitude-based indicator and that the propagation mode of the recorded seismic waves cannot be identified from the SBL definition alone. Therefore, caution is required when interpreting SBL increases or decreases directly as changes in volcanic tremor strength or in the strength of a shallow hydrothermal vibration source.</w:t>
      </w:r>
    </w:p>
    <w:p w14:paraId="21CE80F7" w14:textId="77777777" w:rsidR="005D7B04" w:rsidRPr="00A86F11" w:rsidRDefault="005D7B04" w:rsidP="005D7B04">
      <w:pPr>
        <w:widowControl/>
        <w:jc w:val="left"/>
      </w:pPr>
      <w:r w:rsidRPr="00A86F11">
        <w:t>In response to this comment, as well as related Comments 8–12, we substantially revised Section 5.2. In the revised manuscript, the polarization analysis is positioned as a supplementary examination that provides qualitative constraints on the source region of the SBL vibrations.</w:t>
      </w:r>
    </w:p>
    <w:p w14:paraId="601B5974" w14:textId="6F549780" w:rsidR="005D7B04" w:rsidRPr="00A86F11" w:rsidRDefault="001E5FF7" w:rsidP="005D7B04">
      <w:pPr>
        <w:widowControl/>
        <w:jc w:val="left"/>
      </w:pPr>
      <w:r w:rsidRPr="00A86F11">
        <w:rPr>
          <w:rFonts w:hint="eastAsia"/>
        </w:rPr>
        <w:t>W</w:t>
      </w:r>
      <w:r w:rsidR="005D7B04" w:rsidRPr="00A86F11">
        <w:t xml:space="preserve">e </w:t>
      </w:r>
      <w:r w:rsidRPr="00A86F11">
        <w:rPr>
          <w:rFonts w:hint="eastAsia"/>
        </w:rPr>
        <w:t xml:space="preserve">also </w:t>
      </w:r>
      <w:r w:rsidR="005D7B04" w:rsidRPr="00A86F11">
        <w:t xml:space="preserve">revised the interpretation of the SBL ratios so that source-region migration is presented as one possible explanation rather than a unique conclusion, while explicitly acknowledging the potential influence of </w:t>
      </w:r>
      <w:r w:rsidR="00A60B86" w:rsidRPr="00A86F11">
        <w:t>propagation characteristics and radiation patterns</w:t>
      </w:r>
      <w:r w:rsidR="00983E0E" w:rsidRPr="00A86F11">
        <w:t xml:space="preserve"> (lines 4</w:t>
      </w:r>
      <w:r w:rsidR="00FE02AB" w:rsidRPr="00A86F11">
        <w:rPr>
          <w:rFonts w:hint="eastAsia"/>
        </w:rPr>
        <w:t>47</w:t>
      </w:r>
      <w:r w:rsidR="00611F83" w:rsidRPr="00A86F11">
        <w:t>–</w:t>
      </w:r>
      <w:r w:rsidR="00F12EC9" w:rsidRPr="00A86F11">
        <w:t>4</w:t>
      </w:r>
      <w:r w:rsidR="00FE02AB" w:rsidRPr="00A86F11">
        <w:rPr>
          <w:rFonts w:hint="eastAsia"/>
        </w:rPr>
        <w:t>50</w:t>
      </w:r>
      <w:r w:rsidR="00983E0E" w:rsidRPr="00A86F11">
        <w:t xml:space="preserve"> in the revised manuscript)</w:t>
      </w:r>
      <w:r w:rsidR="005D7B04" w:rsidRPr="00A86F11">
        <w:t>.</w:t>
      </w:r>
    </w:p>
    <w:p w14:paraId="41087C7D" w14:textId="14A5799E" w:rsidR="00B468BF" w:rsidRPr="00A86F11" w:rsidRDefault="005D7B04" w:rsidP="005D7B04">
      <w:pPr>
        <w:widowControl/>
        <w:jc w:val="left"/>
      </w:pPr>
      <w:r w:rsidRPr="00A86F11">
        <w:t>Furthermore, as described in our response to Comment 12, we compared SBL calculated from the vertical component, horizontal components, and all three components, and added the results to the Supplementary Information</w:t>
      </w:r>
      <w:r w:rsidR="00CC7568" w:rsidRPr="00A86F11">
        <w:rPr>
          <w:rFonts w:hint="eastAsia"/>
        </w:rPr>
        <w:t xml:space="preserve"> (Fig. S2, S3, S4, S5, S6)</w:t>
      </w:r>
      <w:r w:rsidRPr="00A86F11">
        <w:t>. Although this analysis does not identify the dominant wave type, the long-term temporal variations of SBL were broadly consistent among the different component combinations at most stations. Therefore, while uncertainty remains regarding the detailed wavefield composition, we consider that the principal long-term variations discussed in this study are generally robust with respect to component selection.</w:t>
      </w:r>
      <w:r w:rsidR="00B468BF" w:rsidRPr="00A86F11">
        <w:br w:type="page"/>
      </w:r>
    </w:p>
    <w:p w14:paraId="12561AE2" w14:textId="6C5B6304" w:rsidR="00B468BF" w:rsidRPr="00A86F11" w:rsidRDefault="00B468BF" w:rsidP="00B468BF">
      <w:pPr>
        <w:rPr>
          <w:b/>
          <w:bCs/>
        </w:rPr>
      </w:pPr>
      <w:r w:rsidRPr="00A86F11">
        <w:rPr>
          <w:b/>
          <w:bCs/>
        </w:rPr>
        <w:lastRenderedPageBreak/>
        <w:t>Minor comments:</w:t>
      </w:r>
    </w:p>
    <w:p w14:paraId="54F36FCD" w14:textId="05D6DCF6" w:rsidR="000C4201" w:rsidRPr="00A86F11" w:rsidRDefault="000C4201" w:rsidP="000C4201">
      <w:pPr>
        <w:rPr>
          <w:b/>
          <w:bCs/>
        </w:rPr>
      </w:pPr>
      <w:r w:rsidRPr="00A86F11">
        <w:rPr>
          <w:rFonts w:hint="eastAsia"/>
          <w:b/>
          <w:bCs/>
        </w:rPr>
        <w:t>[Comment 14]</w:t>
      </w:r>
    </w:p>
    <w:p w14:paraId="69869F14" w14:textId="5812D0DB" w:rsidR="007C10A4" w:rsidRPr="00A86F11" w:rsidRDefault="007C10A4" w:rsidP="007C10A4">
      <w:r w:rsidRPr="00A86F11">
        <w:t>Lines 56–57: “Long-term analysis of seismic data is important, because the evaluation</w:t>
      </w:r>
      <w:r w:rsidR="005B0279" w:rsidRPr="00A86F11">
        <w:t xml:space="preserve"> </w:t>
      </w:r>
      <w:r w:rsidRPr="00A86F11">
        <w:t>of volcanic activity is difficult to achieve using individual datasets alone.” The logic is</w:t>
      </w:r>
      <w:r w:rsidR="005B0279" w:rsidRPr="00A86F11">
        <w:t xml:space="preserve"> </w:t>
      </w:r>
      <w:r w:rsidRPr="00A86F11">
        <w:t>somewhat disjointed. The reason given for “long-term analysis is important” is “evaluation is</w:t>
      </w:r>
      <w:r w:rsidR="005B0279" w:rsidRPr="00A86F11">
        <w:t xml:space="preserve"> </w:t>
      </w:r>
      <w:r w:rsidRPr="00A86F11">
        <w:t>difficult with individual datasets alone,” but this is an argument for “integration of multiple</w:t>
      </w:r>
      <w:r w:rsidR="005B0279" w:rsidRPr="00A86F11">
        <w:t xml:space="preserve"> </w:t>
      </w:r>
      <w:r w:rsidRPr="00A86F11">
        <w:t>data types is important,” which is slightly off as a basis for the necessity of “long-term</w:t>
      </w:r>
      <w:r w:rsidR="005B0279" w:rsidRPr="00A86F11">
        <w:t xml:space="preserve"> </w:t>
      </w:r>
      <w:r w:rsidRPr="00A86F11">
        <w:t>analysis.” It would be clearer to distinguish the reason why “long-term analysis” is important</w:t>
      </w:r>
      <w:r w:rsidR="005B0279" w:rsidRPr="00A86F11">
        <w:t xml:space="preserve"> </w:t>
      </w:r>
      <w:r w:rsidRPr="00A86F11">
        <w:t>(e.g., volcanic activity variations progress over year-to-decade timescales) from the reason</w:t>
      </w:r>
      <w:r w:rsidR="005B0279" w:rsidRPr="00A86F11">
        <w:t xml:space="preserve"> </w:t>
      </w:r>
      <w:r w:rsidRPr="00A86F11">
        <w:t>why “integration of multiple data types” is important.</w:t>
      </w:r>
    </w:p>
    <w:p w14:paraId="44948D56" w14:textId="77777777" w:rsidR="004A7060" w:rsidRPr="00A86F11" w:rsidRDefault="004A7060" w:rsidP="007C10A4"/>
    <w:p w14:paraId="445E1CB4" w14:textId="5D0C5372" w:rsidR="004A7060" w:rsidRPr="00A86F11" w:rsidRDefault="005662D2" w:rsidP="007C10A4">
      <w:pPr>
        <w:rPr>
          <w:b/>
          <w:bCs/>
        </w:rPr>
      </w:pPr>
      <w:r w:rsidRPr="00A86F11">
        <w:rPr>
          <w:rFonts w:hint="eastAsia"/>
          <w:b/>
          <w:bCs/>
        </w:rPr>
        <w:t>Response:</w:t>
      </w:r>
    </w:p>
    <w:p w14:paraId="73CB93E3" w14:textId="77777777" w:rsidR="00E8621D" w:rsidRPr="00A86F11" w:rsidRDefault="00E8621D" w:rsidP="00E8621D">
      <w:r w:rsidRPr="00A86F11">
        <w:t>We thank the reviewer for this valuable comment.</w:t>
      </w:r>
    </w:p>
    <w:p w14:paraId="7ED9EF49" w14:textId="43D4810B" w:rsidR="00B468BF" w:rsidRPr="00A86F11" w:rsidRDefault="00E8621D" w:rsidP="00890A7C">
      <w:r w:rsidRPr="00A86F11">
        <w:t>We agree that the original statement did not clearly distinguish the rationale for long-term analysis from that for integrating multiple datasets, and we have revised the manuscript accordingly</w:t>
      </w:r>
      <w:r w:rsidR="007624CE" w:rsidRPr="00A86F11">
        <w:rPr>
          <w:rFonts w:hint="eastAsia"/>
        </w:rPr>
        <w:t xml:space="preserve"> </w:t>
      </w:r>
      <w:r w:rsidR="007624CE" w:rsidRPr="00A86F11">
        <w:t xml:space="preserve">(lines </w:t>
      </w:r>
      <w:r w:rsidR="002B61CD" w:rsidRPr="00A86F11">
        <w:t>5</w:t>
      </w:r>
      <w:r w:rsidR="00AF333C" w:rsidRPr="00A86F11">
        <w:rPr>
          <w:rFonts w:hint="eastAsia"/>
        </w:rPr>
        <w:t>1</w:t>
      </w:r>
      <w:r w:rsidR="00611F83" w:rsidRPr="00A86F11">
        <w:t>–</w:t>
      </w:r>
      <w:r w:rsidR="00AF333C" w:rsidRPr="00A86F11">
        <w:rPr>
          <w:rFonts w:hint="eastAsia"/>
        </w:rPr>
        <w:t>57</w:t>
      </w:r>
      <w:r w:rsidR="007624CE" w:rsidRPr="00A86F11">
        <w:t xml:space="preserve"> in the revised manuscript)</w:t>
      </w:r>
      <w:r w:rsidRPr="00A86F11">
        <w:t>. Volcanic activity commonly evolves over timescales of years to decades, and therefore long-term observations are essential to capture these variations. In addition, for any metric to be useful for monitoring purposes, it is necessary to establish its baseline behavior over both quiescent and active periods.</w:t>
      </w:r>
    </w:p>
    <w:p w14:paraId="0181C684" w14:textId="77777777" w:rsidR="00890A7C" w:rsidRPr="00A86F11" w:rsidRDefault="00890A7C" w:rsidP="00890A7C"/>
    <w:p w14:paraId="0004F53A" w14:textId="77777777" w:rsidR="00890A7C" w:rsidRPr="00A86F11" w:rsidRDefault="00890A7C" w:rsidP="00890A7C"/>
    <w:p w14:paraId="1345C2E9" w14:textId="77777777" w:rsidR="00890A7C" w:rsidRPr="00A86F11" w:rsidRDefault="00890A7C" w:rsidP="00890A7C"/>
    <w:p w14:paraId="1EE778CD" w14:textId="552CC1DE" w:rsidR="000C4201" w:rsidRPr="00A86F11" w:rsidRDefault="000C4201" w:rsidP="000C4201">
      <w:pPr>
        <w:rPr>
          <w:b/>
          <w:bCs/>
        </w:rPr>
      </w:pPr>
      <w:r w:rsidRPr="00A86F11">
        <w:rPr>
          <w:rFonts w:hint="eastAsia"/>
          <w:b/>
          <w:bCs/>
        </w:rPr>
        <w:t>[Comment 15]</w:t>
      </w:r>
      <w:r w:rsidR="008E6B41" w:rsidRPr="00A86F11">
        <w:rPr>
          <w:b/>
          <w:bCs/>
          <w:noProof/>
        </w:rPr>
        <w:t xml:space="preserve"> </w:t>
      </w:r>
    </w:p>
    <w:p w14:paraId="3E0EEBCE" w14:textId="66970C06" w:rsidR="007C10A4" w:rsidRPr="00A86F11" w:rsidRDefault="007C10A4" w:rsidP="007C10A4">
      <w:r w:rsidRPr="00A86F11">
        <w:t>Lines 57–59: “Combining various observations provides a more reliable picture of the</w:t>
      </w:r>
      <w:r w:rsidR="004F500C" w:rsidRPr="00A86F11">
        <w:t xml:space="preserve"> </w:t>
      </w:r>
      <w:r w:rsidRPr="00A86F11">
        <w:t>state of a volcano (Poland and Anderson 2020; Burchardt et al. 2022; Acocella et al. 2024;</w:t>
      </w:r>
      <w:r w:rsidR="004F500C" w:rsidRPr="00A86F11">
        <w:t xml:space="preserve"> </w:t>
      </w:r>
      <w:r w:rsidRPr="00A86F11">
        <w:t>Stix et al. 2025).” This functions as a supplement to the previous sentence, but the previous</w:t>
      </w:r>
      <w:r w:rsidR="004F500C" w:rsidRPr="00A86F11">
        <w:t xml:space="preserve"> </w:t>
      </w:r>
      <w:r w:rsidRPr="00A86F11">
        <w:t>sentence starts with “long-term analysis” while this sentence shifts to “integration of various</w:t>
      </w:r>
      <w:r w:rsidR="004F500C" w:rsidRPr="00A86F11">
        <w:t xml:space="preserve"> </w:t>
      </w:r>
      <w:r w:rsidRPr="00A86F11">
        <w:t>observations.” The coherence with the topic sentence of the first paragraph is somewhat</w:t>
      </w:r>
      <w:r w:rsidR="004F500C" w:rsidRPr="00A86F11">
        <w:t xml:space="preserve"> </w:t>
      </w:r>
      <w:r w:rsidRPr="00A86F11">
        <w:t>weak.</w:t>
      </w:r>
    </w:p>
    <w:p w14:paraId="160F92F0" w14:textId="77777777" w:rsidR="00EC7CD6" w:rsidRPr="00A86F11" w:rsidRDefault="00EC7CD6" w:rsidP="007C10A4"/>
    <w:p w14:paraId="74C3078A" w14:textId="37C6784A" w:rsidR="00EC7CD6" w:rsidRPr="00A86F11" w:rsidRDefault="00775E19" w:rsidP="007C10A4">
      <w:pPr>
        <w:rPr>
          <w:b/>
          <w:bCs/>
        </w:rPr>
      </w:pPr>
      <w:r w:rsidRPr="00A86F11">
        <w:rPr>
          <w:rFonts w:hint="eastAsia"/>
          <w:b/>
          <w:bCs/>
        </w:rPr>
        <w:t>Response:</w:t>
      </w:r>
    </w:p>
    <w:p w14:paraId="39BB9E36" w14:textId="77777777" w:rsidR="00FC0FD7" w:rsidRPr="00A86F11" w:rsidRDefault="00FC0FD7" w:rsidP="00FC0FD7">
      <w:r w:rsidRPr="00A86F11">
        <w:t>We thank the reviewer for this valuable comment.</w:t>
      </w:r>
    </w:p>
    <w:p w14:paraId="4940E07C" w14:textId="7A391139" w:rsidR="00FC0FD7" w:rsidRPr="00A86F11" w:rsidRDefault="00FC0FD7" w:rsidP="00FC0FD7">
      <w:r w:rsidRPr="00A86F11">
        <w:t>We agree that the original paragraph did not clearly distinguish between the rationale for long-term analysis and that for integrating multiple types of observations, which weakened the overall coherence of the first paragraph. This issue is closely related to the comment in (14), and we have revised the manuscript accordingly</w:t>
      </w:r>
      <w:r w:rsidR="009715A0" w:rsidRPr="00A86F11">
        <w:rPr>
          <w:rFonts w:hint="eastAsia"/>
        </w:rPr>
        <w:t xml:space="preserve"> </w:t>
      </w:r>
      <w:r w:rsidR="009715A0" w:rsidRPr="00A86F11">
        <w:t xml:space="preserve">(lines </w:t>
      </w:r>
      <w:r w:rsidR="004F7A29" w:rsidRPr="00A86F11">
        <w:rPr>
          <w:rFonts w:hint="eastAsia"/>
        </w:rPr>
        <w:t>51</w:t>
      </w:r>
      <w:r w:rsidR="00611F83" w:rsidRPr="00A86F11">
        <w:t>–</w:t>
      </w:r>
      <w:r w:rsidR="004F7A29" w:rsidRPr="00A86F11">
        <w:rPr>
          <w:rFonts w:hint="eastAsia"/>
        </w:rPr>
        <w:t>57</w:t>
      </w:r>
      <w:r w:rsidR="009715A0" w:rsidRPr="00A86F11">
        <w:t xml:space="preserve"> in the revised manuscript)</w:t>
      </w:r>
      <w:r w:rsidRPr="00A86F11">
        <w:t>.</w:t>
      </w:r>
    </w:p>
    <w:p w14:paraId="671CBE8B" w14:textId="281E3912" w:rsidR="00FC0FD7" w:rsidRPr="00A86F11" w:rsidRDefault="00FC0FD7" w:rsidP="00FC0FD7">
      <w:r w:rsidRPr="00A86F11">
        <w:t xml:space="preserve">Specifically, we have clarified that long-term analysis is required to capture temporal </w:t>
      </w:r>
      <w:r w:rsidRPr="00A86F11">
        <w:lastRenderedPageBreak/>
        <w:t>variations in volcanic activity and to establish a reliable baseline over both quiescent and active periods, whereas the integration of multiple datasets is important because the evaluation of volcanic activity is difficult to achieve using any single dataset alone.</w:t>
      </w:r>
    </w:p>
    <w:p w14:paraId="51241547" w14:textId="6C2473FB" w:rsidR="00B468BF" w:rsidRPr="00A86F11" w:rsidRDefault="00B468BF">
      <w:pPr>
        <w:widowControl/>
        <w:jc w:val="left"/>
      </w:pPr>
    </w:p>
    <w:p w14:paraId="51A5DD9F" w14:textId="77777777" w:rsidR="005929EF" w:rsidRPr="00A86F11" w:rsidRDefault="005929EF">
      <w:pPr>
        <w:widowControl/>
        <w:jc w:val="left"/>
      </w:pPr>
    </w:p>
    <w:p w14:paraId="1A35EB0C" w14:textId="77777777" w:rsidR="009B2812" w:rsidRPr="00A86F11" w:rsidRDefault="009B2812">
      <w:pPr>
        <w:widowControl/>
        <w:jc w:val="left"/>
      </w:pPr>
    </w:p>
    <w:p w14:paraId="01259948" w14:textId="7255AC4E" w:rsidR="000C4201" w:rsidRPr="00A86F11" w:rsidRDefault="000C4201" w:rsidP="000C4201">
      <w:pPr>
        <w:rPr>
          <w:b/>
          <w:bCs/>
        </w:rPr>
      </w:pPr>
      <w:r w:rsidRPr="00A86F11">
        <w:rPr>
          <w:rFonts w:hint="eastAsia"/>
          <w:b/>
          <w:bCs/>
        </w:rPr>
        <w:t>[Comment 16]</w:t>
      </w:r>
    </w:p>
    <w:p w14:paraId="5B89F7E6" w14:textId="319A2FBC" w:rsidR="007C10A4" w:rsidRPr="00A86F11" w:rsidRDefault="007C10A4" w:rsidP="007C10A4">
      <w:r w:rsidRPr="00A86F11">
        <w:t>Lines 101–102: “As a result, we identified, for the first time, the presence of SBL</w:t>
      </w:r>
      <w:r w:rsidR="009F2810" w:rsidRPr="00A86F11">
        <w:t xml:space="preserve"> </w:t>
      </w:r>
      <w:r w:rsidRPr="00A86F11">
        <w:t>vibrations…” Presenting results in the Introduction is acceptable in itself, but “for the first</w:t>
      </w:r>
      <w:r w:rsidR="009F2810" w:rsidRPr="00A86F11">
        <w:t xml:space="preserve"> </w:t>
      </w:r>
      <w:r w:rsidRPr="00A86F11">
        <w:t>time” is a strong claim, and unless the authors can demonstrate comprehensive coverage of</w:t>
      </w:r>
      <w:r w:rsidR="009F2810" w:rsidRPr="00A86F11">
        <w:t xml:space="preserve"> </w:t>
      </w:r>
      <w:r w:rsidRPr="00A86F11">
        <w:t>prior literature, it would be safer to weaken this. Also, having results appear before the</w:t>
      </w:r>
      <w:r w:rsidR="009F2810" w:rsidRPr="00A86F11">
        <w:t xml:space="preserve"> </w:t>
      </w:r>
      <w:r w:rsidRPr="00A86F11">
        <w:t>statement of objectives makes the structure somewhat unnatural.</w:t>
      </w:r>
    </w:p>
    <w:p w14:paraId="03EAF2B7" w14:textId="77777777" w:rsidR="00590FB0" w:rsidRPr="00A86F11" w:rsidRDefault="00590FB0" w:rsidP="007C10A4"/>
    <w:p w14:paraId="0A868A5D" w14:textId="54017983" w:rsidR="00A0029F" w:rsidRPr="00A86F11" w:rsidRDefault="00775E19" w:rsidP="007C10A4">
      <w:pPr>
        <w:rPr>
          <w:b/>
          <w:bCs/>
        </w:rPr>
      </w:pPr>
      <w:r w:rsidRPr="00A86F11">
        <w:rPr>
          <w:rFonts w:hint="eastAsia"/>
          <w:b/>
          <w:bCs/>
        </w:rPr>
        <w:t>Response:</w:t>
      </w:r>
    </w:p>
    <w:p w14:paraId="2A21A3FA" w14:textId="77777777" w:rsidR="00D7743A" w:rsidRPr="00A86F11" w:rsidRDefault="00D7743A" w:rsidP="00D7743A">
      <w:r w:rsidRPr="00A86F11">
        <w:t xml:space="preserve">We thank the reviewer for this valuable comment. </w:t>
      </w:r>
    </w:p>
    <w:p w14:paraId="76C2B3F9" w14:textId="0F5FB032" w:rsidR="00B468BF" w:rsidRPr="00A86F11" w:rsidRDefault="00D7743A" w:rsidP="00812C67">
      <w:r w:rsidRPr="00A86F11">
        <w:t>We agree and have revised the manuscript accordingly</w:t>
      </w:r>
      <w:r w:rsidR="0081185A" w:rsidRPr="00A86F11">
        <w:rPr>
          <w:rFonts w:hint="eastAsia"/>
        </w:rPr>
        <w:t xml:space="preserve"> </w:t>
      </w:r>
      <w:r w:rsidR="0081185A" w:rsidRPr="00A86F11">
        <w:t>(line 10</w:t>
      </w:r>
      <w:r w:rsidR="006D27FB" w:rsidRPr="00A86F11">
        <w:rPr>
          <w:rFonts w:hint="eastAsia"/>
        </w:rPr>
        <w:t>2</w:t>
      </w:r>
      <w:r w:rsidR="0081185A" w:rsidRPr="00A86F11">
        <w:t xml:space="preserve"> in the revised manuscript)</w:t>
      </w:r>
      <w:r w:rsidRPr="00A86F11">
        <w:t>. We have reordered the sentences to improve the logical structure and removed the phrase “for the first time.”</w:t>
      </w:r>
    </w:p>
    <w:p w14:paraId="58C936EA" w14:textId="77777777" w:rsidR="00812C67" w:rsidRPr="00A86F11" w:rsidRDefault="00812C67" w:rsidP="00812C67"/>
    <w:p w14:paraId="2901D247" w14:textId="77777777" w:rsidR="00812C67" w:rsidRPr="00A86F11" w:rsidRDefault="00812C67" w:rsidP="00812C67"/>
    <w:p w14:paraId="23639530" w14:textId="77777777" w:rsidR="00812C67" w:rsidRPr="00A86F11" w:rsidRDefault="00812C67" w:rsidP="00812C67"/>
    <w:p w14:paraId="76D04869" w14:textId="6257D0E1" w:rsidR="00537B71" w:rsidRPr="00A86F11" w:rsidRDefault="00537B71" w:rsidP="00537B71">
      <w:pPr>
        <w:rPr>
          <w:b/>
          <w:bCs/>
        </w:rPr>
      </w:pPr>
      <w:r w:rsidRPr="00A86F11">
        <w:rPr>
          <w:rFonts w:hint="eastAsia"/>
          <w:b/>
          <w:bCs/>
        </w:rPr>
        <w:t>[Comment 17]</w:t>
      </w:r>
      <w:r w:rsidR="00E54158" w:rsidRPr="00A86F11">
        <w:rPr>
          <w:b/>
          <w:bCs/>
          <w:noProof/>
        </w:rPr>
        <w:t xml:space="preserve"> </w:t>
      </w:r>
    </w:p>
    <w:p w14:paraId="4E5DC4F1" w14:textId="2940D2A5" w:rsidR="007C10A4" w:rsidRPr="00A86F11" w:rsidRDefault="007C10A4" w:rsidP="007C10A4">
      <w:r w:rsidRPr="00A86F11">
        <w:t>Lines 103–105: “This understanding will improve our knowledge of the relationship</w:t>
      </w:r>
      <w:r w:rsidR="00BA7D0D" w:rsidRPr="00A86F11">
        <w:t xml:space="preserve"> </w:t>
      </w:r>
      <w:r w:rsidRPr="00A86F11">
        <w:t>between the supply of volcanic fluids and the shallow aquifer or hydrothermal system…” In</w:t>
      </w:r>
      <w:r w:rsidR="00BA7D0D" w:rsidRPr="00A86F11">
        <w:t xml:space="preserve"> </w:t>
      </w:r>
      <w:r w:rsidRPr="00A86F11">
        <w:t>the latter half of the paper, SBL and the correlation between deformation and surface</w:t>
      </w:r>
      <w:r w:rsidR="00BA7D0D" w:rsidRPr="00A86F11">
        <w:t xml:space="preserve"> </w:t>
      </w:r>
      <w:r w:rsidRPr="00A86F11">
        <w:t>phenomena are interpreted as “fluid supply from deeper to shallower regions,” and the</w:t>
      </w:r>
      <w:r w:rsidR="00BA7D0D" w:rsidRPr="00A86F11">
        <w:t xml:space="preserve"> </w:t>
      </w:r>
      <w:r w:rsidRPr="00A86F11">
        <w:t>authors themselves state that quantitative estimation of SBL source depth has not been</w:t>
      </w:r>
      <w:r w:rsidR="00BA7D0D" w:rsidRPr="00A86F11">
        <w:t xml:space="preserve"> </w:t>
      </w:r>
      <w:r w:rsidRPr="00A86F11">
        <w:t>achieved. Therefore, this sentence should be weakened to something like “will provide</w:t>
      </w:r>
      <w:r w:rsidR="00BA7D0D" w:rsidRPr="00A86F11">
        <w:t xml:space="preserve"> </w:t>
      </w:r>
      <w:r w:rsidRPr="00A86F11">
        <w:t>constraints on…” to be consistent with the actual scope of the analysis.</w:t>
      </w:r>
    </w:p>
    <w:p w14:paraId="6372F971" w14:textId="77777777" w:rsidR="00CA2A70" w:rsidRPr="00A86F11" w:rsidRDefault="00CA2A70" w:rsidP="007C10A4"/>
    <w:p w14:paraId="02D01D9F" w14:textId="579F6D22" w:rsidR="00336853" w:rsidRPr="00A86F11" w:rsidRDefault="00775E19" w:rsidP="007C10A4">
      <w:pPr>
        <w:rPr>
          <w:b/>
          <w:bCs/>
        </w:rPr>
      </w:pPr>
      <w:r w:rsidRPr="00A86F11">
        <w:rPr>
          <w:rFonts w:hint="eastAsia"/>
          <w:b/>
          <w:bCs/>
        </w:rPr>
        <w:t>Response:</w:t>
      </w:r>
    </w:p>
    <w:p w14:paraId="6D19E12C" w14:textId="77777777" w:rsidR="00B278B6" w:rsidRPr="00A86F11" w:rsidRDefault="00B278B6" w:rsidP="00B278B6">
      <w:r w:rsidRPr="00A86F11">
        <w:t xml:space="preserve">We thank the reviewer for this valuable comment. </w:t>
      </w:r>
    </w:p>
    <w:p w14:paraId="6065CF25" w14:textId="7A22879B" w:rsidR="00812C67" w:rsidRPr="00A86F11" w:rsidRDefault="00B278B6" w:rsidP="00B278B6">
      <w:r w:rsidRPr="00A86F11">
        <w:t>We agree and have revised</w:t>
      </w:r>
      <w:r w:rsidR="003C5FAA" w:rsidRPr="00A86F11">
        <w:rPr>
          <w:rFonts w:hint="eastAsia"/>
        </w:rPr>
        <w:t xml:space="preserve"> </w:t>
      </w:r>
      <w:r w:rsidRPr="00A86F11">
        <w:t>the sentence accordingly by weakening the expression to better reflect the scope and limitations of the analysis</w:t>
      </w:r>
      <w:r w:rsidR="002B5834" w:rsidRPr="00A86F11">
        <w:rPr>
          <w:rFonts w:hint="eastAsia"/>
        </w:rPr>
        <w:t xml:space="preserve"> </w:t>
      </w:r>
      <w:r w:rsidR="002B5834" w:rsidRPr="00A86F11">
        <w:t>(lines 10</w:t>
      </w:r>
      <w:r w:rsidR="00A0325B" w:rsidRPr="00A86F11">
        <w:rPr>
          <w:rFonts w:hint="eastAsia"/>
        </w:rPr>
        <w:t>2</w:t>
      </w:r>
      <w:r w:rsidR="00611F83" w:rsidRPr="00A86F11">
        <w:t>–</w:t>
      </w:r>
      <w:r w:rsidR="002B5834" w:rsidRPr="00A86F11">
        <w:t>10</w:t>
      </w:r>
      <w:r w:rsidR="00A0325B" w:rsidRPr="00A86F11">
        <w:rPr>
          <w:rFonts w:hint="eastAsia"/>
        </w:rPr>
        <w:t>4</w:t>
      </w:r>
      <w:r w:rsidR="002B5834" w:rsidRPr="00A86F11">
        <w:t xml:space="preserve"> in the revised manuscript)</w:t>
      </w:r>
      <w:r w:rsidRPr="00A86F11">
        <w:t>, as suggested.</w:t>
      </w:r>
    </w:p>
    <w:p w14:paraId="34E361E9" w14:textId="77777777" w:rsidR="00812C67" w:rsidRPr="00A86F11" w:rsidRDefault="00812C67">
      <w:pPr>
        <w:widowControl/>
        <w:jc w:val="left"/>
      </w:pPr>
      <w:r w:rsidRPr="00A86F11">
        <w:br w:type="page"/>
      </w:r>
    </w:p>
    <w:p w14:paraId="06AA7428" w14:textId="0FB143FE" w:rsidR="002F77D5" w:rsidRPr="00A86F11" w:rsidRDefault="002F77D5" w:rsidP="002F77D5">
      <w:pPr>
        <w:rPr>
          <w:b/>
          <w:bCs/>
        </w:rPr>
      </w:pPr>
      <w:r w:rsidRPr="00A86F11">
        <w:rPr>
          <w:rFonts w:hint="eastAsia"/>
          <w:b/>
          <w:bCs/>
        </w:rPr>
        <w:lastRenderedPageBreak/>
        <w:t>[Comment 18]</w:t>
      </w:r>
      <w:r w:rsidR="00726C3A" w:rsidRPr="00A86F11">
        <w:rPr>
          <w:b/>
          <w:bCs/>
          <w:noProof/>
        </w:rPr>
        <w:t xml:space="preserve"> </w:t>
      </w:r>
    </w:p>
    <w:p w14:paraId="2D6CE0BE" w14:textId="196BF24E" w:rsidR="00A975A3" w:rsidRPr="00A86F11" w:rsidRDefault="007C10A4" w:rsidP="002938D9">
      <w:pPr>
        <w:rPr>
          <w:color w:val="0000FF"/>
        </w:rPr>
      </w:pPr>
      <w:r w:rsidRPr="00A86F11">
        <w:t>Lines 77–80: “The SBL analysis is also useful for understanding the behavior of shallow</w:t>
      </w:r>
      <w:r w:rsidR="00001EE9" w:rsidRPr="00A86F11">
        <w:t xml:space="preserve"> </w:t>
      </w:r>
      <w:r w:rsidRPr="00A86F11">
        <w:t>fluids even in volcanic environments where phreatic eruptions occur. Kurihara (2023) applied</w:t>
      </w:r>
      <w:r w:rsidR="00001EE9" w:rsidRPr="00A86F11">
        <w:t xml:space="preserve"> </w:t>
      </w:r>
      <w:r w:rsidRPr="00A86F11">
        <w:t>the SBL analysis and detected signals associated with the 2015 phreatic eruption at Hakone</w:t>
      </w:r>
      <w:r w:rsidR="00001EE9" w:rsidRPr="00A86F11">
        <w:t xml:space="preserve"> </w:t>
      </w:r>
      <w:r w:rsidRPr="00A86F11">
        <w:t>volcano.” This is an appropriate introduction showing the applicability of SBL to phreatic</w:t>
      </w:r>
      <w:r w:rsidR="00001EE9" w:rsidRPr="00A86F11">
        <w:t xml:space="preserve"> </w:t>
      </w:r>
      <w:r w:rsidRPr="00A86F11">
        <w:t>eruption environments, but it would be good to explain Kurihara (2023)’s results and</w:t>
      </w:r>
      <w:r w:rsidR="00001EE9" w:rsidRPr="00A86F11">
        <w:t xml:space="preserve"> </w:t>
      </w:r>
      <w:r w:rsidRPr="00A86F11">
        <w:t>demonstrate the usefulness of this approach.</w:t>
      </w:r>
      <w:r w:rsidR="002938D9" w:rsidRPr="00A86F11">
        <w:rPr>
          <w:color w:val="0000FF"/>
        </w:rPr>
        <w:t xml:space="preserve"> </w:t>
      </w:r>
    </w:p>
    <w:p w14:paraId="437B6506" w14:textId="77777777" w:rsidR="00A975A3" w:rsidRPr="00A86F11" w:rsidRDefault="00A975A3" w:rsidP="007C10A4"/>
    <w:p w14:paraId="6BFCD60D" w14:textId="5DAC94D3" w:rsidR="00775E19" w:rsidRPr="00A86F11" w:rsidRDefault="00775E19" w:rsidP="007C10A4">
      <w:pPr>
        <w:rPr>
          <w:b/>
          <w:bCs/>
        </w:rPr>
      </w:pPr>
      <w:r w:rsidRPr="00A86F11">
        <w:rPr>
          <w:rFonts w:hint="eastAsia"/>
          <w:b/>
          <w:bCs/>
        </w:rPr>
        <w:t>Response:</w:t>
      </w:r>
    </w:p>
    <w:p w14:paraId="56C0A27D" w14:textId="32A023C6" w:rsidR="0092540C" w:rsidRDefault="00F17330" w:rsidP="007C10A4">
      <w:r w:rsidRPr="00A86F11">
        <w:t>We thank the reviewer for this helpful comment</w:t>
      </w:r>
      <w:r w:rsidR="0092540C" w:rsidRPr="0092540C">
        <w:t>.</w:t>
      </w:r>
    </w:p>
    <w:p w14:paraId="683A8478" w14:textId="3B16C1D8" w:rsidR="00EC0B43" w:rsidRPr="00A86F11" w:rsidRDefault="0092540C" w:rsidP="007C10A4">
      <w:r w:rsidRPr="0092540C">
        <w:t>We have revised</w:t>
      </w:r>
      <w:r w:rsidR="00E937C1" w:rsidRPr="00A86F11">
        <w:rPr>
          <w:rFonts w:hint="eastAsia"/>
        </w:rPr>
        <w:t xml:space="preserve"> the manuscript</w:t>
      </w:r>
      <w:r w:rsidR="00E937C1" w:rsidRPr="00A86F11">
        <w:t xml:space="preserve"> (lines </w:t>
      </w:r>
      <w:r w:rsidR="00A82E5E" w:rsidRPr="00A86F11">
        <w:rPr>
          <w:rFonts w:hint="eastAsia"/>
        </w:rPr>
        <w:t>75</w:t>
      </w:r>
      <w:r w:rsidR="00611F83" w:rsidRPr="00A86F11">
        <w:t>–</w:t>
      </w:r>
      <w:r w:rsidR="00E937C1" w:rsidRPr="00A86F11">
        <w:t>8</w:t>
      </w:r>
      <w:r w:rsidR="00A82E5E" w:rsidRPr="00A86F11">
        <w:rPr>
          <w:rFonts w:hint="eastAsia"/>
        </w:rPr>
        <w:t>5</w:t>
      </w:r>
      <w:r w:rsidR="00E937C1" w:rsidRPr="00A86F11">
        <w:t xml:space="preserve"> in the revised manuscript)</w:t>
      </w:r>
      <w:r w:rsidR="00F17330" w:rsidRPr="00A86F11">
        <w:t>. We have revised the description of Kurihara (2023) to more clearly explain its result: Kurihara (2023) detected a temporal increase in noise amplitude associated with the 2015 phreatic eruption at Hakone volcano. We also clarified that this result suggests that variations in background seismic noise may reflect changes in volcanic activity, providing a relevant example of the application of SBL analysis to a phreatic eruption environment.</w:t>
      </w:r>
    </w:p>
    <w:p w14:paraId="5C0EFF71" w14:textId="122FEBE8" w:rsidR="00B468BF" w:rsidRPr="00A86F11" w:rsidRDefault="00B468BF">
      <w:pPr>
        <w:widowControl/>
        <w:jc w:val="left"/>
      </w:pPr>
    </w:p>
    <w:p w14:paraId="06EB22BA" w14:textId="77777777" w:rsidR="00812C67" w:rsidRPr="00A86F11" w:rsidRDefault="00812C67">
      <w:pPr>
        <w:widowControl/>
        <w:jc w:val="left"/>
      </w:pPr>
    </w:p>
    <w:p w14:paraId="62AC1EA9" w14:textId="77777777" w:rsidR="00812C67" w:rsidRPr="00A86F11" w:rsidRDefault="00812C67">
      <w:pPr>
        <w:widowControl/>
        <w:jc w:val="left"/>
      </w:pPr>
    </w:p>
    <w:p w14:paraId="4D2175BA" w14:textId="5A4F8CF0" w:rsidR="002F77D5" w:rsidRPr="00A86F11" w:rsidRDefault="002F77D5" w:rsidP="002F77D5">
      <w:pPr>
        <w:rPr>
          <w:b/>
          <w:bCs/>
        </w:rPr>
      </w:pPr>
      <w:r w:rsidRPr="00A86F11">
        <w:rPr>
          <w:rFonts w:hint="eastAsia"/>
          <w:b/>
          <w:bCs/>
        </w:rPr>
        <w:t>[Comment 19]</w:t>
      </w:r>
      <w:r w:rsidR="00863CCD" w:rsidRPr="00A86F11">
        <w:rPr>
          <w:b/>
          <w:bCs/>
          <w:noProof/>
        </w:rPr>
        <w:t xml:space="preserve"> </w:t>
      </w:r>
    </w:p>
    <w:p w14:paraId="6715BD17" w14:textId="5ED2F4E0" w:rsidR="007C10A4" w:rsidRPr="00A86F11" w:rsidRDefault="007C10A4" w:rsidP="007C10A4">
      <w:r w:rsidRPr="00A86F11">
        <w:t>Lines 80–85: “Stix and De Moor (2018) proposed two conceptual models for phreatic</w:t>
      </w:r>
      <w:r w:rsidR="004523CD" w:rsidRPr="00A86F11">
        <w:t xml:space="preserve"> </w:t>
      </w:r>
      <w:r w:rsidRPr="00A86F11">
        <w:t>eruptions and discussed the heating processes of hydrothermal systems and near-surface</w:t>
      </w:r>
      <w:r w:rsidR="004523CD" w:rsidRPr="00A86F11">
        <w:t xml:space="preserve"> </w:t>
      </w:r>
      <w:r w:rsidRPr="00A86F11">
        <w:t>aquifers caused by the supply of volcanic fluids prior to eruption. Because a well-developed</w:t>
      </w:r>
      <w:r w:rsidR="004523CD" w:rsidRPr="00A86F11">
        <w:t xml:space="preserve"> </w:t>
      </w:r>
      <w:r w:rsidRPr="00A86F11">
        <w:t>hydrothermal system exists beneath the Yugama crater at Kusatsu-Shirane volcano</w:t>
      </w:r>
      <w:r w:rsidR="004523CD" w:rsidRPr="00A86F11">
        <w:t xml:space="preserve"> </w:t>
      </w:r>
      <w:r w:rsidRPr="00A86F11">
        <w:t>(Hirabayashi 1999; Terada 2018), detecting variations in the subsurface hydrothermal</w:t>
      </w:r>
      <w:r w:rsidR="004523CD" w:rsidRPr="00A86F11">
        <w:t xml:space="preserve"> </w:t>
      </w:r>
      <w:r w:rsidRPr="00A86F11">
        <w:t>system is crucial for understanding the state of volcanic activity.” The specific content of Stix</w:t>
      </w:r>
      <w:r w:rsidR="004523CD" w:rsidRPr="00A86F11">
        <w:t xml:space="preserve"> </w:t>
      </w:r>
      <w:r w:rsidRPr="00A86F11">
        <w:t xml:space="preserve">and De Moor (2018)’s two models </w:t>
      </w:r>
      <w:proofErr w:type="gramStart"/>
      <w:r w:rsidRPr="00A86F11">
        <w:t>is</w:t>
      </w:r>
      <w:proofErr w:type="gramEnd"/>
      <w:r w:rsidRPr="00A86F11">
        <w:t xml:space="preserve"> not described, only cited, making it unclear how this</w:t>
      </w:r>
      <w:r w:rsidR="004523CD" w:rsidRPr="00A86F11">
        <w:t xml:space="preserve"> </w:t>
      </w:r>
      <w:r w:rsidRPr="00A86F11">
        <w:t>citation relates to the present study.</w:t>
      </w:r>
    </w:p>
    <w:p w14:paraId="11BE4499" w14:textId="77777777" w:rsidR="0086314C" w:rsidRPr="00A86F11" w:rsidRDefault="0086314C" w:rsidP="007C10A4"/>
    <w:p w14:paraId="001B243F" w14:textId="40D65644" w:rsidR="001A5BD3" w:rsidRPr="00A86F11" w:rsidRDefault="00775E19" w:rsidP="007C10A4">
      <w:pPr>
        <w:rPr>
          <w:b/>
          <w:bCs/>
        </w:rPr>
      </w:pPr>
      <w:r w:rsidRPr="00A86F11">
        <w:rPr>
          <w:rFonts w:hint="eastAsia"/>
          <w:b/>
          <w:bCs/>
        </w:rPr>
        <w:t>Response:</w:t>
      </w:r>
    </w:p>
    <w:p w14:paraId="69533B98" w14:textId="586E26C6" w:rsidR="00C8091E" w:rsidRPr="00A86F11" w:rsidRDefault="00C8091E" w:rsidP="00C8091E">
      <w:r w:rsidRPr="00A86F11">
        <w:t xml:space="preserve">We thank the reviewer for this valuable comment. </w:t>
      </w:r>
    </w:p>
    <w:p w14:paraId="63CE6E80" w14:textId="04E2CA9B" w:rsidR="0086314C" w:rsidRPr="00A86F11" w:rsidRDefault="00C8091E" w:rsidP="00C8091E">
      <w:r w:rsidRPr="00A86F11">
        <w:t>We agree that the connection between Stix and De Moor (2018) and the present study was not sufficiently clear. In the revised manuscript</w:t>
      </w:r>
      <w:r w:rsidR="00166B36" w:rsidRPr="00A86F11">
        <w:t xml:space="preserve"> (lines </w:t>
      </w:r>
      <w:r w:rsidR="00665B36" w:rsidRPr="00A86F11">
        <w:rPr>
          <w:rFonts w:hint="eastAsia"/>
        </w:rPr>
        <w:t>79</w:t>
      </w:r>
      <w:r w:rsidR="00611F83" w:rsidRPr="00A86F11">
        <w:t>–</w:t>
      </w:r>
      <w:r w:rsidR="00166B36" w:rsidRPr="00A86F11">
        <w:t>8</w:t>
      </w:r>
      <w:r w:rsidR="00665B36" w:rsidRPr="00A86F11">
        <w:rPr>
          <w:rFonts w:hint="eastAsia"/>
        </w:rPr>
        <w:t>1</w:t>
      </w:r>
      <w:r w:rsidR="00166B36" w:rsidRPr="00A86F11">
        <w:t xml:space="preserve"> in the revised manuscript)</w:t>
      </w:r>
      <w:r w:rsidRPr="00A86F11">
        <w:t xml:space="preserve">, we have clarified that the relevance of this study lies in the heating processes of hydrothermal systems and near-surface aquifers caused by the supply of volcanic fluids prior to eruption. Because a well-developed hydrothermal system exists beneath the Yugama crater, such </w:t>
      </w:r>
      <w:r w:rsidRPr="00A86F11">
        <w:lastRenderedPageBreak/>
        <w:t>processes are considered to be directly relevant to our study. Since the detailed descriptions of the two conceptual models are not directly used in the subsequent analysis, we have removed the reference to the models themselves and revised the sentence to improve the clarity of the logical structure.</w:t>
      </w:r>
    </w:p>
    <w:p w14:paraId="7EC4D873" w14:textId="559C1264" w:rsidR="00B468BF" w:rsidRPr="00A86F11" w:rsidRDefault="00B468BF">
      <w:pPr>
        <w:widowControl/>
        <w:jc w:val="left"/>
      </w:pPr>
    </w:p>
    <w:p w14:paraId="78239C9F" w14:textId="77777777" w:rsidR="000324A7" w:rsidRPr="00A86F11" w:rsidRDefault="000324A7">
      <w:pPr>
        <w:widowControl/>
        <w:jc w:val="left"/>
      </w:pPr>
    </w:p>
    <w:p w14:paraId="70456111" w14:textId="77777777" w:rsidR="000324A7" w:rsidRPr="00A86F11" w:rsidRDefault="000324A7">
      <w:pPr>
        <w:widowControl/>
        <w:jc w:val="left"/>
      </w:pPr>
    </w:p>
    <w:p w14:paraId="1F3FE422" w14:textId="57D0EACD" w:rsidR="002F77D5" w:rsidRPr="00A86F11" w:rsidRDefault="002F77D5" w:rsidP="002F77D5">
      <w:pPr>
        <w:rPr>
          <w:b/>
          <w:bCs/>
        </w:rPr>
      </w:pPr>
      <w:r w:rsidRPr="00A86F11">
        <w:rPr>
          <w:rFonts w:hint="eastAsia"/>
          <w:b/>
          <w:bCs/>
        </w:rPr>
        <w:t>[Comment 20]</w:t>
      </w:r>
    </w:p>
    <w:p w14:paraId="4803FCB0" w14:textId="69C65911" w:rsidR="007C10A4" w:rsidRPr="00A86F11" w:rsidRDefault="007C10A4" w:rsidP="007C10A4">
      <w:r w:rsidRPr="00A86F11">
        <w:t>Line 108: “corresponds”</w:t>
      </w:r>
    </w:p>
    <w:p w14:paraId="5E08F941" w14:textId="77777777" w:rsidR="005A716B" w:rsidRPr="00A86F11" w:rsidRDefault="005A716B" w:rsidP="007C10A4"/>
    <w:p w14:paraId="2F535C31" w14:textId="2C049FE4" w:rsidR="00775E19" w:rsidRPr="00A86F11" w:rsidRDefault="00775E19" w:rsidP="007C10A4">
      <w:pPr>
        <w:rPr>
          <w:b/>
          <w:bCs/>
        </w:rPr>
      </w:pPr>
      <w:r w:rsidRPr="00A86F11">
        <w:rPr>
          <w:rFonts w:hint="eastAsia"/>
          <w:b/>
          <w:bCs/>
        </w:rPr>
        <w:t>Response:</w:t>
      </w:r>
    </w:p>
    <w:p w14:paraId="12116B3E" w14:textId="38991FE6" w:rsidR="00547398" w:rsidRPr="00A86F11" w:rsidRDefault="00723C93" w:rsidP="007C10A4">
      <w:r w:rsidRPr="00A86F11">
        <w:t>We thank the reviewer for this comment.</w:t>
      </w:r>
    </w:p>
    <w:p w14:paraId="17E2A9BC" w14:textId="175F1087" w:rsidR="00547398" w:rsidRPr="00A86F11" w:rsidRDefault="00723C93" w:rsidP="007C10A4">
      <w:r w:rsidRPr="00A86F11">
        <w:t>We have revised the manuscript accordingly.</w:t>
      </w:r>
    </w:p>
    <w:p w14:paraId="31745093" w14:textId="00211FC0" w:rsidR="00BA3025" w:rsidRPr="00A86F11" w:rsidRDefault="00BA3025">
      <w:pPr>
        <w:widowControl/>
        <w:jc w:val="left"/>
      </w:pPr>
    </w:p>
    <w:p w14:paraId="50B306BA" w14:textId="77777777" w:rsidR="00812C67" w:rsidRPr="00A86F11" w:rsidRDefault="00812C67">
      <w:pPr>
        <w:widowControl/>
        <w:jc w:val="left"/>
      </w:pPr>
    </w:p>
    <w:p w14:paraId="04A5D487" w14:textId="77777777" w:rsidR="00812C67" w:rsidRPr="00A86F11" w:rsidRDefault="00812C67">
      <w:pPr>
        <w:widowControl/>
        <w:jc w:val="left"/>
      </w:pPr>
    </w:p>
    <w:p w14:paraId="3ABE0C11" w14:textId="4427F05D" w:rsidR="002F77D5" w:rsidRPr="00A86F11" w:rsidRDefault="002F77D5" w:rsidP="002F77D5">
      <w:pPr>
        <w:rPr>
          <w:b/>
          <w:bCs/>
        </w:rPr>
      </w:pPr>
      <w:r w:rsidRPr="00A86F11">
        <w:rPr>
          <w:rFonts w:hint="eastAsia"/>
          <w:b/>
          <w:bCs/>
        </w:rPr>
        <w:t>[Comment 21]</w:t>
      </w:r>
    </w:p>
    <w:p w14:paraId="5C01C3E7" w14:textId="6B1AF23D" w:rsidR="007C10A4" w:rsidRPr="00A86F11" w:rsidRDefault="007C10A4" w:rsidP="007C10A4">
      <w:r w:rsidRPr="00A86F11">
        <w:t>Line 129: “important tool” → “important indicator”</w:t>
      </w:r>
    </w:p>
    <w:p w14:paraId="58A1DBDB" w14:textId="77777777" w:rsidR="00140C49" w:rsidRPr="00A86F11" w:rsidRDefault="00140C49" w:rsidP="007C10A4">
      <w:pPr>
        <w:rPr>
          <w:b/>
          <w:bCs/>
        </w:rPr>
      </w:pPr>
    </w:p>
    <w:p w14:paraId="0B72CF5D" w14:textId="4E89D5E3" w:rsidR="00775E19" w:rsidRPr="00A86F11" w:rsidRDefault="00775E19" w:rsidP="007C10A4">
      <w:pPr>
        <w:rPr>
          <w:b/>
          <w:bCs/>
        </w:rPr>
      </w:pPr>
      <w:r w:rsidRPr="00A86F11">
        <w:rPr>
          <w:rFonts w:hint="eastAsia"/>
          <w:b/>
          <w:bCs/>
        </w:rPr>
        <w:t>Response:</w:t>
      </w:r>
    </w:p>
    <w:p w14:paraId="26951352" w14:textId="59773773" w:rsidR="00C045A6" w:rsidRPr="00A86F11" w:rsidRDefault="00642CCE" w:rsidP="00C045A6">
      <w:r w:rsidRPr="00A86F11">
        <w:t>We thank the reviewer for this comment. In the revised manuscript, we have removed the statement describing the SBL as an “important tool.” Therefore, the corresponding phrase is no longer included in the manuscript.</w:t>
      </w:r>
    </w:p>
    <w:p w14:paraId="6B7C5622" w14:textId="77777777" w:rsidR="00140C49" w:rsidRPr="00A86F11" w:rsidRDefault="00140C49" w:rsidP="007C10A4">
      <w:pPr>
        <w:rPr>
          <w:b/>
          <w:bCs/>
        </w:rPr>
      </w:pPr>
    </w:p>
    <w:p w14:paraId="0D747814" w14:textId="77777777" w:rsidR="005A716B" w:rsidRPr="00A86F11" w:rsidRDefault="005A716B" w:rsidP="007C10A4"/>
    <w:p w14:paraId="74D756E8" w14:textId="77777777" w:rsidR="00C968B4" w:rsidRPr="00A86F11" w:rsidRDefault="00C968B4" w:rsidP="007C10A4"/>
    <w:p w14:paraId="4B3CF1C2" w14:textId="107E3CFC" w:rsidR="002F77D5" w:rsidRPr="00A86F11" w:rsidRDefault="002F77D5" w:rsidP="002F77D5">
      <w:pPr>
        <w:rPr>
          <w:b/>
          <w:bCs/>
        </w:rPr>
      </w:pPr>
      <w:r w:rsidRPr="00A86F11">
        <w:rPr>
          <w:rFonts w:hint="eastAsia"/>
          <w:b/>
          <w:bCs/>
        </w:rPr>
        <w:t>[Comment 22]</w:t>
      </w:r>
    </w:p>
    <w:p w14:paraId="6015ECA7" w14:textId="7D8B1A9A" w:rsidR="007C10A4" w:rsidRPr="00A86F11" w:rsidRDefault="007C10A4" w:rsidP="007C10A4">
      <w:r w:rsidRPr="00A86F11">
        <w:t>Lines 142–147: The January 2018 eruption at Motoshirane occurred before the 2018</w:t>
      </w:r>
      <w:r w:rsidR="00896284" w:rsidRPr="00A86F11">
        <w:t xml:space="preserve"> </w:t>
      </w:r>
      <w:r w:rsidRPr="00A86F11">
        <w:t>unrest described in lines 117–122 (where seismic activity surged in April). However, the text</w:t>
      </w:r>
      <w:r w:rsidR="00896284" w:rsidRPr="00A86F11">
        <w:t xml:space="preserve"> </w:t>
      </w:r>
      <w:r w:rsidRPr="00A86F11">
        <w:t>structure presents details of the April 2018+ unrest first, followed by “also, a phreatic</w:t>
      </w:r>
      <w:r w:rsidR="00896284" w:rsidRPr="00A86F11">
        <w:t xml:space="preserve"> </w:t>
      </w:r>
      <w:r w:rsidRPr="00A86F11">
        <w:t>eruption occurred at Motoshirane in January 2018,” creating a chronological inversion. This</w:t>
      </w:r>
      <w:r w:rsidR="00896284" w:rsidRPr="00A86F11">
        <w:t xml:space="preserve"> </w:t>
      </w:r>
      <w:r w:rsidRPr="00A86F11">
        <w:t>may confuse readers who have just read that “the 2018 unrest started in April.” It would be</w:t>
      </w:r>
      <w:r w:rsidR="00896284" w:rsidRPr="00A86F11">
        <w:t xml:space="preserve"> </w:t>
      </w:r>
      <w:r w:rsidRPr="00A86F11">
        <w:t>preferable to mention the Motoshirane eruption first or to explicitly clarify the chronological</w:t>
      </w:r>
      <w:r w:rsidR="00896284" w:rsidRPr="00A86F11">
        <w:t xml:space="preserve"> </w:t>
      </w:r>
      <w:r w:rsidRPr="00A86F11">
        <w:t>relationship.</w:t>
      </w:r>
    </w:p>
    <w:p w14:paraId="480E5FA8" w14:textId="77777777" w:rsidR="00F178AB" w:rsidRPr="00A86F11" w:rsidRDefault="00F178AB" w:rsidP="007C10A4"/>
    <w:p w14:paraId="06DB3681" w14:textId="22C6A405" w:rsidR="00775E19" w:rsidRPr="00A86F11" w:rsidRDefault="00775E19" w:rsidP="007C10A4">
      <w:pPr>
        <w:rPr>
          <w:b/>
          <w:bCs/>
        </w:rPr>
      </w:pPr>
      <w:r w:rsidRPr="00A86F11">
        <w:rPr>
          <w:rFonts w:hint="eastAsia"/>
          <w:b/>
          <w:bCs/>
        </w:rPr>
        <w:t>Response:</w:t>
      </w:r>
    </w:p>
    <w:p w14:paraId="39E227CC" w14:textId="712E68D1" w:rsidR="00F178AB" w:rsidRPr="00A86F11" w:rsidRDefault="00F178AB" w:rsidP="00F178AB">
      <w:r w:rsidRPr="00A86F11">
        <w:lastRenderedPageBreak/>
        <w:t>We thank the reviewer for this insightful comment.</w:t>
      </w:r>
    </w:p>
    <w:p w14:paraId="30619E40" w14:textId="2E3703A7" w:rsidR="00F178AB" w:rsidRPr="00A86F11" w:rsidRDefault="00F178AB" w:rsidP="00F178AB">
      <w:r w:rsidRPr="00A86F11">
        <w:t>We agree that the original text could be confusing due to the chronological inconsistency. In the revised manuscript, we have removed the description of the January 2018 phreatic eruption at Motoshirane, as it is not directly relevant to the focus of this study.</w:t>
      </w:r>
      <w:r w:rsidRPr="00A86F11">
        <w:rPr>
          <w:rFonts w:hint="eastAsia"/>
        </w:rPr>
        <w:t xml:space="preserve"> </w:t>
      </w:r>
      <w:r w:rsidRPr="00A86F11">
        <w:t xml:space="preserve">Previous studies have suggested that volcanic activity at Yugama and Motoshirane may be related through a deep inflation source </w:t>
      </w:r>
      <w:r w:rsidRPr="00A86F11">
        <w:rPr>
          <w:rFonts w:hint="eastAsia"/>
        </w:rPr>
        <w:t xml:space="preserve">and </w:t>
      </w:r>
      <w:r w:rsidRPr="00A86F11">
        <w:t>the shallow hydrothermal fluid reservoir (C2a) (Munekane, 2021; Matsunaga et al., 2020a, b). However, the present study focuses on volcanic activity near the Yugama crater, and we consider that including the Motoshirane eruption may lead to unnecessary confusion.</w:t>
      </w:r>
      <w:r w:rsidRPr="00A86F11">
        <w:rPr>
          <w:rFonts w:hint="eastAsia"/>
        </w:rPr>
        <w:t xml:space="preserve"> </w:t>
      </w:r>
      <w:r w:rsidRPr="00A86F11">
        <w:t>We have also clarified the scope of the study by specifying “near the Yugama crater lake” in the subsection heading.</w:t>
      </w:r>
    </w:p>
    <w:p w14:paraId="68B2671A" w14:textId="6C315C3A" w:rsidR="00261CE2" w:rsidRPr="00A86F11" w:rsidRDefault="00261CE2" w:rsidP="007C10A4">
      <w:pPr>
        <w:rPr>
          <w:color w:val="EE0000"/>
        </w:rPr>
      </w:pPr>
    </w:p>
    <w:p w14:paraId="3259C506" w14:textId="5FA92C56" w:rsidR="005A1816" w:rsidRPr="00A86F11" w:rsidRDefault="005A1816">
      <w:pPr>
        <w:widowControl/>
        <w:jc w:val="left"/>
        <w:rPr>
          <w:color w:val="0000FF"/>
        </w:rPr>
      </w:pPr>
    </w:p>
    <w:p w14:paraId="1F61B748" w14:textId="77777777" w:rsidR="00205A7B" w:rsidRPr="00A86F11" w:rsidRDefault="00205A7B">
      <w:pPr>
        <w:widowControl/>
        <w:jc w:val="left"/>
        <w:rPr>
          <w:color w:val="0000FF"/>
        </w:rPr>
      </w:pPr>
    </w:p>
    <w:p w14:paraId="0712596E" w14:textId="4AFC60C8" w:rsidR="00344A4C" w:rsidRPr="00A86F11" w:rsidRDefault="00344A4C" w:rsidP="00344A4C">
      <w:pPr>
        <w:rPr>
          <w:b/>
          <w:bCs/>
        </w:rPr>
      </w:pPr>
      <w:r w:rsidRPr="00A86F11">
        <w:rPr>
          <w:rFonts w:hint="eastAsia"/>
          <w:b/>
          <w:bCs/>
        </w:rPr>
        <w:t>[Comment 23]</w:t>
      </w:r>
    </w:p>
    <w:p w14:paraId="44249DA2" w14:textId="26E2C767" w:rsidR="007C10A4" w:rsidRPr="00A86F11" w:rsidRDefault="007C10A4" w:rsidP="007C10A4">
      <w:r w:rsidRPr="00A86F11">
        <w:t>Line 152: “30-years trend” → “30-year trend”</w:t>
      </w:r>
    </w:p>
    <w:p w14:paraId="27B25113" w14:textId="77777777" w:rsidR="005A716B" w:rsidRPr="00A86F11" w:rsidRDefault="005A716B" w:rsidP="007C10A4"/>
    <w:p w14:paraId="532BBD72" w14:textId="500FB1F4" w:rsidR="00775E19" w:rsidRPr="00A86F11" w:rsidRDefault="00775E19" w:rsidP="007C10A4">
      <w:pPr>
        <w:rPr>
          <w:b/>
          <w:bCs/>
        </w:rPr>
      </w:pPr>
      <w:r w:rsidRPr="00A86F11">
        <w:rPr>
          <w:rFonts w:hint="eastAsia"/>
          <w:b/>
          <w:bCs/>
        </w:rPr>
        <w:t>Response:</w:t>
      </w:r>
    </w:p>
    <w:p w14:paraId="5C5287E3" w14:textId="77777777" w:rsidR="001C27EB" w:rsidRPr="00A86F11" w:rsidRDefault="001C27EB" w:rsidP="001C27EB">
      <w:r w:rsidRPr="00A86F11">
        <w:t>We thank the reviewer for this comment.</w:t>
      </w:r>
    </w:p>
    <w:p w14:paraId="30B62F75" w14:textId="38A07352" w:rsidR="001C27EB" w:rsidRPr="00A86F11" w:rsidRDefault="001C27EB" w:rsidP="001C27EB">
      <w:r w:rsidRPr="00A86F11">
        <w:t>We have revised the manuscript accordingly.</w:t>
      </w:r>
    </w:p>
    <w:p w14:paraId="39AB0EB4" w14:textId="77777777" w:rsidR="00897F9B" w:rsidRPr="00A86F11" w:rsidRDefault="00897F9B" w:rsidP="007C10A4"/>
    <w:p w14:paraId="3862BB31" w14:textId="77777777" w:rsidR="005A1816" w:rsidRPr="00A86F11" w:rsidRDefault="005A1816" w:rsidP="007C10A4"/>
    <w:p w14:paraId="1D60DBC1" w14:textId="77777777" w:rsidR="005A1816" w:rsidRPr="00A86F11" w:rsidRDefault="005A1816" w:rsidP="007C10A4"/>
    <w:p w14:paraId="65C1094F" w14:textId="3C885FA4" w:rsidR="00897F9B" w:rsidRPr="00A86F11" w:rsidRDefault="00897F9B" w:rsidP="00897F9B">
      <w:pPr>
        <w:rPr>
          <w:b/>
          <w:bCs/>
        </w:rPr>
      </w:pPr>
      <w:r w:rsidRPr="00A86F11">
        <w:rPr>
          <w:rFonts w:hint="eastAsia"/>
          <w:b/>
          <w:bCs/>
        </w:rPr>
        <w:t>[Comment 24]</w:t>
      </w:r>
    </w:p>
    <w:p w14:paraId="4BC016F5" w14:textId="4EB5E41D" w:rsidR="007C10A4" w:rsidRPr="00A86F11" w:rsidRDefault="007C10A4" w:rsidP="007C10A4">
      <w:r w:rsidRPr="00A86F11">
        <w:t>Lines 176–180: “Horizontal components sometimes had problems” is too vague.</w:t>
      </w:r>
    </w:p>
    <w:p w14:paraId="7FA820C7" w14:textId="77777777" w:rsidR="005A716B" w:rsidRPr="00A86F11" w:rsidRDefault="005A716B" w:rsidP="007C10A4"/>
    <w:p w14:paraId="5351F568" w14:textId="0A40726C" w:rsidR="00775E19" w:rsidRPr="00A86F11" w:rsidRDefault="00775E19" w:rsidP="007C10A4">
      <w:pPr>
        <w:rPr>
          <w:b/>
          <w:bCs/>
        </w:rPr>
      </w:pPr>
      <w:r w:rsidRPr="00A86F11">
        <w:rPr>
          <w:rFonts w:hint="eastAsia"/>
          <w:b/>
          <w:bCs/>
        </w:rPr>
        <w:t>Response:</w:t>
      </w:r>
    </w:p>
    <w:p w14:paraId="34DD0FED" w14:textId="77777777" w:rsidR="00811ABD" w:rsidRPr="00A86F11" w:rsidRDefault="00811ABD" w:rsidP="00811ABD">
      <w:r w:rsidRPr="00A86F11">
        <w:t>We thank the reviewer for this comment.</w:t>
      </w:r>
    </w:p>
    <w:p w14:paraId="03FD03D5" w14:textId="45625D2B" w:rsidR="006B55F3" w:rsidRPr="00A86F11" w:rsidRDefault="00811ABD" w:rsidP="00A56CC0">
      <w:r w:rsidRPr="00A86F11">
        <w:t>We have revised the manuscript to clarify the nature of the issues affecting the horizontal components by adding a specific example</w:t>
      </w:r>
      <w:r w:rsidR="00D110E7" w:rsidRPr="00A86F11">
        <w:t xml:space="preserve"> (lines </w:t>
      </w:r>
      <w:r w:rsidR="004B4525" w:rsidRPr="00A86F11">
        <w:rPr>
          <w:rFonts w:hint="eastAsia"/>
        </w:rPr>
        <w:t>196</w:t>
      </w:r>
      <w:r w:rsidR="00611F83" w:rsidRPr="00A86F11">
        <w:t>–</w:t>
      </w:r>
      <w:r w:rsidR="004B4525" w:rsidRPr="00A86F11">
        <w:rPr>
          <w:rFonts w:hint="eastAsia"/>
        </w:rPr>
        <w:t>197</w:t>
      </w:r>
      <w:r w:rsidR="00D110E7" w:rsidRPr="00A86F11">
        <w:t xml:space="preserve"> in the revised manuscript)</w:t>
      </w:r>
      <w:r w:rsidRPr="00A86F11">
        <w:t>.</w:t>
      </w:r>
    </w:p>
    <w:p w14:paraId="2C11CE00" w14:textId="77777777" w:rsidR="00A56CC0" w:rsidRPr="00A86F11" w:rsidRDefault="00A56CC0" w:rsidP="00A56CC0"/>
    <w:p w14:paraId="4305977E" w14:textId="77777777" w:rsidR="00A56CC0" w:rsidRPr="00A86F11" w:rsidRDefault="00A56CC0" w:rsidP="00A56CC0"/>
    <w:p w14:paraId="12E766BF" w14:textId="77777777" w:rsidR="00A56CC0" w:rsidRPr="00A86F11" w:rsidRDefault="00A56CC0" w:rsidP="00A56CC0"/>
    <w:p w14:paraId="5A0AF968" w14:textId="718F164F" w:rsidR="00153A5A" w:rsidRPr="00A86F11" w:rsidRDefault="00153A5A" w:rsidP="00153A5A">
      <w:pPr>
        <w:rPr>
          <w:b/>
          <w:bCs/>
        </w:rPr>
      </w:pPr>
      <w:r w:rsidRPr="00A86F11">
        <w:rPr>
          <w:rFonts w:hint="eastAsia"/>
          <w:b/>
          <w:bCs/>
        </w:rPr>
        <w:t>[Comment 25]</w:t>
      </w:r>
      <w:r w:rsidR="009A681F" w:rsidRPr="00A86F11">
        <w:rPr>
          <w:b/>
          <w:bCs/>
          <w:noProof/>
        </w:rPr>
        <w:t xml:space="preserve"> </w:t>
      </w:r>
    </w:p>
    <w:p w14:paraId="768A3CF3" w14:textId="1D26C1D4" w:rsidR="007C10A4" w:rsidRPr="00A86F11" w:rsidRDefault="007C10A4" w:rsidP="007C10A4">
      <w:r w:rsidRPr="00A86F11">
        <w:t xml:space="preserve">Lines 197–198: “The data were divided into </w:t>
      </w:r>
      <w:proofErr w:type="gramStart"/>
      <w:r w:rsidRPr="00A86F11">
        <w:t>two time</w:t>
      </w:r>
      <w:proofErr w:type="gramEnd"/>
      <w:r w:rsidRPr="00A86F11">
        <w:t xml:space="preserve"> windows: 18:00–24:00 of the</w:t>
      </w:r>
      <w:r w:rsidR="00896284" w:rsidRPr="00A86F11">
        <w:t xml:space="preserve"> </w:t>
      </w:r>
      <w:r w:rsidRPr="00A86F11">
        <w:t>previous day and 00:00–06:00 of the following day.” The reason for dividing the 12-hour</w:t>
      </w:r>
      <w:r w:rsidR="00896284" w:rsidRPr="00A86F11">
        <w:t xml:space="preserve"> </w:t>
      </w:r>
      <w:r w:rsidRPr="00A86F11">
        <w:t>nighttime data into two segments is not stated. Since this processing is presumably not</w:t>
      </w:r>
      <w:r w:rsidR="00896284" w:rsidRPr="00A86F11">
        <w:t xml:space="preserve"> </w:t>
      </w:r>
      <w:r w:rsidRPr="00A86F11">
        <w:t xml:space="preserve">standard practice, </w:t>
      </w:r>
      <w:r w:rsidRPr="00A86F11">
        <w:lastRenderedPageBreak/>
        <w:t>the reason should be stated explicitly.</w:t>
      </w:r>
    </w:p>
    <w:p w14:paraId="0C286A2B" w14:textId="77777777" w:rsidR="005A716B" w:rsidRPr="00A86F11" w:rsidRDefault="005A716B" w:rsidP="007C10A4"/>
    <w:p w14:paraId="3FFD8F92" w14:textId="7D79BD03" w:rsidR="00775E19" w:rsidRPr="00A86F11" w:rsidRDefault="00775E19" w:rsidP="007C10A4">
      <w:pPr>
        <w:rPr>
          <w:b/>
          <w:bCs/>
        </w:rPr>
      </w:pPr>
      <w:r w:rsidRPr="00A86F11">
        <w:rPr>
          <w:rFonts w:hint="eastAsia"/>
          <w:b/>
          <w:bCs/>
        </w:rPr>
        <w:t>Response:</w:t>
      </w:r>
    </w:p>
    <w:p w14:paraId="28CC2C44" w14:textId="77777777" w:rsidR="001834B4" w:rsidRPr="00A86F11" w:rsidRDefault="001834B4" w:rsidP="001834B4">
      <w:r w:rsidRPr="00A86F11">
        <w:t>We thank the reviewer for this valuable comment.</w:t>
      </w:r>
    </w:p>
    <w:p w14:paraId="34E65596" w14:textId="3FBEB425" w:rsidR="004C0055" w:rsidRPr="00A86F11" w:rsidRDefault="001834B4" w:rsidP="00205A7B">
      <w:r w:rsidRPr="00A86F11">
        <w:t xml:space="preserve">The division into </w:t>
      </w:r>
      <w:proofErr w:type="gramStart"/>
      <w:r w:rsidRPr="00A86F11">
        <w:t>two time</w:t>
      </w:r>
      <w:proofErr w:type="gramEnd"/>
      <w:r w:rsidRPr="00A86F11">
        <w:t xml:space="preserve"> windows </w:t>
      </w:r>
      <w:proofErr w:type="gramStart"/>
      <w:r w:rsidRPr="00A86F11">
        <w:t>was</w:t>
      </w:r>
      <w:proofErr w:type="gramEnd"/>
      <w:r w:rsidRPr="00A86F11">
        <w:t xml:space="preserve"> intended to increase the number of independent samples and to reduce the influence of short-term noise, such as that caused by transient weather conditions lasting for several hours.</w:t>
      </w:r>
      <w:r w:rsidRPr="00A86F11">
        <w:rPr>
          <w:rFonts w:hint="eastAsia"/>
        </w:rPr>
        <w:t xml:space="preserve"> </w:t>
      </w:r>
      <w:r w:rsidRPr="00A86F11">
        <w:t>In the revised manuscript, the detailed description of the SBL calculation procedure has been simplified following Reviewer #2’s comment, and this specific step has been omitted. However, the rationale for this processing has been clarified as described above.</w:t>
      </w:r>
    </w:p>
    <w:p w14:paraId="4F5DF817" w14:textId="77777777" w:rsidR="00205A7B" w:rsidRPr="00A86F11" w:rsidRDefault="00205A7B" w:rsidP="00205A7B"/>
    <w:p w14:paraId="13F6C60A" w14:textId="77777777" w:rsidR="00205A7B" w:rsidRPr="00A86F11" w:rsidRDefault="00205A7B" w:rsidP="00205A7B"/>
    <w:p w14:paraId="20A9ED22" w14:textId="77777777" w:rsidR="00205A7B" w:rsidRPr="00A86F11" w:rsidRDefault="00205A7B" w:rsidP="00205A7B">
      <w:pPr>
        <w:rPr>
          <w:b/>
          <w:bCs/>
        </w:rPr>
      </w:pPr>
    </w:p>
    <w:p w14:paraId="35CBAE21" w14:textId="51E763A3" w:rsidR="00153A5A" w:rsidRPr="00A86F11" w:rsidRDefault="00153A5A" w:rsidP="00153A5A">
      <w:pPr>
        <w:rPr>
          <w:b/>
          <w:bCs/>
        </w:rPr>
      </w:pPr>
      <w:r w:rsidRPr="00A86F11">
        <w:rPr>
          <w:rFonts w:hint="eastAsia"/>
          <w:b/>
          <w:bCs/>
        </w:rPr>
        <w:t>[Comment 26]</w:t>
      </w:r>
    </w:p>
    <w:p w14:paraId="37691940" w14:textId="4953BE0C" w:rsidR="007C10A4" w:rsidRPr="00A86F11" w:rsidRDefault="007C10A4" w:rsidP="007C10A4">
      <w:r w:rsidRPr="00A86F11">
        <w:t>Lines 231–236: The rationale for grouping A-type (VT) and BH-type into the same “</w:t>
      </w:r>
      <w:proofErr w:type="spellStart"/>
      <w:r w:rsidRPr="00A86F11">
        <w:t>highfrequency</w:t>
      </w:r>
      <w:proofErr w:type="spellEnd"/>
      <w:r w:rsidRPr="00A86F11">
        <w:t>”</w:t>
      </w:r>
      <w:r w:rsidR="00516CBE" w:rsidRPr="00A86F11">
        <w:t xml:space="preserve"> </w:t>
      </w:r>
      <w:r w:rsidRPr="00A86F11">
        <w:t>group is not stated. A-type earthquakes have clear first arrivals and are VT, while</w:t>
      </w:r>
      <w:r w:rsidR="00516CBE" w:rsidRPr="00A86F11">
        <w:t xml:space="preserve"> </w:t>
      </w:r>
      <w:r w:rsidRPr="00A86F11">
        <w:t>BH-type are low-frequency earthquakes with unclear onsets but relatively high-frequency</w:t>
      </w:r>
      <w:r w:rsidR="00516CBE" w:rsidRPr="00A86F11">
        <w:t xml:space="preserve"> </w:t>
      </w:r>
      <w:r w:rsidRPr="00A86F11">
        <w:t>components—these may reflect different physical mechanisms. The reason for grouping</w:t>
      </w:r>
      <w:r w:rsidR="00516CBE" w:rsidRPr="00A86F11">
        <w:t xml:space="preserve"> </w:t>
      </w:r>
      <w:r w:rsidRPr="00A86F11">
        <w:t>them together should be stated.</w:t>
      </w:r>
    </w:p>
    <w:p w14:paraId="4BC41F40" w14:textId="77777777" w:rsidR="004A1D69" w:rsidRPr="00A86F11" w:rsidRDefault="004A1D69" w:rsidP="007C10A4">
      <w:pPr>
        <w:rPr>
          <w:color w:val="0000FF"/>
        </w:rPr>
      </w:pPr>
    </w:p>
    <w:p w14:paraId="6DCD4A16" w14:textId="77A02B92" w:rsidR="00775E19" w:rsidRPr="00A86F11" w:rsidRDefault="00775E19" w:rsidP="007C10A4">
      <w:pPr>
        <w:rPr>
          <w:b/>
          <w:bCs/>
        </w:rPr>
      </w:pPr>
      <w:r w:rsidRPr="00A86F11">
        <w:rPr>
          <w:rFonts w:hint="eastAsia"/>
          <w:b/>
          <w:bCs/>
        </w:rPr>
        <w:t>Response:</w:t>
      </w:r>
    </w:p>
    <w:p w14:paraId="7EAE6793" w14:textId="77777777" w:rsidR="004C0055" w:rsidRPr="00A86F11" w:rsidRDefault="004C0055" w:rsidP="004C0055">
      <w:r w:rsidRPr="00A86F11">
        <w:t>We thank the reviewer for this insightful comment.</w:t>
      </w:r>
    </w:p>
    <w:p w14:paraId="6A60E78D" w14:textId="4B041A95" w:rsidR="00A50653" w:rsidRPr="00A86F11" w:rsidRDefault="004C0055" w:rsidP="00E80B73">
      <w:r w:rsidRPr="00A86F11">
        <w:t>We agree that A-type (VT) and BH-type earthquakes may reflect different physical mechanisms. In the JMA catalog, these classifications are primarily based on waveform characteristics, such as the clarity of P- and S-wave onsets and dominant frequency content, and may not directly reflect distinct source mechanisms.</w:t>
      </w:r>
      <w:r w:rsidRPr="00A86F11">
        <w:rPr>
          <w:rFonts w:hint="eastAsia"/>
        </w:rPr>
        <w:t xml:space="preserve"> </w:t>
      </w:r>
      <w:r w:rsidRPr="00A86F11">
        <w:t>In this study, we group A-type and BH-type earthquakes together only for the purpose of comparing the relative occurrence of higher-frequency seismic events. Both types contain relatively high-frequency components compared with other event types (e.g., BL-, BP-, or BT-type events), and thus provide a practical indicator of changes in relatively high-frequency seismic activity. This grouping is therefore based on frequency characteristics and does not imply that A-type and BH-type earthquakes share the same source mechanism.</w:t>
      </w:r>
      <w:r w:rsidRPr="00A86F11">
        <w:rPr>
          <w:rFonts w:hint="eastAsia"/>
        </w:rPr>
        <w:t xml:space="preserve"> </w:t>
      </w:r>
      <w:r w:rsidRPr="00A86F11">
        <w:t>We have clarified this point in the revised manuscript</w:t>
      </w:r>
      <w:r w:rsidR="00BE6648" w:rsidRPr="00A86F11">
        <w:t xml:space="preserve"> (lines </w:t>
      </w:r>
      <w:r w:rsidR="00D44564" w:rsidRPr="00A86F11">
        <w:t>1</w:t>
      </w:r>
      <w:r w:rsidR="004B4525" w:rsidRPr="00A86F11">
        <w:rPr>
          <w:rFonts w:hint="eastAsia"/>
        </w:rPr>
        <w:t>79</w:t>
      </w:r>
      <w:r w:rsidR="00611F83" w:rsidRPr="00A86F11">
        <w:t>–</w:t>
      </w:r>
      <w:r w:rsidR="00D44564" w:rsidRPr="00A86F11">
        <w:t>1</w:t>
      </w:r>
      <w:r w:rsidR="004B4525" w:rsidRPr="00A86F11">
        <w:rPr>
          <w:rFonts w:hint="eastAsia"/>
        </w:rPr>
        <w:t>83</w:t>
      </w:r>
      <w:r w:rsidR="00BE6648" w:rsidRPr="00A86F11">
        <w:t xml:space="preserve"> in the revised manuscript)</w:t>
      </w:r>
      <w:r w:rsidRPr="00A86F11">
        <w:t>.</w:t>
      </w:r>
    </w:p>
    <w:p w14:paraId="4E1597C3" w14:textId="77777777" w:rsidR="00E80B73" w:rsidRPr="00A86F11" w:rsidRDefault="00E80B73" w:rsidP="00E80B73"/>
    <w:p w14:paraId="1F50ABFB" w14:textId="77777777" w:rsidR="00E80B73" w:rsidRPr="00A86F11" w:rsidRDefault="00E80B73" w:rsidP="00E80B73"/>
    <w:p w14:paraId="31E4A9E6" w14:textId="77777777" w:rsidR="00E80B73" w:rsidRPr="00A86F11" w:rsidRDefault="00E80B73" w:rsidP="00E80B73"/>
    <w:p w14:paraId="5020F647" w14:textId="114DCA8B" w:rsidR="002D3D8F" w:rsidRPr="00A86F11" w:rsidRDefault="002D3D8F" w:rsidP="002D3D8F">
      <w:pPr>
        <w:rPr>
          <w:b/>
          <w:bCs/>
        </w:rPr>
      </w:pPr>
      <w:r w:rsidRPr="00A86F11">
        <w:rPr>
          <w:rFonts w:hint="eastAsia"/>
          <w:b/>
          <w:bCs/>
        </w:rPr>
        <w:lastRenderedPageBreak/>
        <w:t>[Comment 27]</w:t>
      </w:r>
    </w:p>
    <w:p w14:paraId="0570039F" w14:textId="393FC779" w:rsidR="007C10A4" w:rsidRPr="00A86F11" w:rsidRDefault="007C10A4" w:rsidP="007C10A4">
      <w:r w:rsidRPr="00A86F11">
        <w:t>Line 247: “When multiple stations are operated, their SBL variations are in general</w:t>
      </w:r>
      <w:r w:rsidR="00516CBE" w:rsidRPr="00A86F11">
        <w:t xml:space="preserve"> </w:t>
      </w:r>
      <w:r w:rsidRPr="00A86F11">
        <w:t>coherent.” This is essentially a repetition of Lines 245–246 and is redundant.</w:t>
      </w:r>
    </w:p>
    <w:p w14:paraId="4D0303D8" w14:textId="77777777" w:rsidR="005A716B" w:rsidRPr="00A86F11" w:rsidRDefault="005A716B" w:rsidP="007C10A4"/>
    <w:p w14:paraId="62614208" w14:textId="482F1B5A" w:rsidR="00775E19" w:rsidRPr="00A86F11" w:rsidRDefault="00775E19" w:rsidP="007C10A4">
      <w:pPr>
        <w:rPr>
          <w:b/>
          <w:bCs/>
        </w:rPr>
      </w:pPr>
      <w:r w:rsidRPr="00A86F11">
        <w:rPr>
          <w:rFonts w:hint="eastAsia"/>
          <w:b/>
          <w:bCs/>
        </w:rPr>
        <w:t>Response:</w:t>
      </w:r>
    </w:p>
    <w:p w14:paraId="16199CDD" w14:textId="77777777" w:rsidR="005D3091" w:rsidRPr="00A86F11" w:rsidRDefault="005D3091" w:rsidP="005D3091">
      <w:r w:rsidRPr="00A86F11">
        <w:t>We thank the reviewer for this valuable comment.</w:t>
      </w:r>
    </w:p>
    <w:p w14:paraId="29ADA6F9" w14:textId="6FA38926" w:rsidR="005E7B5F" w:rsidRPr="00A86F11" w:rsidRDefault="005D3091" w:rsidP="005D3091">
      <w:r w:rsidRPr="00A86F11">
        <w:t>We agree that this sentence is redundant and have removed it from the revised manuscript.</w:t>
      </w:r>
    </w:p>
    <w:p w14:paraId="3502B253" w14:textId="31FAEC52" w:rsidR="00E80B73" w:rsidRPr="00A86F11" w:rsidRDefault="00E80B73">
      <w:pPr>
        <w:widowControl/>
        <w:jc w:val="left"/>
      </w:pPr>
    </w:p>
    <w:p w14:paraId="40701865" w14:textId="77777777" w:rsidR="00205A7B" w:rsidRPr="00A86F11" w:rsidRDefault="00205A7B">
      <w:pPr>
        <w:widowControl/>
        <w:jc w:val="left"/>
      </w:pPr>
    </w:p>
    <w:p w14:paraId="705FE8EC" w14:textId="6DA6C0E8" w:rsidR="002D3D8F" w:rsidRPr="00A86F11" w:rsidRDefault="002D3D8F" w:rsidP="002D3D8F">
      <w:pPr>
        <w:rPr>
          <w:b/>
          <w:bCs/>
        </w:rPr>
      </w:pPr>
      <w:r w:rsidRPr="00A86F11">
        <w:rPr>
          <w:rFonts w:hint="eastAsia"/>
          <w:b/>
          <w:bCs/>
        </w:rPr>
        <w:t>[Comment 28]</w:t>
      </w:r>
    </w:p>
    <w:p w14:paraId="0EBC9E4C" w14:textId="20A0C3D6" w:rsidR="007C10A4" w:rsidRPr="00A86F11" w:rsidRDefault="007C10A4" w:rsidP="007C10A4">
      <w:r w:rsidRPr="00A86F11">
        <w:t>Lines 255–256: “These temporal changes in the normalized SBL ratios are evident in</w:t>
      </w:r>
      <w:r w:rsidR="00516CBE" w:rsidRPr="00A86F11">
        <w:t xml:space="preserve"> </w:t>
      </w:r>
      <w:r w:rsidRPr="00A86F11">
        <w:t>the logarithmic plots of SBL growth (Fig. 4b).” Fig. 4b shows the SBL time series for each</w:t>
      </w:r>
      <w:r w:rsidR="00516CBE" w:rsidRPr="00A86F11">
        <w:t xml:space="preserve"> </w:t>
      </w:r>
      <w:r w:rsidRPr="00A86F11">
        <w:t>station; Fig. 4c shows the normalized SBL ratios (likely a figure reference error).</w:t>
      </w:r>
    </w:p>
    <w:p w14:paraId="0BBB3EA9" w14:textId="77777777" w:rsidR="004D5B56" w:rsidRPr="00A86F11" w:rsidRDefault="004D5B56" w:rsidP="007C10A4"/>
    <w:p w14:paraId="73E09BC5" w14:textId="0AC4BD18" w:rsidR="00775E19" w:rsidRPr="00A86F11" w:rsidRDefault="00775E19" w:rsidP="007C10A4">
      <w:pPr>
        <w:rPr>
          <w:b/>
          <w:bCs/>
        </w:rPr>
      </w:pPr>
      <w:r w:rsidRPr="00A86F11">
        <w:rPr>
          <w:rFonts w:hint="eastAsia"/>
          <w:b/>
          <w:bCs/>
        </w:rPr>
        <w:t>Response:</w:t>
      </w:r>
    </w:p>
    <w:p w14:paraId="7F189F3F" w14:textId="77777777" w:rsidR="00FA72A2" w:rsidRPr="00A86F11" w:rsidRDefault="00FA72A2" w:rsidP="00FA72A2">
      <w:r w:rsidRPr="00A86F11">
        <w:t>We thank the reviewer for this valuable comment.</w:t>
      </w:r>
    </w:p>
    <w:p w14:paraId="713F524C" w14:textId="28AB39D2" w:rsidR="00A96A28" w:rsidRPr="00A86F11" w:rsidRDefault="00A96A28" w:rsidP="00FA72A2">
      <w:r w:rsidRPr="00A86F11">
        <w:t>We have revised the figure numbering; Fig. 4b in the original manuscript corresponds to Fig. 5b in the revised manuscript.</w:t>
      </w:r>
      <w:r w:rsidR="008C6C78" w:rsidRPr="00A86F11">
        <w:rPr>
          <w:rFonts w:hint="eastAsia"/>
        </w:rPr>
        <w:t xml:space="preserve"> And, w</w:t>
      </w:r>
      <w:r w:rsidR="008C6C78" w:rsidRPr="00A86F11">
        <w:t>e renamed “normalized SBL ratio” to “SBL ratio” in the revised manuscript.</w:t>
      </w:r>
    </w:p>
    <w:p w14:paraId="1EFFD4A6" w14:textId="12DB8B88" w:rsidR="005A716B" w:rsidRPr="00A86F11" w:rsidRDefault="00FA72A2" w:rsidP="00FA72A2">
      <w:r w:rsidRPr="00A86F11">
        <w:t>The reference to Fig. 5b was intended to indicate the consistency between the SBL ratios and the SBL time series. However, we agree that this statement may cause confusion, as Fig. 5b does not directly show the normalized SBL ratios.</w:t>
      </w:r>
      <w:r w:rsidRPr="00A86F11">
        <w:rPr>
          <w:rFonts w:hint="eastAsia"/>
        </w:rPr>
        <w:t xml:space="preserve"> </w:t>
      </w:r>
      <w:r w:rsidRPr="00A86F11">
        <w:t>Since this sentence was not essential to the main argument, we have removed it to improve clarity.</w:t>
      </w:r>
    </w:p>
    <w:p w14:paraId="2E519DF0" w14:textId="207A4BD7" w:rsidR="001A4097" w:rsidRPr="00A86F11" w:rsidRDefault="001A4097">
      <w:pPr>
        <w:widowControl/>
        <w:jc w:val="left"/>
      </w:pPr>
    </w:p>
    <w:p w14:paraId="63C5E748" w14:textId="77777777" w:rsidR="00CE6D9E" w:rsidRPr="00A86F11" w:rsidRDefault="00CE6D9E">
      <w:pPr>
        <w:widowControl/>
        <w:jc w:val="left"/>
      </w:pPr>
    </w:p>
    <w:p w14:paraId="431EB952" w14:textId="77777777" w:rsidR="00CE6D9E" w:rsidRPr="00A86F11" w:rsidRDefault="00CE6D9E">
      <w:pPr>
        <w:widowControl/>
        <w:jc w:val="left"/>
      </w:pPr>
    </w:p>
    <w:p w14:paraId="678FF0A5" w14:textId="4BE3E9D5" w:rsidR="00EE1B17" w:rsidRPr="00A86F11" w:rsidRDefault="00EE1B17" w:rsidP="00EE1B17">
      <w:pPr>
        <w:rPr>
          <w:b/>
          <w:bCs/>
        </w:rPr>
      </w:pPr>
      <w:r w:rsidRPr="00A86F11">
        <w:rPr>
          <w:rFonts w:hint="eastAsia"/>
          <w:b/>
          <w:bCs/>
        </w:rPr>
        <w:t>[Comment 29]</w:t>
      </w:r>
      <w:r w:rsidR="00C02FC2" w:rsidRPr="00A86F11">
        <w:rPr>
          <w:b/>
          <w:bCs/>
          <w:noProof/>
        </w:rPr>
        <w:t xml:space="preserve"> </w:t>
      </w:r>
    </w:p>
    <w:p w14:paraId="7E83BC7E" w14:textId="1E776D85" w:rsidR="007C10A4" w:rsidRPr="00A86F11" w:rsidRDefault="007C10A4" w:rsidP="007C10A4">
      <w:r w:rsidRPr="00A86F11">
        <w:t>Lines 293–294: “In 2018, the SBLs at KSHA, KSE, and KSW showed synchronous</w:t>
      </w:r>
      <w:r w:rsidR="00516CBE" w:rsidRPr="00A86F11">
        <w:t xml:space="preserve"> </w:t>
      </w:r>
      <w:r w:rsidRPr="00A86F11">
        <w:t>fluctuations, which were most pronounced at KSW (Fig. 5b).” It is unclear what was “most</w:t>
      </w:r>
      <w:r w:rsidR="00516CBE" w:rsidRPr="00A86F11">
        <w:t xml:space="preserve"> </w:t>
      </w:r>
      <w:r w:rsidRPr="00A86F11">
        <w:t>pronounced” at KSW. Does it mean “the amplitude of the synchronized fluctuations was</w:t>
      </w:r>
      <w:r w:rsidR="00516CBE" w:rsidRPr="00A86F11">
        <w:t xml:space="preserve"> </w:t>
      </w:r>
      <w:r w:rsidRPr="00A86F11">
        <w:t>largest at KSW”? If so, this appears to contradict the discussion in Section 5.2.2 (that the</w:t>
      </w:r>
      <w:r w:rsidR="00516CBE" w:rsidRPr="00A86F11">
        <w:t xml:space="preserve"> </w:t>
      </w:r>
      <w:r w:rsidRPr="00A86F11">
        <w:t>2018 activity center was closer to KSHA and KSE). If the fluctuation was largest at KSW, it</w:t>
      </w:r>
      <w:r w:rsidR="00516CBE" w:rsidRPr="00A86F11">
        <w:t xml:space="preserve"> </w:t>
      </w:r>
      <w:r w:rsidRPr="00A86F11">
        <w:t>would suggest the vibration source is closer to KSW, yet the Discussion states the opposite.</w:t>
      </w:r>
      <w:r w:rsidR="00516CBE" w:rsidRPr="00A86F11">
        <w:t xml:space="preserve"> </w:t>
      </w:r>
      <w:r w:rsidRPr="00A86F11">
        <w:t>Whether “most pronounced” here refers to “amplitude of fluctuation” or “clarity of the</w:t>
      </w:r>
      <w:r w:rsidR="00516CBE" w:rsidRPr="00A86F11">
        <w:t xml:space="preserve"> </w:t>
      </w:r>
      <w:r w:rsidRPr="00A86F11">
        <w:t>fluctuation pattern” should be clarified.</w:t>
      </w:r>
    </w:p>
    <w:p w14:paraId="66444907" w14:textId="77777777" w:rsidR="00507F63" w:rsidRPr="00A86F11" w:rsidRDefault="00507F63" w:rsidP="007C10A4"/>
    <w:p w14:paraId="148836F9" w14:textId="48B1B544" w:rsidR="00775E19" w:rsidRPr="00A86F11" w:rsidRDefault="00775E19" w:rsidP="007C10A4">
      <w:pPr>
        <w:rPr>
          <w:b/>
          <w:bCs/>
        </w:rPr>
      </w:pPr>
      <w:r w:rsidRPr="00A86F11">
        <w:rPr>
          <w:rFonts w:hint="eastAsia"/>
          <w:b/>
          <w:bCs/>
        </w:rPr>
        <w:lastRenderedPageBreak/>
        <w:t>Response:</w:t>
      </w:r>
    </w:p>
    <w:p w14:paraId="138B1677" w14:textId="300222E0" w:rsidR="00CE2A2E" w:rsidRPr="00A86F11" w:rsidRDefault="00CE2A2E" w:rsidP="007C10A4">
      <w:r w:rsidRPr="00A86F11">
        <w:t>We thank the reviewer for this insightful comment.</w:t>
      </w:r>
    </w:p>
    <w:p w14:paraId="6CEF3E73" w14:textId="0170F186" w:rsidR="00F70421" w:rsidRPr="00A86F11" w:rsidRDefault="00760D93" w:rsidP="00205A7B">
      <w:r w:rsidRPr="00A86F11">
        <w:t>Here, “most pronounced” refers to the clarity of the fluctuation pattern, not to the amplitude of the fluctuations. We agree that the original wording was ambiguous and may have led to misinterpretation.</w:t>
      </w:r>
      <w:r w:rsidRPr="00A86F11">
        <w:rPr>
          <w:rFonts w:hint="eastAsia"/>
        </w:rPr>
        <w:t xml:space="preserve"> </w:t>
      </w:r>
      <w:r w:rsidRPr="00A86F11">
        <w:t>We have revised the sentence to clarify this point</w:t>
      </w:r>
      <w:r w:rsidR="00992416" w:rsidRPr="00A86F11">
        <w:t xml:space="preserve"> (lines </w:t>
      </w:r>
      <w:r w:rsidR="003B18C9" w:rsidRPr="00A86F11">
        <w:t>3</w:t>
      </w:r>
      <w:r w:rsidR="0003075C" w:rsidRPr="00A86F11">
        <w:rPr>
          <w:rFonts w:hint="eastAsia"/>
        </w:rPr>
        <w:t>28</w:t>
      </w:r>
      <w:r w:rsidR="00611F83" w:rsidRPr="00A86F11">
        <w:t>–</w:t>
      </w:r>
      <w:r w:rsidR="003B18C9" w:rsidRPr="00A86F11">
        <w:t>3</w:t>
      </w:r>
      <w:r w:rsidR="0003075C" w:rsidRPr="00A86F11">
        <w:rPr>
          <w:rFonts w:hint="eastAsia"/>
        </w:rPr>
        <w:t>29</w:t>
      </w:r>
      <w:r w:rsidR="00992416" w:rsidRPr="00A86F11">
        <w:t xml:space="preserve"> in the revised manuscript)</w:t>
      </w:r>
      <w:r w:rsidRPr="00A86F11">
        <w:t>.</w:t>
      </w:r>
    </w:p>
    <w:p w14:paraId="0BEFACD5" w14:textId="77777777" w:rsidR="00205A7B" w:rsidRPr="00A86F11" w:rsidRDefault="00205A7B" w:rsidP="00205A7B"/>
    <w:p w14:paraId="3EC797D1" w14:textId="77777777" w:rsidR="00205A7B" w:rsidRPr="00A86F11" w:rsidRDefault="00205A7B" w:rsidP="00205A7B"/>
    <w:p w14:paraId="579195D2" w14:textId="77777777" w:rsidR="00205A7B" w:rsidRPr="00A86F11" w:rsidRDefault="00205A7B" w:rsidP="00205A7B"/>
    <w:p w14:paraId="66B15397" w14:textId="38E37F12" w:rsidR="00EE1B17" w:rsidRPr="00A86F11" w:rsidRDefault="00EE1B17" w:rsidP="00EE1B17">
      <w:pPr>
        <w:rPr>
          <w:b/>
          <w:bCs/>
        </w:rPr>
      </w:pPr>
      <w:r w:rsidRPr="00A86F11">
        <w:rPr>
          <w:rFonts w:hint="eastAsia"/>
          <w:b/>
          <w:bCs/>
        </w:rPr>
        <w:t>[Comment 30]</w:t>
      </w:r>
    </w:p>
    <w:p w14:paraId="4BE7C5D9" w14:textId="12CC252D" w:rsidR="007C10A4" w:rsidRPr="00A86F11" w:rsidRDefault="007C10A4" w:rsidP="007C10A4">
      <w:r w:rsidRPr="00A86F11">
        <w:t>Lines 318–319: “The local extension started between the two data points in August</w:t>
      </w:r>
      <w:r w:rsidR="00516CBE" w:rsidRPr="00A86F11">
        <w:t xml:space="preserve"> </w:t>
      </w:r>
      <w:r w:rsidRPr="00A86F11">
        <w:t>2012 and July 2014 (Fig. 4e).” The interval “between August 2012 and July 2014” spans</w:t>
      </w:r>
      <w:r w:rsidR="00516CBE" w:rsidRPr="00A86F11">
        <w:t xml:space="preserve"> </w:t>
      </w:r>
      <w:r w:rsidRPr="00A86F11">
        <w:t>approximately two years. Given the very coarse sampling interval of this data, the onset time</w:t>
      </w:r>
      <w:r w:rsidR="00516CBE" w:rsidRPr="00A86F11">
        <w:t xml:space="preserve"> </w:t>
      </w:r>
      <w:r w:rsidRPr="00A86F11">
        <w:t>of extension is highly uncertain. The temporal resolution of the GNSS data is insufficient for</w:t>
      </w:r>
      <w:r w:rsidR="00516CBE" w:rsidRPr="00A86F11">
        <w:t xml:space="preserve"> </w:t>
      </w:r>
      <w:r w:rsidRPr="00A86F11">
        <w:t>discussing the detailed temporal relationship with the onset of SBL increase (around May</w:t>
      </w:r>
      <w:r w:rsidR="00516CBE" w:rsidRPr="00A86F11">
        <w:t xml:space="preserve"> </w:t>
      </w:r>
      <w:r w:rsidRPr="00A86F11">
        <w:t>2014).</w:t>
      </w:r>
    </w:p>
    <w:p w14:paraId="16A35D47" w14:textId="77777777" w:rsidR="00F901D6" w:rsidRPr="00A86F11" w:rsidRDefault="00F901D6" w:rsidP="007C10A4"/>
    <w:p w14:paraId="2D21DC52" w14:textId="070DF196" w:rsidR="00775E19" w:rsidRPr="00A86F11" w:rsidRDefault="00775E19" w:rsidP="007C10A4">
      <w:pPr>
        <w:rPr>
          <w:b/>
          <w:bCs/>
        </w:rPr>
      </w:pPr>
      <w:r w:rsidRPr="00A86F11">
        <w:rPr>
          <w:rFonts w:hint="eastAsia"/>
          <w:b/>
          <w:bCs/>
        </w:rPr>
        <w:t>Response:</w:t>
      </w:r>
    </w:p>
    <w:p w14:paraId="3293942F" w14:textId="77777777" w:rsidR="00D51910" w:rsidRPr="00A86F11" w:rsidRDefault="00D51910" w:rsidP="00D51910">
      <w:r w:rsidRPr="00A86F11">
        <w:t>We thank the reviewer for this valuable comment.</w:t>
      </w:r>
    </w:p>
    <w:p w14:paraId="6FFD4A69" w14:textId="0CC571B6" w:rsidR="00D51910" w:rsidRPr="00A86F11" w:rsidRDefault="00D51910" w:rsidP="00D51910">
      <w:r w:rsidRPr="00A86F11">
        <w:t>We agree that the temporal resolution of the GNSS data is insufficient to precisely determine the onset timing of the local extension. In the revised manuscript</w:t>
      </w:r>
      <w:r w:rsidR="007725B6" w:rsidRPr="00A86F11">
        <w:t xml:space="preserve"> (lines </w:t>
      </w:r>
      <w:r w:rsidR="00E86E31" w:rsidRPr="00A86F11">
        <w:t>3</w:t>
      </w:r>
      <w:r w:rsidR="00186AF8" w:rsidRPr="00A86F11">
        <w:rPr>
          <w:rFonts w:hint="eastAsia"/>
        </w:rPr>
        <w:t>05</w:t>
      </w:r>
      <w:r w:rsidR="00611F83" w:rsidRPr="00A86F11">
        <w:t>–</w:t>
      </w:r>
      <w:r w:rsidR="00E86E31" w:rsidRPr="00A86F11">
        <w:t>3</w:t>
      </w:r>
      <w:r w:rsidR="00186AF8" w:rsidRPr="00A86F11">
        <w:rPr>
          <w:rFonts w:hint="eastAsia"/>
        </w:rPr>
        <w:t>06</w:t>
      </w:r>
      <w:r w:rsidR="007725B6" w:rsidRPr="00A86F11">
        <w:t xml:space="preserve"> in the revised manuscript)</w:t>
      </w:r>
      <w:r w:rsidRPr="00A86F11">
        <w:t>, we have clarified that the onset of local extension is uncertain due to the sparse sampling interval.</w:t>
      </w:r>
      <w:r w:rsidR="0071217B" w:rsidRPr="00A86F11">
        <w:rPr>
          <w:rFonts w:hint="eastAsia"/>
        </w:rPr>
        <w:t xml:space="preserve"> </w:t>
      </w:r>
      <w:r w:rsidRPr="00A86F11">
        <w:t>To better constrain the temporal relationship with SBL variations, we refer to tiltmeter observations reported by Terada et al. (2025), which provide higher temporal resolution. We have revised the Section 5.1.1 to incorporate this comparison in a more cautious manner</w:t>
      </w:r>
      <w:r w:rsidR="007725B6" w:rsidRPr="00A86F11">
        <w:t xml:space="preserve"> (lines </w:t>
      </w:r>
      <w:r w:rsidR="00E86E31" w:rsidRPr="00A86F11">
        <w:t>3</w:t>
      </w:r>
      <w:r w:rsidR="00FA1261" w:rsidRPr="00A86F11">
        <w:rPr>
          <w:rFonts w:hint="eastAsia"/>
        </w:rPr>
        <w:t>64</w:t>
      </w:r>
      <w:r w:rsidR="00611F83" w:rsidRPr="00A86F11">
        <w:t>–</w:t>
      </w:r>
      <w:r w:rsidR="00E86E31" w:rsidRPr="00A86F11">
        <w:t>3</w:t>
      </w:r>
      <w:r w:rsidR="00FA1261" w:rsidRPr="00A86F11">
        <w:rPr>
          <w:rFonts w:hint="eastAsia"/>
        </w:rPr>
        <w:t>67</w:t>
      </w:r>
      <w:r w:rsidR="007725B6" w:rsidRPr="00A86F11">
        <w:t xml:space="preserve"> in the revised manuscript)</w:t>
      </w:r>
      <w:r w:rsidRPr="00A86F11">
        <w:t xml:space="preserve">. </w:t>
      </w:r>
    </w:p>
    <w:p w14:paraId="3999E1A7" w14:textId="3E645FC2" w:rsidR="00535E22" w:rsidRPr="00A86F11" w:rsidRDefault="00535E22" w:rsidP="007C10A4"/>
    <w:p w14:paraId="493EAA1E" w14:textId="2F125D74" w:rsidR="00C72321" w:rsidRPr="00A86F11" w:rsidRDefault="00C72321">
      <w:pPr>
        <w:widowControl/>
        <w:jc w:val="left"/>
      </w:pPr>
    </w:p>
    <w:p w14:paraId="58E72426" w14:textId="77777777" w:rsidR="008775EF" w:rsidRPr="00A86F11" w:rsidRDefault="008775EF">
      <w:pPr>
        <w:widowControl/>
        <w:jc w:val="left"/>
      </w:pPr>
    </w:p>
    <w:p w14:paraId="3CBAF34F" w14:textId="1E397C6C" w:rsidR="00EE1B17" w:rsidRPr="00A86F11" w:rsidRDefault="00907B06" w:rsidP="00EE1B17">
      <w:pPr>
        <w:rPr>
          <w:b/>
          <w:bCs/>
        </w:rPr>
      </w:pPr>
      <w:r w:rsidRPr="00A86F11">
        <w:rPr>
          <w:rFonts w:hint="eastAsia"/>
          <w:b/>
          <w:bCs/>
        </w:rPr>
        <w:t xml:space="preserve"> </w:t>
      </w:r>
      <w:r w:rsidR="00EE1B17" w:rsidRPr="00A86F11">
        <w:rPr>
          <w:rFonts w:hint="eastAsia"/>
          <w:b/>
          <w:bCs/>
        </w:rPr>
        <w:t>[Comment 3</w:t>
      </w:r>
      <w:r w:rsidR="00F42994" w:rsidRPr="00A86F11">
        <w:rPr>
          <w:rFonts w:hint="eastAsia"/>
          <w:b/>
          <w:bCs/>
        </w:rPr>
        <w:t>1</w:t>
      </w:r>
      <w:r w:rsidR="00EE1B17" w:rsidRPr="00A86F11">
        <w:rPr>
          <w:rFonts w:hint="eastAsia"/>
          <w:b/>
          <w:bCs/>
        </w:rPr>
        <w:t>]</w:t>
      </w:r>
      <w:r w:rsidR="0012020D" w:rsidRPr="00A86F11">
        <w:rPr>
          <w:b/>
          <w:bCs/>
          <w:noProof/>
        </w:rPr>
        <w:t xml:space="preserve"> </w:t>
      </w:r>
    </w:p>
    <w:p w14:paraId="655C9240" w14:textId="34303F11" w:rsidR="007C10A4" w:rsidRPr="00A86F11" w:rsidRDefault="007C10A4" w:rsidP="007C10A4">
      <w:r w:rsidRPr="00A86F11">
        <w:t>Lines 349–352: Regarding the first common feature, the Results report that during the</w:t>
      </w:r>
      <w:r w:rsidR="00516CBE" w:rsidRPr="00A86F11">
        <w:t xml:space="preserve"> </w:t>
      </w:r>
      <w:r w:rsidRPr="00A86F11">
        <w:t>2014 unrest SBL increase lagged behind seismic activity (lines 276–278), while during the</w:t>
      </w:r>
      <w:r w:rsidR="00516CBE" w:rsidRPr="00A86F11">
        <w:t xml:space="preserve"> </w:t>
      </w:r>
      <w:r w:rsidRPr="00A86F11">
        <w:t>2018 unrest SBL preceded it (lines 287–288). Summarizing these as “before or during” is</w:t>
      </w:r>
      <w:r w:rsidR="00516CBE" w:rsidRPr="00A86F11">
        <w:t xml:space="preserve"> </w:t>
      </w:r>
      <w:r w:rsidRPr="00A86F11">
        <w:t>accurate but lumps together the important difference that the lead-lag relationship is</w:t>
      </w:r>
      <w:r w:rsidR="00516CBE" w:rsidRPr="00A86F11">
        <w:t xml:space="preserve"> </w:t>
      </w:r>
      <w:r w:rsidRPr="00A86F11">
        <w:t>reversed between the two unrest episodes. Since this difference itself may reflect differences</w:t>
      </w:r>
      <w:r w:rsidR="00516CBE" w:rsidRPr="00A86F11">
        <w:t xml:space="preserve"> </w:t>
      </w:r>
      <w:r w:rsidRPr="00A86F11">
        <w:t>in the state of the volcanic system, it should be explicitly distinguished and discussed here.</w:t>
      </w:r>
    </w:p>
    <w:p w14:paraId="3A499DF0" w14:textId="6DE493AC" w:rsidR="002D08F9" w:rsidRPr="00A86F11" w:rsidRDefault="002D08F9" w:rsidP="007C10A4"/>
    <w:p w14:paraId="76ED3999" w14:textId="3CF9B905" w:rsidR="002D08F9" w:rsidRPr="00A86F11" w:rsidRDefault="00775E19" w:rsidP="007C10A4">
      <w:pPr>
        <w:rPr>
          <w:b/>
          <w:bCs/>
        </w:rPr>
      </w:pPr>
      <w:r w:rsidRPr="00A86F11">
        <w:rPr>
          <w:rFonts w:hint="eastAsia"/>
          <w:b/>
          <w:bCs/>
        </w:rPr>
        <w:lastRenderedPageBreak/>
        <w:t>Response:</w:t>
      </w:r>
    </w:p>
    <w:p w14:paraId="096B79A7" w14:textId="5272BAFE" w:rsidR="005A716B" w:rsidRPr="00A86F11" w:rsidRDefault="00B96B3B" w:rsidP="007C10A4">
      <w:r w:rsidRPr="00A86F11">
        <w:t>This is an important point, and we thank the reviewer for highlighting it.</w:t>
      </w:r>
    </w:p>
    <w:p w14:paraId="4FEE6761" w14:textId="35F757F3" w:rsidR="00EE5654" w:rsidRPr="00A86F11" w:rsidRDefault="00CF161D" w:rsidP="00CF161D">
      <w:r w:rsidRPr="00A86F11">
        <w:t>We agree that the difference in the lead–lag relationship between SBL and seismic activity during the 2014 and 2018 unrests is important and should be explicitly described. In the revised manuscript, we have clarified that the SBL increase lagged behind seismic activity in 2014</w:t>
      </w:r>
      <w:r w:rsidR="006A3EC5" w:rsidRPr="00A86F11">
        <w:rPr>
          <w:rFonts w:hint="eastAsia"/>
        </w:rPr>
        <w:t xml:space="preserve"> unrest</w:t>
      </w:r>
      <w:r w:rsidRPr="00A86F11">
        <w:t>, whereas it preceded in 2018</w:t>
      </w:r>
      <w:r w:rsidR="006A3EC5" w:rsidRPr="00A86F11">
        <w:rPr>
          <w:rFonts w:hint="eastAsia"/>
        </w:rPr>
        <w:t xml:space="preserve"> unrest</w:t>
      </w:r>
      <w:r w:rsidR="00CC032D" w:rsidRPr="00A86F11">
        <w:t xml:space="preserve"> (lines </w:t>
      </w:r>
      <w:r w:rsidR="009D3DDC" w:rsidRPr="00A86F11">
        <w:t>3</w:t>
      </w:r>
      <w:r w:rsidR="00A42504" w:rsidRPr="00A86F11">
        <w:rPr>
          <w:rFonts w:hint="eastAsia"/>
        </w:rPr>
        <w:t>77</w:t>
      </w:r>
      <w:r w:rsidR="009D3DDC" w:rsidRPr="00A86F11">
        <w:t>–3</w:t>
      </w:r>
      <w:r w:rsidR="00A42504" w:rsidRPr="00A86F11">
        <w:rPr>
          <w:rFonts w:hint="eastAsia"/>
        </w:rPr>
        <w:t>81</w:t>
      </w:r>
      <w:r w:rsidR="00CC032D" w:rsidRPr="00A86F11">
        <w:t xml:space="preserve"> in the revised manuscript)</w:t>
      </w:r>
      <w:r w:rsidRPr="00A86F11">
        <w:t>.</w:t>
      </w:r>
      <w:r w:rsidRPr="00A86F11">
        <w:rPr>
          <w:rFonts w:hint="eastAsia"/>
        </w:rPr>
        <w:t xml:space="preserve"> </w:t>
      </w:r>
      <w:r w:rsidRPr="00A86F11">
        <w:t>We also briefly discuss that this contrast may reflect differences in the state of the volcanic system prior to each unrest</w:t>
      </w:r>
      <w:r w:rsidR="009D3DDC" w:rsidRPr="00A86F11">
        <w:t xml:space="preserve"> (lines </w:t>
      </w:r>
      <w:r w:rsidR="00DA1E14" w:rsidRPr="00A86F11">
        <w:t>3</w:t>
      </w:r>
      <w:r w:rsidR="00A42504" w:rsidRPr="00A86F11">
        <w:rPr>
          <w:rFonts w:hint="eastAsia"/>
        </w:rPr>
        <w:t>81</w:t>
      </w:r>
      <w:r w:rsidR="009D3DDC" w:rsidRPr="00A86F11">
        <w:t>–</w:t>
      </w:r>
      <w:r w:rsidR="00A42504" w:rsidRPr="00A86F11">
        <w:rPr>
          <w:rFonts w:hint="eastAsia"/>
        </w:rPr>
        <w:t>385</w:t>
      </w:r>
      <w:r w:rsidR="009D3DDC" w:rsidRPr="00A86F11">
        <w:t xml:space="preserve"> in the revised manuscript)</w:t>
      </w:r>
      <w:r w:rsidRPr="00A86F11">
        <w:t xml:space="preserve">, while noting that </w:t>
      </w:r>
      <w:r w:rsidR="00D768FE" w:rsidRPr="00A86F11">
        <w:t>further evaluation of this possibility requires additional constraints due to the limitations of the available data.</w:t>
      </w:r>
    </w:p>
    <w:p w14:paraId="2E5EB48E" w14:textId="0B6F68FF" w:rsidR="00B22784" w:rsidRPr="00A86F11" w:rsidRDefault="00B22784">
      <w:pPr>
        <w:widowControl/>
        <w:jc w:val="left"/>
      </w:pPr>
    </w:p>
    <w:p w14:paraId="5EC3463D" w14:textId="77777777" w:rsidR="006F68BB" w:rsidRPr="00A86F11" w:rsidRDefault="006F68BB">
      <w:pPr>
        <w:widowControl/>
        <w:jc w:val="left"/>
      </w:pPr>
    </w:p>
    <w:p w14:paraId="03F73412" w14:textId="77777777" w:rsidR="006F68BB" w:rsidRPr="00A86F11" w:rsidRDefault="006F68BB">
      <w:pPr>
        <w:widowControl/>
        <w:jc w:val="left"/>
      </w:pPr>
    </w:p>
    <w:p w14:paraId="52DA685D" w14:textId="1A2234F4" w:rsidR="00F42994" w:rsidRPr="00A86F11" w:rsidRDefault="00FC24BD" w:rsidP="00F42994">
      <w:pPr>
        <w:rPr>
          <w:b/>
          <w:bCs/>
        </w:rPr>
      </w:pPr>
      <w:r w:rsidRPr="00A86F11">
        <w:rPr>
          <w:rFonts w:hint="eastAsia"/>
          <w:b/>
          <w:bCs/>
        </w:rPr>
        <w:t xml:space="preserve"> </w:t>
      </w:r>
      <w:r w:rsidR="00F42994" w:rsidRPr="00A86F11">
        <w:rPr>
          <w:rFonts w:hint="eastAsia"/>
          <w:b/>
          <w:bCs/>
        </w:rPr>
        <w:t>[Comment 32]</w:t>
      </w:r>
      <w:r w:rsidR="00086056" w:rsidRPr="00A86F11">
        <w:rPr>
          <w:b/>
          <w:bCs/>
          <w:noProof/>
        </w:rPr>
        <w:t xml:space="preserve"> </w:t>
      </w:r>
    </w:p>
    <w:p w14:paraId="64C5FD46" w14:textId="7EDAEE1E" w:rsidR="00516CBE" w:rsidRPr="00A86F11" w:rsidRDefault="007C10A4" w:rsidP="007C10A4">
      <w:r w:rsidRPr="00A86F11">
        <w:t>Lines 357–359: The observation that “SBL began to decrease while uplift around</w:t>
      </w:r>
      <w:r w:rsidR="00516CBE" w:rsidRPr="00A86F11">
        <w:t xml:space="preserve"> </w:t>
      </w:r>
      <w:r w:rsidRPr="00A86F11">
        <w:t>Yugama continued” appears to contradict the second common feature stated above (“SBL</w:t>
      </w:r>
      <w:r w:rsidR="00516CBE" w:rsidRPr="00A86F11">
        <w:t xml:space="preserve"> </w:t>
      </w:r>
      <w:r w:rsidRPr="00A86F11">
        <w:t>decreases when inflation slows, stagnates, or reverses”). If SBL begins to decrease while</w:t>
      </w:r>
      <w:r w:rsidR="00516CBE" w:rsidRPr="00A86F11">
        <w:t xml:space="preserve"> </w:t>
      </w:r>
      <w:r w:rsidRPr="00A86F11">
        <w:t>shallow inflation (uplift) is still ongoing, it suggests that SBL decrease corresponds to a</w:t>
      </w:r>
      <w:r w:rsidR="00516CBE" w:rsidRPr="00A86F11">
        <w:t xml:space="preserve"> </w:t>
      </w:r>
      <w:r w:rsidRPr="00A86F11">
        <w:t>different factor rather than the continuation/cessation of shallow inflation (e.g., a decrease in</w:t>
      </w:r>
      <w:r w:rsidR="00516CBE" w:rsidRPr="00A86F11">
        <w:t xml:space="preserve"> </w:t>
      </w:r>
      <w:r w:rsidRPr="00A86F11">
        <w:t>fluid supply from depth). Discussion of this contradiction (or complexity) is needed.</w:t>
      </w:r>
    </w:p>
    <w:p w14:paraId="424D1E11" w14:textId="77777777" w:rsidR="00D00695" w:rsidRPr="00A86F11" w:rsidRDefault="00D00695" w:rsidP="007C10A4">
      <w:pPr>
        <w:rPr>
          <w:color w:val="0000FF"/>
        </w:rPr>
      </w:pPr>
    </w:p>
    <w:p w14:paraId="6F5EA64C" w14:textId="0CF968D7" w:rsidR="00C14FB9" w:rsidRPr="00A86F11" w:rsidRDefault="00775E19" w:rsidP="007C10A4">
      <w:pPr>
        <w:rPr>
          <w:b/>
          <w:bCs/>
        </w:rPr>
      </w:pPr>
      <w:r w:rsidRPr="00A86F11">
        <w:rPr>
          <w:rFonts w:hint="eastAsia"/>
          <w:b/>
          <w:bCs/>
        </w:rPr>
        <w:t>Response:</w:t>
      </w:r>
    </w:p>
    <w:p w14:paraId="76D31032" w14:textId="77777777" w:rsidR="00E37300" w:rsidRPr="00A86F11" w:rsidRDefault="00E37300" w:rsidP="00E37300">
      <w:r w:rsidRPr="00A86F11">
        <w:t>We thank the reviewer for this valuable comment.</w:t>
      </w:r>
    </w:p>
    <w:p w14:paraId="0B6C1674" w14:textId="2C63F744" w:rsidR="00E37300" w:rsidRPr="00A86F11" w:rsidRDefault="00E37300" w:rsidP="00E37300">
      <w:r w:rsidRPr="00A86F11">
        <w:t>In the previous version of the manuscript, the common feature regarding ground deformation included both the deep and shallow sources. We have reconsidered this point and revised the text so that this common feature refers only to the deep deformation source</w:t>
      </w:r>
      <w:r w:rsidR="004D7B31" w:rsidRPr="00A86F11">
        <w:t xml:space="preserve"> (lines 3</w:t>
      </w:r>
      <w:r w:rsidR="00C03082" w:rsidRPr="00A86F11">
        <w:rPr>
          <w:rFonts w:hint="eastAsia"/>
        </w:rPr>
        <w:t>59</w:t>
      </w:r>
      <w:r w:rsidR="004D7B31" w:rsidRPr="00A86F11">
        <w:t>–3</w:t>
      </w:r>
      <w:r w:rsidR="00C03082" w:rsidRPr="00A86F11">
        <w:rPr>
          <w:rFonts w:hint="eastAsia"/>
        </w:rPr>
        <w:t>61</w:t>
      </w:r>
      <w:r w:rsidR="004D7B31" w:rsidRPr="00A86F11">
        <w:t xml:space="preserve"> in the revised manuscript)</w:t>
      </w:r>
      <w:r w:rsidRPr="00A86F11">
        <w:t>.</w:t>
      </w:r>
    </w:p>
    <w:p w14:paraId="17C16B4D" w14:textId="288B0696" w:rsidR="00064C0E" w:rsidRPr="00A86F11" w:rsidRDefault="00775E87" w:rsidP="00E37300">
      <w:r w:rsidRPr="00A86F11">
        <w:t>Regarding the relationship between the SBL and shallow deformation, we provide the following possible interpretation.</w:t>
      </w:r>
      <w:r w:rsidR="005026D9" w:rsidRPr="00A86F11">
        <w:t xml:space="preserve"> The shallow ground deformation reflects pressure or volume changes of the shallow pressure source. Therefore, even if the fluid supply rate from depth to the shallow source decreases, pressure accumulation and uplift of the shallow pressure source can continue as long as the supply does not completely stop. On the other hand, if the SBL vibrations are related to the supply of volcanic fluids or heat from the shallow pressure source to an even shallower region, the SBL could decrease even while shallow uplift continued, if the flux of volcanic fluids or heat from the shallow source to the shallower region decreased. We also note that this is only one possible interpretation, and that the physical mechanism </w:t>
      </w:r>
      <w:r w:rsidR="005026D9" w:rsidRPr="00A86F11">
        <w:lastRenderedPageBreak/>
        <w:t>responsible for such a decrease in flux is not constrained in this study.</w:t>
      </w:r>
    </w:p>
    <w:p w14:paraId="2640FCED" w14:textId="56FDAF81" w:rsidR="00B22784" w:rsidRDefault="00B22784">
      <w:pPr>
        <w:widowControl/>
        <w:jc w:val="left"/>
      </w:pPr>
    </w:p>
    <w:p w14:paraId="2667AF4A" w14:textId="77777777" w:rsidR="0065652E" w:rsidRDefault="0065652E">
      <w:pPr>
        <w:widowControl/>
        <w:jc w:val="left"/>
      </w:pPr>
    </w:p>
    <w:p w14:paraId="2BDA27D6" w14:textId="77777777" w:rsidR="0065652E" w:rsidRPr="00A86F11" w:rsidRDefault="0065652E">
      <w:pPr>
        <w:widowControl/>
        <w:jc w:val="left"/>
      </w:pPr>
    </w:p>
    <w:p w14:paraId="2FEDEBD0" w14:textId="387946BA" w:rsidR="00F42994" w:rsidRPr="00A86F11" w:rsidRDefault="00F42994" w:rsidP="00F42994">
      <w:pPr>
        <w:rPr>
          <w:b/>
          <w:bCs/>
        </w:rPr>
      </w:pPr>
      <w:r w:rsidRPr="00A86F11">
        <w:rPr>
          <w:rFonts w:hint="eastAsia"/>
          <w:b/>
          <w:bCs/>
        </w:rPr>
        <w:t>[Comment 33]</w:t>
      </w:r>
      <w:r w:rsidR="00447A69" w:rsidRPr="00A86F11">
        <w:rPr>
          <w:b/>
          <w:bCs/>
          <w:noProof/>
        </w:rPr>
        <w:t xml:space="preserve"> </w:t>
      </w:r>
    </w:p>
    <w:p w14:paraId="6EF72E98" w14:textId="6A10479C" w:rsidR="007C10A4" w:rsidRPr="00A86F11" w:rsidRDefault="007C10A4" w:rsidP="007C10A4">
      <w:r w:rsidRPr="00A86F11">
        <w:t>Lines 360–363: “Knowing that the ground deformations are of volcanic origin… we</w:t>
      </w:r>
      <w:r w:rsidR="00516CBE" w:rsidRPr="00A86F11">
        <w:t xml:space="preserve"> </w:t>
      </w:r>
      <w:r w:rsidRPr="00A86F11">
        <w:t>interpret the observed relationship… as indicative of the supply of volcanic fluids from</w:t>
      </w:r>
      <w:r w:rsidR="00516CBE" w:rsidRPr="00A86F11">
        <w:t xml:space="preserve"> </w:t>
      </w:r>
      <w:r w:rsidRPr="00A86F11">
        <w:t>deeper to shallower regions…” What is observed is the temporal correspondence between</w:t>
      </w:r>
      <w:r w:rsidR="00516CBE" w:rsidRPr="00A86F11">
        <w:t xml:space="preserve"> </w:t>
      </w:r>
      <w:r w:rsidRPr="00A86F11">
        <w:t>SBL and deep/shallow deformation. It is not direct evidence of “fluid supply to deeper to</w:t>
      </w:r>
      <w:r w:rsidR="00516CBE" w:rsidRPr="00A86F11">
        <w:t xml:space="preserve"> </w:t>
      </w:r>
      <w:r w:rsidRPr="00A86F11">
        <w:t>shallower regions.” Expressions such as “is consistent with” or “can be interpreted as</w:t>
      </w:r>
      <w:r w:rsidR="00516CBE" w:rsidRPr="00A86F11">
        <w:t xml:space="preserve"> </w:t>
      </w:r>
      <w:r w:rsidRPr="00A86F11">
        <w:t>reflecting” would be more appropriate.</w:t>
      </w:r>
    </w:p>
    <w:p w14:paraId="53D4DA3B" w14:textId="77777777" w:rsidR="00D36215" w:rsidRPr="00A86F11" w:rsidRDefault="00D36215" w:rsidP="007C10A4">
      <w:pPr>
        <w:rPr>
          <w:color w:val="EE0000"/>
        </w:rPr>
      </w:pPr>
    </w:p>
    <w:p w14:paraId="0F3349D4" w14:textId="790F1CE8" w:rsidR="00775E19" w:rsidRPr="00A86F11" w:rsidRDefault="00775E19" w:rsidP="007C10A4">
      <w:pPr>
        <w:rPr>
          <w:b/>
          <w:bCs/>
        </w:rPr>
      </w:pPr>
      <w:r w:rsidRPr="00A86F11">
        <w:rPr>
          <w:rFonts w:hint="eastAsia"/>
          <w:b/>
          <w:bCs/>
        </w:rPr>
        <w:t>Response:</w:t>
      </w:r>
    </w:p>
    <w:p w14:paraId="438065B9" w14:textId="77777777" w:rsidR="00163BE9" w:rsidRPr="00A86F11" w:rsidRDefault="00163BE9" w:rsidP="00163BE9">
      <w:r w:rsidRPr="00A86F11">
        <w:t>We thank the reviewer for this comment.</w:t>
      </w:r>
    </w:p>
    <w:p w14:paraId="613E8E33" w14:textId="7BB92A20" w:rsidR="00163BE9" w:rsidRPr="00A86F11" w:rsidRDefault="00163BE9" w:rsidP="00163BE9">
      <w:r w:rsidRPr="00A86F11">
        <w:t>We agree that the temporal correspondence between the SBL variations and deformation does not provide direct evidence for the supply of volcanic fluids from deeper to shallower regions. We therefore revised the manuscript to avoid this overinterpretation (lines 3</w:t>
      </w:r>
      <w:r w:rsidR="003A6679" w:rsidRPr="00A86F11">
        <w:rPr>
          <w:rFonts w:hint="eastAsia"/>
        </w:rPr>
        <w:t>62</w:t>
      </w:r>
      <w:r w:rsidRPr="00A86F11">
        <w:t>–</w:t>
      </w:r>
      <w:r w:rsidR="00B74261" w:rsidRPr="00A86F11">
        <w:t>3</w:t>
      </w:r>
      <w:r w:rsidR="003A6679" w:rsidRPr="00A86F11">
        <w:rPr>
          <w:rFonts w:hint="eastAsia"/>
        </w:rPr>
        <w:t>63</w:t>
      </w:r>
      <w:r w:rsidRPr="00A86F11">
        <w:t xml:space="preserve"> in the revised manuscript).</w:t>
      </w:r>
    </w:p>
    <w:p w14:paraId="5E767ED8" w14:textId="77777777" w:rsidR="00163BE9" w:rsidRPr="00A86F11" w:rsidRDefault="00163BE9" w:rsidP="006F26AD"/>
    <w:p w14:paraId="7817D53F" w14:textId="77777777" w:rsidR="003B716B" w:rsidRPr="00A86F11" w:rsidRDefault="003B716B" w:rsidP="007C10A4"/>
    <w:p w14:paraId="5D69144D" w14:textId="77777777" w:rsidR="00CB5C9C" w:rsidRPr="00A86F11" w:rsidRDefault="00CB5C9C" w:rsidP="007C10A4"/>
    <w:p w14:paraId="0FA6A78B" w14:textId="077644BC" w:rsidR="00C84243" w:rsidRPr="00A86F11" w:rsidRDefault="00C84243" w:rsidP="00C84243">
      <w:pPr>
        <w:rPr>
          <w:b/>
          <w:bCs/>
        </w:rPr>
      </w:pPr>
      <w:r w:rsidRPr="00A86F11">
        <w:rPr>
          <w:rFonts w:hint="eastAsia"/>
          <w:b/>
          <w:bCs/>
        </w:rPr>
        <w:t>[Comment 34]</w:t>
      </w:r>
    </w:p>
    <w:p w14:paraId="4CAB849A" w14:textId="7824D238" w:rsidR="007C10A4" w:rsidRPr="00A86F11" w:rsidRDefault="007C10A4" w:rsidP="007C10A4">
      <w:r w:rsidRPr="00A86F11">
        <w:t>Lines 388–391: “The increase in SBL observed during these periods may represent a</w:t>
      </w:r>
      <w:r w:rsidR="00516CBE" w:rsidRPr="00A86F11">
        <w:t xml:space="preserve"> </w:t>
      </w:r>
      <w:r w:rsidRPr="00A86F11">
        <w:t>minor fluctuation in volcanic activity occurring in the shallow depth beneath Yugama, within</w:t>
      </w:r>
      <w:r w:rsidR="00516CBE" w:rsidRPr="00A86F11">
        <w:t xml:space="preserve"> </w:t>
      </w:r>
      <w:r w:rsidRPr="00A86F11">
        <w:t>an overall declining and cooling trend of the hydrothermal system.” This interprets SBL</w:t>
      </w:r>
      <w:r w:rsidR="00516CBE" w:rsidRPr="00A86F11">
        <w:t xml:space="preserve"> </w:t>
      </w:r>
      <w:r w:rsidRPr="00A86F11">
        <w:t>increases and decreases as “minor activity fluctuations at shallow depth within a</w:t>
      </w:r>
      <w:r w:rsidR="00516CBE" w:rsidRPr="00A86F11">
        <w:t xml:space="preserve"> </w:t>
      </w:r>
      <w:r w:rsidRPr="00A86F11">
        <w:t>hydrothermal system that is overall declining and cooling,” but if the hydrothermal system is</w:t>
      </w:r>
      <w:r w:rsidR="00516CBE" w:rsidRPr="00A86F11">
        <w:t xml:space="preserve"> </w:t>
      </w:r>
      <w:r w:rsidRPr="00A86F11">
        <w:t>in a cooling trend, what is the cause of the SBL increase in Period I? This question is not</w:t>
      </w:r>
      <w:r w:rsidR="00516CBE" w:rsidRPr="00A86F11">
        <w:t xml:space="preserve"> </w:t>
      </w:r>
      <w:r w:rsidRPr="00A86F11">
        <w:t>adequately answered.</w:t>
      </w:r>
    </w:p>
    <w:p w14:paraId="0BA237D5" w14:textId="77777777" w:rsidR="00775E19" w:rsidRPr="00A86F11" w:rsidRDefault="00775E19" w:rsidP="007C10A4">
      <w:pPr>
        <w:rPr>
          <w:color w:val="EE0000"/>
        </w:rPr>
      </w:pPr>
    </w:p>
    <w:p w14:paraId="0972E55A" w14:textId="17D56CDD" w:rsidR="00775E19" w:rsidRPr="00A86F11" w:rsidRDefault="00775E19" w:rsidP="007C10A4">
      <w:pPr>
        <w:rPr>
          <w:b/>
          <w:bCs/>
        </w:rPr>
      </w:pPr>
      <w:r w:rsidRPr="00A86F11">
        <w:rPr>
          <w:rFonts w:hint="eastAsia"/>
          <w:b/>
          <w:bCs/>
        </w:rPr>
        <w:t>Response:</w:t>
      </w:r>
    </w:p>
    <w:p w14:paraId="1C5A5965" w14:textId="77777777" w:rsidR="00095500" w:rsidRPr="00A86F11" w:rsidRDefault="00095500" w:rsidP="00095500">
      <w:r w:rsidRPr="00A86F11">
        <w:t>We thank the reviewer for this insightful comment.</w:t>
      </w:r>
    </w:p>
    <w:p w14:paraId="0AB47870" w14:textId="4E5D2666" w:rsidR="001E69A8" w:rsidRPr="00A86F11" w:rsidRDefault="00095500" w:rsidP="00095500">
      <w:r w:rsidRPr="00A86F11">
        <w:t>We agree that the interpretation of SBL increases during an overall cooling trend requires clarification. In the revised manuscript, we have clarified that the long-term cooling trend does not imply a complete cessation of heat or fluid supply</w:t>
      </w:r>
      <w:r w:rsidR="00741E9D" w:rsidRPr="00A86F11">
        <w:t xml:space="preserve"> (lines </w:t>
      </w:r>
      <w:r w:rsidR="00AC4A09" w:rsidRPr="00A86F11">
        <w:t>4</w:t>
      </w:r>
      <w:r w:rsidR="003D3B9B" w:rsidRPr="00A86F11">
        <w:rPr>
          <w:rFonts w:hint="eastAsia"/>
        </w:rPr>
        <w:t>03</w:t>
      </w:r>
      <w:r w:rsidR="00741E9D" w:rsidRPr="00A86F11">
        <w:t>–4</w:t>
      </w:r>
      <w:r w:rsidR="003D3B9B" w:rsidRPr="00A86F11">
        <w:rPr>
          <w:rFonts w:hint="eastAsia"/>
        </w:rPr>
        <w:t>05</w:t>
      </w:r>
      <w:r w:rsidR="00741E9D" w:rsidRPr="00A86F11">
        <w:t xml:space="preserve"> in the revised manuscript)</w:t>
      </w:r>
      <w:r w:rsidRPr="00A86F11">
        <w:t>.</w:t>
      </w:r>
    </w:p>
    <w:p w14:paraId="676A22CF" w14:textId="77777777" w:rsidR="00977A91" w:rsidRPr="00A86F11" w:rsidRDefault="00977A91" w:rsidP="00977A91">
      <w:pPr>
        <w:widowControl/>
        <w:jc w:val="left"/>
      </w:pPr>
    </w:p>
    <w:p w14:paraId="6CEAF3BC" w14:textId="77777777" w:rsidR="00977A91" w:rsidRPr="00A86F11" w:rsidRDefault="00977A91" w:rsidP="00977A91">
      <w:pPr>
        <w:widowControl/>
        <w:jc w:val="left"/>
      </w:pPr>
    </w:p>
    <w:p w14:paraId="5C6B8805" w14:textId="77777777" w:rsidR="00977A91" w:rsidRPr="00A86F11" w:rsidRDefault="00977A91" w:rsidP="00977A91">
      <w:pPr>
        <w:widowControl/>
        <w:jc w:val="left"/>
      </w:pPr>
    </w:p>
    <w:p w14:paraId="37A1A10F" w14:textId="0C95730E" w:rsidR="00C84243" w:rsidRPr="00A86F11" w:rsidRDefault="00C84243" w:rsidP="00977A91">
      <w:pPr>
        <w:widowControl/>
        <w:jc w:val="left"/>
        <w:rPr>
          <w:b/>
          <w:bCs/>
        </w:rPr>
      </w:pPr>
      <w:r w:rsidRPr="00A86F11">
        <w:rPr>
          <w:rFonts w:hint="eastAsia"/>
          <w:b/>
          <w:bCs/>
        </w:rPr>
        <w:t>[Comment 35]</w:t>
      </w:r>
    </w:p>
    <w:p w14:paraId="54530DF6" w14:textId="74F9FB05" w:rsidR="007C10A4" w:rsidRPr="00A86F11" w:rsidRDefault="007C10A4" w:rsidP="007C10A4">
      <w:r w:rsidRPr="00A86F11">
        <w:t>Lines 475–477: “The analysis of nearly 20 years of data revealed that the SBL</w:t>
      </w:r>
      <w:r w:rsidR="00B82514" w:rsidRPr="00A86F11">
        <w:t xml:space="preserve"> </w:t>
      </w:r>
      <w:r w:rsidRPr="00A86F11">
        <w:t>increased during the unrest episodes in 2014 and 2018, showing good correlation with both</w:t>
      </w:r>
      <w:r w:rsidR="00B82514" w:rsidRPr="00A86F11">
        <w:t xml:space="preserve"> </w:t>
      </w:r>
      <w:r w:rsidRPr="00A86F11">
        <w:t>deep and shallow sources of ground deformation.” “Good correlation” is used, but no</w:t>
      </w:r>
      <w:r w:rsidR="00B82514" w:rsidRPr="00A86F11">
        <w:t xml:space="preserve"> </w:t>
      </w:r>
      <w:r w:rsidRPr="00A86F11">
        <w:t>correlation coefficients have been computed in this study; the comparison is based on</w:t>
      </w:r>
      <w:r w:rsidR="00B82514" w:rsidRPr="00A86F11">
        <w:t xml:space="preserve"> </w:t>
      </w:r>
      <w:r w:rsidRPr="00A86F11">
        <w:t>qualitative time-series comparison. Expressions such as “good temporal correspondence” or</w:t>
      </w:r>
      <w:r w:rsidR="00B82514" w:rsidRPr="00A86F11">
        <w:t xml:space="preserve"> </w:t>
      </w:r>
      <w:r w:rsidRPr="00A86F11">
        <w:rPr>
          <w:rFonts w:hint="eastAsia"/>
        </w:rPr>
        <w:t>“</w:t>
      </w:r>
      <w:r w:rsidRPr="00A86F11">
        <w:t>consistent temporal relationship” would be more accurate. The same issue applies to</w:t>
      </w:r>
      <w:r w:rsidR="00B82514" w:rsidRPr="00A86F11">
        <w:t xml:space="preserve"> </w:t>
      </w:r>
      <w:r w:rsidRPr="00A86F11">
        <w:rPr>
          <w:rFonts w:hint="eastAsia"/>
        </w:rPr>
        <w:t>“</w:t>
      </w:r>
      <w:r w:rsidRPr="00A86F11">
        <w:t>strong correlation” in the Abstract (line 31).</w:t>
      </w:r>
    </w:p>
    <w:p w14:paraId="2D4E8C2B" w14:textId="77777777" w:rsidR="005A716B" w:rsidRPr="00A86F11" w:rsidRDefault="005A716B" w:rsidP="007C10A4"/>
    <w:p w14:paraId="23D7DB5E" w14:textId="2B07612B" w:rsidR="00775E19" w:rsidRPr="00A86F11" w:rsidRDefault="00775E19" w:rsidP="007C10A4">
      <w:pPr>
        <w:rPr>
          <w:b/>
          <w:bCs/>
        </w:rPr>
      </w:pPr>
      <w:r w:rsidRPr="00A86F11">
        <w:rPr>
          <w:rFonts w:hint="eastAsia"/>
          <w:b/>
          <w:bCs/>
        </w:rPr>
        <w:t>Response:</w:t>
      </w:r>
    </w:p>
    <w:p w14:paraId="2BCD639B" w14:textId="77777777" w:rsidR="00B37669" w:rsidRPr="00A86F11" w:rsidRDefault="00B37669" w:rsidP="00B37669">
      <w:r w:rsidRPr="00A86F11">
        <w:t>We thank the reviewer for this valuable comment.</w:t>
      </w:r>
    </w:p>
    <w:p w14:paraId="07C94FD3" w14:textId="1937D536" w:rsidR="005C1231" w:rsidRPr="00A86F11" w:rsidRDefault="00B37669" w:rsidP="00B37669">
      <w:r w:rsidRPr="00A86F11">
        <w:t>We agree that the term “correlation” was too strong, as our interpretation is based on qualitative comparison of time series rather than quantitative analysis. We have revised the manuscript accordingly by replacing expressions such as “good correlation” and “strong correlation” with more appropriate terms, such as “good temporal correspondence</w:t>
      </w:r>
      <w:r w:rsidR="00CD61F3" w:rsidRPr="00A86F11">
        <w:rPr>
          <w:rFonts w:hint="eastAsia"/>
        </w:rPr>
        <w:t>.</w:t>
      </w:r>
      <w:r w:rsidRPr="00A86F11">
        <w:t>”</w:t>
      </w:r>
    </w:p>
    <w:p w14:paraId="000538A6" w14:textId="072D851D" w:rsidR="00B80008" w:rsidRPr="00A86F11" w:rsidRDefault="00B80008">
      <w:pPr>
        <w:widowControl/>
        <w:jc w:val="left"/>
        <w:rPr>
          <w:b/>
          <w:bCs/>
        </w:rPr>
      </w:pPr>
    </w:p>
    <w:p w14:paraId="7325948A" w14:textId="77777777" w:rsidR="00205A7B" w:rsidRPr="00A86F11" w:rsidRDefault="00205A7B">
      <w:pPr>
        <w:widowControl/>
        <w:jc w:val="left"/>
        <w:rPr>
          <w:b/>
          <w:bCs/>
        </w:rPr>
      </w:pPr>
    </w:p>
    <w:p w14:paraId="092E5C26" w14:textId="77777777" w:rsidR="00205A7B" w:rsidRPr="00A86F11" w:rsidRDefault="00205A7B">
      <w:pPr>
        <w:widowControl/>
        <w:jc w:val="left"/>
        <w:rPr>
          <w:b/>
          <w:bCs/>
        </w:rPr>
      </w:pPr>
    </w:p>
    <w:p w14:paraId="207C105B" w14:textId="52B8363A" w:rsidR="00B61FF1" w:rsidRPr="00A86F11" w:rsidRDefault="00B61FF1" w:rsidP="00B61FF1">
      <w:pPr>
        <w:rPr>
          <w:b/>
          <w:bCs/>
        </w:rPr>
      </w:pPr>
      <w:r w:rsidRPr="00A86F11">
        <w:rPr>
          <w:rFonts w:hint="eastAsia"/>
          <w:b/>
          <w:bCs/>
        </w:rPr>
        <w:t>[Comment 36]</w:t>
      </w:r>
      <w:r w:rsidR="00562434" w:rsidRPr="00A86F11">
        <w:rPr>
          <w:b/>
          <w:bCs/>
          <w:noProof/>
        </w:rPr>
        <w:t xml:space="preserve"> </w:t>
      </w:r>
    </w:p>
    <w:p w14:paraId="46C1DEC7" w14:textId="6D8434E5" w:rsidR="007C10A4" w:rsidRPr="00A86F11" w:rsidRDefault="007C10A4" w:rsidP="007C10A4">
      <w:r w:rsidRPr="00A86F11">
        <w:t>Lines 481–482: "Overall, the results demonstrate that SBL analysis is a powerful tool for</w:t>
      </w:r>
      <w:r w:rsidR="00984D74" w:rsidRPr="00A86F11">
        <w:t xml:space="preserve"> </w:t>
      </w:r>
      <w:r w:rsidRPr="00A86F11">
        <w:t>monitoring volcanic activity." "Demonstrate" is a strong expression meaning "to prove</w:t>
      </w:r>
      <w:r w:rsidR="00984D74" w:rsidRPr="00A86F11">
        <w:t xml:space="preserve"> </w:t>
      </w:r>
      <w:r w:rsidRPr="00A86F11">
        <w:t>conclusively." This study is a retrospective analysis at a single volcano (Kusatsu-Shirane),</w:t>
      </w:r>
      <w:r w:rsidR="00984D74" w:rsidRPr="00A86F11">
        <w:t xml:space="preserve"> </w:t>
      </w:r>
      <w:r w:rsidRPr="00A86F11">
        <w:t>and it cannot be said that the effectiveness of SBL analysis as a monitoring tool has been</w:t>
      </w:r>
      <w:r w:rsidR="00984D74" w:rsidRPr="00A86F11">
        <w:t xml:space="preserve"> </w:t>
      </w:r>
      <w:r w:rsidRPr="00A86F11">
        <w:t>"demonstrated." Demonstrating that SBL analysis is effective in actual real-time monitoring</w:t>
      </w:r>
      <w:r w:rsidR="00984D74" w:rsidRPr="00A86F11">
        <w:t xml:space="preserve"> </w:t>
      </w:r>
      <w:r w:rsidRPr="00A86F11">
        <w:t>would require prospective validation. As noted in Comment 3, quantitative criteria would also</w:t>
      </w:r>
      <w:r w:rsidR="00984D74" w:rsidRPr="00A86F11">
        <w:t xml:space="preserve"> </w:t>
      </w:r>
      <w:r w:rsidRPr="00A86F11">
        <w:t>be necessary. More cautious expressions such as "suggest" or "indicate" are appropriate, or</w:t>
      </w:r>
      <w:r w:rsidR="00984D74" w:rsidRPr="00A86F11">
        <w:t xml:space="preserve"> </w:t>
      </w:r>
      <w:r w:rsidRPr="00A86F11">
        <w:t>something like "the results support the potential of SBL analysis as a tool for…" would be</w:t>
      </w:r>
      <w:r w:rsidR="00984D74" w:rsidRPr="00A86F11">
        <w:t xml:space="preserve"> </w:t>
      </w:r>
      <w:r w:rsidRPr="00A86F11">
        <w:t>suitable.</w:t>
      </w:r>
    </w:p>
    <w:p w14:paraId="507340BF" w14:textId="77777777" w:rsidR="005A716B" w:rsidRPr="00A86F11" w:rsidRDefault="005A716B" w:rsidP="007C10A4"/>
    <w:p w14:paraId="65C26A08" w14:textId="6E6AADD7" w:rsidR="00775E19" w:rsidRPr="00A86F11" w:rsidRDefault="00775E19" w:rsidP="007C10A4">
      <w:pPr>
        <w:rPr>
          <w:b/>
          <w:bCs/>
        </w:rPr>
      </w:pPr>
      <w:r w:rsidRPr="00A86F11">
        <w:rPr>
          <w:rFonts w:hint="eastAsia"/>
          <w:b/>
          <w:bCs/>
        </w:rPr>
        <w:t>Response:</w:t>
      </w:r>
    </w:p>
    <w:p w14:paraId="0C6B72AF" w14:textId="77777777" w:rsidR="00717339" w:rsidRPr="00A86F11" w:rsidRDefault="00843F7A" w:rsidP="007C10A4">
      <w:r w:rsidRPr="00A86F11">
        <w:t>We thank the reviewer for this valuable comment.</w:t>
      </w:r>
    </w:p>
    <w:p w14:paraId="53B5FBC8" w14:textId="1D74A84E" w:rsidR="00872A45" w:rsidRPr="00A86F11" w:rsidRDefault="002F2ABE" w:rsidP="007C10A4">
      <w:r w:rsidRPr="00A86F11">
        <w:t xml:space="preserve">We agree that the original expression was too strong. In the revised manuscript, we also reconsidered the scope of our conclusion and decided not to extend it to the applicability of </w:t>
      </w:r>
      <w:r w:rsidRPr="00A86F11">
        <w:lastRenderedPageBreak/>
        <w:t>SBL analysis as a tool for volcano monitoring. The corresponding sentence has therefore been removed.</w:t>
      </w:r>
    </w:p>
    <w:p w14:paraId="2ECBCE25" w14:textId="77777777" w:rsidR="00872A45" w:rsidRPr="00A86F11" w:rsidRDefault="00872A45" w:rsidP="007C10A4"/>
    <w:p w14:paraId="70860741" w14:textId="635AE928" w:rsidR="00872A45" w:rsidRPr="00A86F11" w:rsidRDefault="00872A45">
      <w:pPr>
        <w:widowControl/>
        <w:jc w:val="left"/>
      </w:pPr>
    </w:p>
    <w:p w14:paraId="36E1E898" w14:textId="77777777" w:rsidR="00B80008" w:rsidRPr="00A86F11" w:rsidRDefault="00B80008">
      <w:pPr>
        <w:widowControl/>
        <w:jc w:val="left"/>
      </w:pPr>
    </w:p>
    <w:p w14:paraId="03EE2A29" w14:textId="62D408D6" w:rsidR="00B61FF1" w:rsidRPr="00A86F11" w:rsidRDefault="00B61FF1" w:rsidP="00B61FF1">
      <w:pPr>
        <w:rPr>
          <w:b/>
          <w:bCs/>
        </w:rPr>
      </w:pPr>
      <w:r w:rsidRPr="00A86F11">
        <w:rPr>
          <w:rFonts w:hint="eastAsia"/>
          <w:b/>
          <w:bCs/>
        </w:rPr>
        <w:t>[Comment 37]</w:t>
      </w:r>
    </w:p>
    <w:p w14:paraId="2617B166" w14:textId="6B7564BC" w:rsidR="007C10A4" w:rsidRPr="00A86F11" w:rsidRDefault="007C10A4" w:rsidP="007C10A4">
      <w:r w:rsidRPr="00A86F11">
        <w:t>Lines 482–483: “In particular, the SBL can reveal subtle variations in the state of the</w:t>
      </w:r>
      <w:r w:rsidR="00984D74" w:rsidRPr="00A86F11">
        <w:t xml:space="preserve"> </w:t>
      </w:r>
      <w:r w:rsidRPr="00A86F11">
        <w:t>hydrothermal system, even during non-unrest periods.” The claim that “subtle variations in</w:t>
      </w:r>
      <w:r w:rsidR="00984D74" w:rsidRPr="00A86F11">
        <w:t xml:space="preserve"> </w:t>
      </w:r>
      <w:r w:rsidRPr="00A86F11">
        <w:t>the hydrothermal system can be detected even during non-unrest periods” is based on the</w:t>
      </w:r>
      <w:r w:rsidR="00984D74" w:rsidRPr="00A86F11">
        <w:t xml:space="preserve"> </w:t>
      </w:r>
      <w:r w:rsidRPr="00A86F11">
        <w:t>correspondence between SBL variations and surface phenomena in Periods I–III. However,</w:t>
      </w:r>
      <w:r w:rsidR="00984D74" w:rsidRPr="00A86F11">
        <w:t xml:space="preserve"> </w:t>
      </w:r>
      <w:r w:rsidRPr="00A86F11">
        <w:t>as discussed in the Discussion, the interpretation that SBL variations during Periods I–III</w:t>
      </w:r>
      <w:r w:rsidR="00984D74" w:rsidRPr="00A86F11">
        <w:t xml:space="preserve"> </w:t>
      </w:r>
      <w:r w:rsidRPr="00A86F11">
        <w:t>reflect hydrothermal system variations involves several logical leaps (e.g., the relationship</w:t>
      </w:r>
      <w:r w:rsidR="00984D74" w:rsidRPr="00A86F11">
        <w:t xml:space="preserve"> </w:t>
      </w:r>
      <w:r w:rsidRPr="00A86F11">
        <w:t>between the existence of heat supply and the generation of vibrations has not been verified).</w:t>
      </w:r>
      <w:r w:rsidR="00984D74" w:rsidRPr="00A86F11">
        <w:t xml:space="preserve"> </w:t>
      </w:r>
      <w:r w:rsidRPr="00A86F11">
        <w:t>Even in the Conclusion, when making this claim, it should be limited to the observational fact</w:t>
      </w:r>
      <w:r w:rsidR="00984D74" w:rsidRPr="00A86F11">
        <w:t xml:space="preserve"> </w:t>
      </w:r>
      <w:r w:rsidRPr="00A86F11">
        <w:t>that “SBL variations were temporally correlated with surface phenomena (lake discoloration,</w:t>
      </w:r>
      <w:r w:rsidR="00984D74" w:rsidRPr="00A86F11">
        <w:t xml:space="preserve"> </w:t>
      </w:r>
      <w:r w:rsidRPr="00A86F11">
        <w:t>fumarole appearance) during non-unrest periods,” and the interpretive claim that “subtle</w:t>
      </w:r>
      <w:r w:rsidR="00984D74" w:rsidRPr="00A86F11">
        <w:t xml:space="preserve"> </w:t>
      </w:r>
      <w:r w:rsidRPr="00A86F11">
        <w:t>variations in the hydrothermal system can be detected” should be somewhat toned down.</w:t>
      </w:r>
    </w:p>
    <w:p w14:paraId="7DD4B749" w14:textId="77777777" w:rsidR="009B2609" w:rsidRPr="00A86F11" w:rsidRDefault="009B2609" w:rsidP="007C10A4"/>
    <w:p w14:paraId="32884C8A" w14:textId="31ED215A" w:rsidR="00775E19" w:rsidRPr="00A86F11" w:rsidRDefault="00775E19" w:rsidP="007C10A4">
      <w:pPr>
        <w:rPr>
          <w:b/>
          <w:bCs/>
        </w:rPr>
      </w:pPr>
      <w:r w:rsidRPr="00A86F11">
        <w:rPr>
          <w:rFonts w:hint="eastAsia"/>
          <w:b/>
          <w:bCs/>
        </w:rPr>
        <w:t>Response:</w:t>
      </w:r>
    </w:p>
    <w:p w14:paraId="0A758724" w14:textId="77777777" w:rsidR="00C325D1" w:rsidRPr="00A86F11" w:rsidRDefault="00C325D1" w:rsidP="00C325D1">
      <w:pPr>
        <w:widowControl/>
        <w:jc w:val="left"/>
      </w:pPr>
      <w:r w:rsidRPr="00A86F11">
        <w:t>We thank the reviewer for this insightful comment.</w:t>
      </w:r>
    </w:p>
    <w:p w14:paraId="6350B70E" w14:textId="178BDEA3" w:rsidR="00CE6CCE" w:rsidRPr="00A86F11" w:rsidRDefault="00C325D1" w:rsidP="00C325D1">
      <w:pPr>
        <w:widowControl/>
        <w:jc w:val="left"/>
      </w:pPr>
      <w:r w:rsidRPr="00A86F11">
        <w:t xml:space="preserve">We agree that the interpretation of SBL variations during non-unrest periods involves several uncertainties and should be treated with caution. </w:t>
      </w:r>
      <w:r w:rsidR="00FA2A63" w:rsidRPr="00A86F11">
        <w:t>Based on the temporal correspondence between the SBL variations and surface phenomena, we consider that the vibrations contributing to the SBL may have been related to volcanic activity, although this does not demonstrate a direct relationship.</w:t>
      </w:r>
      <w:r w:rsidR="00FA2A63" w:rsidRPr="00A86F11">
        <w:rPr>
          <w:rFonts w:hint="eastAsia"/>
        </w:rPr>
        <w:t xml:space="preserve"> </w:t>
      </w:r>
      <w:r w:rsidR="00FA2A63" w:rsidRPr="00A86F11">
        <w:t>We agree that the statement that “subtle variations in the hydrothermal system can be detected” was an overstatement, and we have therefore removed it from the revised manuscript.</w:t>
      </w:r>
    </w:p>
    <w:p w14:paraId="293D7459" w14:textId="77777777" w:rsidR="00CE6CCE" w:rsidRPr="00A86F11" w:rsidRDefault="00CE6CCE">
      <w:pPr>
        <w:widowControl/>
        <w:jc w:val="left"/>
      </w:pPr>
    </w:p>
    <w:p w14:paraId="57F769C6" w14:textId="77777777" w:rsidR="00CE6CCE" w:rsidRPr="00A86F11" w:rsidRDefault="00CE6CCE">
      <w:pPr>
        <w:widowControl/>
        <w:jc w:val="left"/>
      </w:pPr>
    </w:p>
    <w:p w14:paraId="494721C5" w14:textId="77777777" w:rsidR="00911C60" w:rsidRPr="00A86F11" w:rsidRDefault="00911C60">
      <w:pPr>
        <w:widowControl/>
        <w:jc w:val="left"/>
      </w:pPr>
    </w:p>
    <w:p w14:paraId="08BA1B63" w14:textId="032613AB" w:rsidR="0054046E" w:rsidRPr="00A86F11" w:rsidRDefault="0054046E" w:rsidP="0054046E">
      <w:pPr>
        <w:rPr>
          <w:b/>
          <w:bCs/>
        </w:rPr>
      </w:pPr>
      <w:r w:rsidRPr="00A86F11">
        <w:rPr>
          <w:rFonts w:hint="eastAsia"/>
          <w:b/>
          <w:bCs/>
        </w:rPr>
        <w:t>[Comment 38]</w:t>
      </w:r>
      <w:r w:rsidR="004F6C6D" w:rsidRPr="00A86F11">
        <w:rPr>
          <w:b/>
          <w:bCs/>
          <w:noProof/>
        </w:rPr>
        <w:t xml:space="preserve"> </w:t>
      </w:r>
    </w:p>
    <w:p w14:paraId="54D8EF20" w14:textId="03D7921F" w:rsidR="007C10A4" w:rsidRPr="00A86F11" w:rsidRDefault="007C10A4" w:rsidP="007C10A4">
      <w:r w:rsidRPr="00A86F11">
        <w:t>Lines 483–484: “When combined with SBL ratio analysis, it also provides spatial</w:t>
      </w:r>
      <w:r w:rsidR="00984D74" w:rsidRPr="00A86F11">
        <w:t xml:space="preserve"> </w:t>
      </w:r>
      <w:r w:rsidRPr="00A86F11">
        <w:t>information on the vibration source.” The spatial information obtained from SBL ratio analysis</w:t>
      </w:r>
      <w:r w:rsidR="00984D74" w:rsidRPr="00A86F11">
        <w:t xml:space="preserve"> </w:t>
      </w:r>
      <w:r w:rsidRPr="00A86F11">
        <w:t>is on the order of “the activity center was somewhat different between 2014 and 2018,” and</w:t>
      </w:r>
      <w:r w:rsidR="00984D74" w:rsidRPr="00A86F11">
        <w:t xml:space="preserve"> </w:t>
      </w:r>
      <w:r w:rsidRPr="00A86F11">
        <w:t>the expression “provides spatial information” may appear somewhat overrated. “Provides</w:t>
      </w:r>
    </w:p>
    <w:p w14:paraId="2A1958E2" w14:textId="3672C40D" w:rsidR="007C10A4" w:rsidRPr="00A86F11" w:rsidRDefault="007C10A4" w:rsidP="007C10A4">
      <w:r w:rsidRPr="00A86F11">
        <w:t>some spatial information” or “provides preliminary spatial constraints” would be more</w:t>
      </w:r>
      <w:r w:rsidR="00984D74" w:rsidRPr="00A86F11">
        <w:t xml:space="preserve"> </w:t>
      </w:r>
      <w:r w:rsidRPr="00A86F11">
        <w:lastRenderedPageBreak/>
        <w:t>accurate.</w:t>
      </w:r>
    </w:p>
    <w:p w14:paraId="0CA7AAFB" w14:textId="77777777" w:rsidR="006E6057" w:rsidRPr="00A86F11" w:rsidRDefault="006E6057" w:rsidP="007C10A4"/>
    <w:p w14:paraId="3CBB2634" w14:textId="72B58084" w:rsidR="00775E19" w:rsidRPr="00A86F11" w:rsidRDefault="00775E19" w:rsidP="007C10A4">
      <w:pPr>
        <w:rPr>
          <w:b/>
          <w:bCs/>
        </w:rPr>
      </w:pPr>
      <w:r w:rsidRPr="00A86F11">
        <w:rPr>
          <w:rFonts w:hint="eastAsia"/>
          <w:b/>
          <w:bCs/>
        </w:rPr>
        <w:t>Response:</w:t>
      </w:r>
    </w:p>
    <w:p w14:paraId="5CBEC51D" w14:textId="77777777" w:rsidR="004E446A" w:rsidRPr="00A86F11" w:rsidRDefault="004E446A" w:rsidP="004E446A">
      <w:r w:rsidRPr="00A86F11">
        <w:t>We thank the reviewer for this valuable comment.</w:t>
      </w:r>
    </w:p>
    <w:p w14:paraId="6988A95C" w14:textId="7F172D85" w:rsidR="004E446A" w:rsidRPr="00A86F11" w:rsidRDefault="004E446A" w:rsidP="004E446A">
      <w:pPr>
        <w:widowControl/>
        <w:jc w:val="left"/>
      </w:pPr>
      <w:r w:rsidRPr="00A86F11">
        <w:t>We agree that the original expression was too strong</w:t>
      </w:r>
      <w:r w:rsidRPr="00A86F11">
        <w:rPr>
          <w:rFonts w:hint="eastAsia"/>
        </w:rPr>
        <w:t>,</w:t>
      </w:r>
      <w:r w:rsidRPr="00A86F11">
        <w:t xml:space="preserve"> and </w:t>
      </w:r>
      <w:r w:rsidRPr="00A86F11">
        <w:rPr>
          <w:rFonts w:hint="eastAsia"/>
        </w:rPr>
        <w:t xml:space="preserve">we </w:t>
      </w:r>
      <w:r w:rsidRPr="00A86F11">
        <w:t>have</w:t>
      </w:r>
      <w:r w:rsidRPr="00A86F11">
        <w:rPr>
          <w:rFonts w:hint="eastAsia"/>
        </w:rPr>
        <w:t xml:space="preserve"> </w:t>
      </w:r>
      <w:r w:rsidRPr="00A86F11">
        <w:t>removed this statement from the Conclusion to avoid overinterpretation.</w:t>
      </w:r>
    </w:p>
    <w:p w14:paraId="60BDD37F" w14:textId="65C87FBC" w:rsidR="005A7F7F" w:rsidRPr="00A86F11" w:rsidRDefault="005A7F7F">
      <w:pPr>
        <w:widowControl/>
        <w:jc w:val="left"/>
      </w:pPr>
    </w:p>
    <w:p w14:paraId="44956CA6" w14:textId="77777777" w:rsidR="004D4E87" w:rsidRPr="00A86F11" w:rsidRDefault="004D4E87">
      <w:pPr>
        <w:widowControl/>
        <w:jc w:val="left"/>
      </w:pPr>
    </w:p>
    <w:p w14:paraId="504E1128" w14:textId="77777777" w:rsidR="004D4E87" w:rsidRPr="00A86F11" w:rsidRDefault="004D4E87">
      <w:pPr>
        <w:widowControl/>
        <w:jc w:val="left"/>
      </w:pPr>
    </w:p>
    <w:p w14:paraId="0A80E68A" w14:textId="0FA507B0" w:rsidR="00645BFC" w:rsidRPr="00A86F11" w:rsidRDefault="00FC24BD" w:rsidP="00645BFC">
      <w:pPr>
        <w:rPr>
          <w:b/>
          <w:bCs/>
        </w:rPr>
      </w:pPr>
      <w:r w:rsidRPr="00A86F11">
        <w:rPr>
          <w:rFonts w:hint="eastAsia"/>
          <w:b/>
          <w:bCs/>
        </w:rPr>
        <w:t xml:space="preserve"> </w:t>
      </w:r>
      <w:r w:rsidR="00645BFC" w:rsidRPr="00A86F11">
        <w:rPr>
          <w:rFonts w:hint="eastAsia"/>
          <w:b/>
          <w:bCs/>
        </w:rPr>
        <w:t>[Comment 39]</w:t>
      </w:r>
    </w:p>
    <w:p w14:paraId="00095FA4" w14:textId="13AB72C3" w:rsidR="007C10A4" w:rsidRPr="00A86F11" w:rsidRDefault="007C10A4" w:rsidP="007C10A4">
      <w:r w:rsidRPr="00A86F11">
        <w:t>Figure 4 is a core figure of this paper, but six panels are packed with a large amount of</w:t>
      </w:r>
      <w:r w:rsidR="006C07F9" w:rsidRPr="00A86F11">
        <w:t xml:space="preserve"> </w:t>
      </w:r>
      <w:r w:rsidRPr="00A86F11">
        <w:t>information, resulting in low readability. In particular, in the logarithmic SBL plot (b), the color</w:t>
      </w:r>
      <w:r w:rsidR="006C07F9" w:rsidRPr="00A86F11">
        <w:t xml:space="preserve"> </w:t>
      </w:r>
      <w:r w:rsidRPr="00A86F11">
        <w:t>coding of each station is hard to distinguish (there are parts where KSHA’s green and KSE’s</w:t>
      </w:r>
      <w:r w:rsidR="006C07F9" w:rsidRPr="00A86F11">
        <w:t xml:space="preserve"> </w:t>
      </w:r>
      <w:r w:rsidRPr="00A86F11">
        <w:t>red overlap and are difficult to differentiate). Consider separating each station into individual</w:t>
      </w:r>
      <w:r w:rsidR="006C07F9" w:rsidRPr="00A86F11">
        <w:t xml:space="preserve"> </w:t>
      </w:r>
      <w:r w:rsidRPr="00A86F11">
        <w:t>panels, or at least displaying the SBL of the main station (KSHA) prominently in an</w:t>
      </w:r>
      <w:r w:rsidR="006C07F9" w:rsidRPr="00A86F11">
        <w:t xml:space="preserve"> </w:t>
      </w:r>
      <w:r w:rsidRPr="00A86F11">
        <w:t>independent panel.</w:t>
      </w:r>
    </w:p>
    <w:p w14:paraId="5A02E9B2" w14:textId="77777777" w:rsidR="007142A2" w:rsidRPr="00A86F11" w:rsidRDefault="007142A2" w:rsidP="007C10A4"/>
    <w:p w14:paraId="5F20CCBA" w14:textId="085AF64E" w:rsidR="00775E19" w:rsidRPr="00A86F11" w:rsidRDefault="00775E19" w:rsidP="007C10A4">
      <w:pPr>
        <w:rPr>
          <w:b/>
          <w:bCs/>
        </w:rPr>
      </w:pPr>
      <w:r w:rsidRPr="00A86F11">
        <w:rPr>
          <w:rFonts w:hint="eastAsia"/>
          <w:b/>
          <w:bCs/>
        </w:rPr>
        <w:t>Response:</w:t>
      </w:r>
    </w:p>
    <w:p w14:paraId="79E3F9E4" w14:textId="575DE7ED" w:rsidR="00152711" w:rsidRPr="00A86F11" w:rsidRDefault="00152711" w:rsidP="00152711">
      <w:r w:rsidRPr="00A86F11">
        <w:t xml:space="preserve">We thank the reviewer for this helpful comment. We agree that Fig. 4 </w:t>
      </w:r>
      <w:r w:rsidRPr="00A86F11">
        <w:rPr>
          <w:rFonts w:hint="eastAsia"/>
        </w:rPr>
        <w:t>in the original manuscript (</w:t>
      </w:r>
      <w:r w:rsidRPr="00A86F11">
        <w:t>Fig. 5 in the revised manuscript</w:t>
      </w:r>
      <w:r w:rsidRPr="00A86F11">
        <w:rPr>
          <w:rFonts w:hint="eastAsia"/>
        </w:rPr>
        <w:t xml:space="preserve">) </w:t>
      </w:r>
      <w:r w:rsidRPr="00A86F11">
        <w:t>contains a large amount of information and that the readability of the logarithmic SBL plot should be improved. We considered separating the SBL time series of each station into individual panels. However, because plotting the stations in the same panel allows direct comparison of the relative amplitudes and temporal coherence among stations, we decided to retain the multi-station plot in a single panel.</w:t>
      </w:r>
    </w:p>
    <w:p w14:paraId="042B91CF" w14:textId="3523669F" w:rsidR="007142A2" w:rsidRPr="00A86F11" w:rsidRDefault="00152711" w:rsidP="00152711">
      <w:r w:rsidRPr="00A86F11">
        <w:t>To improve readability, we revised the color scheme of the SBL</w:t>
      </w:r>
      <w:r w:rsidRPr="00A86F11">
        <w:rPr>
          <w:rFonts w:hint="eastAsia"/>
        </w:rPr>
        <w:t>s</w:t>
      </w:r>
      <w:r w:rsidRPr="00A86F11">
        <w:t xml:space="preserve">, particularly to make KSHA and KSE more clearly distinguishable. </w:t>
      </w:r>
    </w:p>
    <w:p w14:paraId="72C04896" w14:textId="77777777" w:rsidR="005A716B" w:rsidRPr="00A86F11" w:rsidRDefault="005A716B" w:rsidP="007C10A4"/>
    <w:p w14:paraId="7925C0A4" w14:textId="77777777" w:rsidR="00F27980" w:rsidRPr="00A86F11" w:rsidRDefault="00F27980" w:rsidP="007C10A4"/>
    <w:p w14:paraId="47240721" w14:textId="77777777" w:rsidR="00F27980" w:rsidRPr="00A86F11" w:rsidRDefault="00F27980" w:rsidP="007C10A4"/>
    <w:p w14:paraId="335E65AD" w14:textId="5E7FD478" w:rsidR="00645BFC" w:rsidRPr="00A86F11" w:rsidRDefault="00645BFC" w:rsidP="00645BFC">
      <w:pPr>
        <w:rPr>
          <w:b/>
          <w:bCs/>
        </w:rPr>
      </w:pPr>
      <w:r w:rsidRPr="00A86F11">
        <w:rPr>
          <w:rFonts w:hint="eastAsia"/>
          <w:b/>
          <w:bCs/>
        </w:rPr>
        <w:t>[Comment 40]</w:t>
      </w:r>
    </w:p>
    <w:p w14:paraId="0B043E50" w14:textId="78AC4FAF" w:rsidR="007C10A4" w:rsidRPr="00A86F11" w:rsidRDefault="007C10A4" w:rsidP="007C10A4">
      <w:r w:rsidRPr="00A86F11">
        <w:t>In Section 3.5, earthquake reclassification is performed based on the JMA catalog, but</w:t>
      </w:r>
      <w:r w:rsidR="006C07F9" w:rsidRPr="00A86F11">
        <w:t xml:space="preserve"> </w:t>
      </w:r>
      <w:r w:rsidRPr="00A86F11">
        <w:t>the boundary frequency between BH-type and BL-type, and the specific classification criteria</w:t>
      </w:r>
      <w:r w:rsidR="006C07F9" w:rsidRPr="00A86F11">
        <w:t xml:space="preserve"> </w:t>
      </w:r>
      <w:r w:rsidRPr="00A86F11">
        <w:t>for BP-type and BT-type, are not stated in the main text.</w:t>
      </w:r>
    </w:p>
    <w:p w14:paraId="571585BE" w14:textId="77777777" w:rsidR="00D26261" w:rsidRPr="00A86F11" w:rsidRDefault="00D26261" w:rsidP="007C10A4"/>
    <w:p w14:paraId="55CB3751" w14:textId="7015F7AA" w:rsidR="00775E19" w:rsidRPr="00A86F11" w:rsidRDefault="00775E19" w:rsidP="007C10A4">
      <w:pPr>
        <w:rPr>
          <w:b/>
          <w:bCs/>
        </w:rPr>
      </w:pPr>
      <w:r w:rsidRPr="00A86F11">
        <w:rPr>
          <w:rFonts w:hint="eastAsia"/>
          <w:b/>
          <w:bCs/>
        </w:rPr>
        <w:t>Response:</w:t>
      </w:r>
    </w:p>
    <w:p w14:paraId="4EA350CA" w14:textId="77777777" w:rsidR="00FB44CD" w:rsidRPr="00A86F11" w:rsidRDefault="00FB44CD" w:rsidP="00FB44CD">
      <w:pPr>
        <w:widowControl/>
        <w:jc w:val="left"/>
      </w:pPr>
      <w:r w:rsidRPr="00A86F11">
        <w:t>We thank the reviewer for this comment.</w:t>
      </w:r>
    </w:p>
    <w:p w14:paraId="26708A49" w14:textId="4F45F13F" w:rsidR="00144C3D" w:rsidRPr="00A86F11" w:rsidRDefault="00144C3D" w:rsidP="00FB44CD">
      <w:pPr>
        <w:widowControl/>
        <w:jc w:val="left"/>
      </w:pPr>
      <w:r w:rsidRPr="00A86F11">
        <w:lastRenderedPageBreak/>
        <w:t>In the revised manuscript, we have reorganized the structure and moved the relevant description to Section 3.1 (Data).</w:t>
      </w:r>
    </w:p>
    <w:p w14:paraId="3372A029" w14:textId="4B7C43C4" w:rsidR="001C7F77" w:rsidRPr="00A86F11" w:rsidRDefault="00FB44CD" w:rsidP="00FB44CD">
      <w:pPr>
        <w:widowControl/>
        <w:jc w:val="left"/>
      </w:pPr>
      <w:r w:rsidRPr="00A86F11">
        <w:t>The classification scheme used in this study follows the JMA catalog (JMA 2024), which is already cited in the manuscript, including a web page describing the event-type classification.</w:t>
      </w:r>
      <w:r w:rsidRPr="00A86F11">
        <w:rPr>
          <w:rFonts w:hint="eastAsia"/>
        </w:rPr>
        <w:t xml:space="preserve"> </w:t>
      </w:r>
      <w:r w:rsidRPr="00A86F11">
        <w:t>However, we note that the publicly available documentation does not provide explicit quantitative thresholds (e.g., boundary frequencies) for distinguishing between event types. Therefore, the classification criteria cannot be described more precisely based on the available information.</w:t>
      </w:r>
    </w:p>
    <w:p w14:paraId="3FE24523" w14:textId="77777777" w:rsidR="00CE1EF8" w:rsidRPr="00A86F11" w:rsidRDefault="00CE1EF8" w:rsidP="00FB44CD">
      <w:pPr>
        <w:widowControl/>
        <w:jc w:val="left"/>
      </w:pPr>
    </w:p>
    <w:p w14:paraId="52A429D3" w14:textId="77777777" w:rsidR="00CE1EF8" w:rsidRPr="00A86F11" w:rsidRDefault="00CE1EF8" w:rsidP="00FB44CD">
      <w:pPr>
        <w:widowControl/>
        <w:jc w:val="left"/>
      </w:pPr>
    </w:p>
    <w:p w14:paraId="40577B69" w14:textId="77777777" w:rsidR="00CE1EF8" w:rsidRPr="00A86F11" w:rsidRDefault="00CE1EF8" w:rsidP="00FB44CD">
      <w:pPr>
        <w:widowControl/>
        <w:jc w:val="left"/>
      </w:pPr>
    </w:p>
    <w:p w14:paraId="4FAFB681" w14:textId="22F942AA" w:rsidR="007B18AD" w:rsidRPr="00A86F11" w:rsidRDefault="007B18AD" w:rsidP="007B18AD">
      <w:pPr>
        <w:rPr>
          <w:b/>
          <w:bCs/>
        </w:rPr>
      </w:pPr>
      <w:r w:rsidRPr="00A86F11">
        <w:rPr>
          <w:rFonts w:hint="eastAsia"/>
          <w:b/>
          <w:bCs/>
        </w:rPr>
        <w:t>[Comment 41]</w:t>
      </w:r>
    </w:p>
    <w:p w14:paraId="40CDF62F" w14:textId="434D222F" w:rsidR="007C10A4" w:rsidRPr="00A86F11" w:rsidRDefault="007C10A4" w:rsidP="007C10A4">
      <w:r w:rsidRPr="00A86F11">
        <w:t>Regarding the relationship between the deep deformation source (approximately 2 km</w:t>
      </w:r>
      <w:r w:rsidR="006C07F9" w:rsidRPr="00A86F11">
        <w:t xml:space="preserve"> </w:t>
      </w:r>
      <w:r w:rsidRPr="00A86F11">
        <w:t>northwest of Yugama, approximately 4 km depth) identified by Munekane (2021) and the</w:t>
      </w:r>
      <w:r w:rsidR="006C07F9" w:rsidRPr="00A86F11">
        <w:t xml:space="preserve"> </w:t>
      </w:r>
      <w:r w:rsidRPr="00A86F11">
        <w:t>shallow deformation source (directly beneath Yugama), briefly describing the</w:t>
      </w:r>
      <w:r w:rsidR="006C07F9" w:rsidRPr="00A86F11">
        <w:t xml:space="preserve"> </w:t>
      </w:r>
      <w:r w:rsidRPr="00A86F11">
        <w:t>correspondence with the resistivity structure shown by existing MT survey results</w:t>
      </w:r>
      <w:r w:rsidR="006C07F9" w:rsidRPr="00A86F11">
        <w:t xml:space="preserve"> </w:t>
      </w:r>
      <w:r w:rsidRPr="00A86F11">
        <w:t>(Matsunaga et al., 2020a, b; Matsunaga and Kanda, 2025) would make the discussion of</w:t>
      </w:r>
      <w:r w:rsidR="006C07F9" w:rsidRPr="00A86F11">
        <w:t xml:space="preserve"> </w:t>
      </w:r>
      <w:r w:rsidRPr="00A86F11">
        <w:t>fluid pathways more convincing.</w:t>
      </w:r>
    </w:p>
    <w:p w14:paraId="6FCAA75A" w14:textId="77777777" w:rsidR="00E73680" w:rsidRPr="00A86F11" w:rsidRDefault="00E73680" w:rsidP="007C10A4"/>
    <w:p w14:paraId="2BE75F4A" w14:textId="663F730C" w:rsidR="00775E19" w:rsidRPr="00A86F11" w:rsidRDefault="00775E19" w:rsidP="007C10A4">
      <w:pPr>
        <w:rPr>
          <w:b/>
          <w:bCs/>
        </w:rPr>
      </w:pPr>
      <w:r w:rsidRPr="00A86F11">
        <w:rPr>
          <w:rFonts w:hint="eastAsia"/>
          <w:b/>
          <w:bCs/>
        </w:rPr>
        <w:t>Response:</w:t>
      </w:r>
    </w:p>
    <w:p w14:paraId="60341C12" w14:textId="77777777" w:rsidR="00A55C42" w:rsidRPr="00A86F11" w:rsidRDefault="00A55C42" w:rsidP="00A55C42">
      <w:r w:rsidRPr="00A86F11">
        <w:t>We thank the reviewer for this helpful suggestion.</w:t>
      </w:r>
    </w:p>
    <w:p w14:paraId="3EBA34E7" w14:textId="616E0458" w:rsidR="00DD6C41" w:rsidRPr="00A86F11" w:rsidRDefault="00A55C42" w:rsidP="00FA50CA">
      <w:r w:rsidRPr="00A86F11">
        <w:t>We agree that comparison with the resistivity structure revealed by previous MT studies could provide useful context for considering the relationship between the deep and shallow deformation sources. However, after further reconsideration during the revision, we decided not to include this discussion in the manuscript. Although the spatial relationship between the deformation sources and the resistivity structure may be suggestive, interpreting this relationship in terms of fluid pathways would require additional assumptions that cannot be sufficiently constrained by the present observations. We therefore chose to keep the discussion focused on the observational relationships directly supported by our data.</w:t>
      </w:r>
    </w:p>
    <w:p w14:paraId="0A55C26A" w14:textId="77777777" w:rsidR="00DD6C41" w:rsidRPr="00A86F11" w:rsidRDefault="00DD6C41" w:rsidP="00FA50CA"/>
    <w:p w14:paraId="5C539E76" w14:textId="77777777" w:rsidR="00DD6C41" w:rsidRPr="00A86F11" w:rsidRDefault="00DD6C41" w:rsidP="00FA50CA"/>
    <w:p w14:paraId="273B8DFF" w14:textId="32C3249D" w:rsidR="007B18AD" w:rsidRPr="00A86F11" w:rsidRDefault="007B18AD" w:rsidP="007B18AD">
      <w:pPr>
        <w:rPr>
          <w:b/>
          <w:bCs/>
        </w:rPr>
      </w:pPr>
      <w:r w:rsidRPr="00A86F11">
        <w:rPr>
          <w:rFonts w:hint="eastAsia"/>
          <w:b/>
          <w:bCs/>
        </w:rPr>
        <w:t>[Comment 42]</w:t>
      </w:r>
    </w:p>
    <w:p w14:paraId="386A483C" w14:textId="0C7FFCFC" w:rsidR="007C10A4" w:rsidRPr="00A86F11" w:rsidRDefault="007C10A4" w:rsidP="007C10A4">
      <w:r w:rsidRPr="00A86F11">
        <w:t>Line 329: “between Periods V and IV” → “between Periods V and VI”</w:t>
      </w:r>
    </w:p>
    <w:p w14:paraId="7BD89AD6" w14:textId="77777777" w:rsidR="0069657B" w:rsidRPr="00A86F11" w:rsidRDefault="0069657B" w:rsidP="007C10A4"/>
    <w:p w14:paraId="09A3451E" w14:textId="579F3463" w:rsidR="00775E19" w:rsidRPr="00A86F11" w:rsidRDefault="00775E19" w:rsidP="007C10A4">
      <w:pPr>
        <w:rPr>
          <w:b/>
          <w:bCs/>
        </w:rPr>
      </w:pPr>
      <w:r w:rsidRPr="00A86F11">
        <w:rPr>
          <w:rFonts w:hint="eastAsia"/>
          <w:b/>
          <w:bCs/>
        </w:rPr>
        <w:t>Response:</w:t>
      </w:r>
    </w:p>
    <w:p w14:paraId="3A6CD815" w14:textId="302F455D" w:rsidR="00874212" w:rsidRPr="00A86F11" w:rsidRDefault="00874212" w:rsidP="00874212">
      <w:r w:rsidRPr="00A86F11">
        <w:t>We thank the reviewer for this comment.</w:t>
      </w:r>
    </w:p>
    <w:p w14:paraId="378ADD65" w14:textId="59DD1377" w:rsidR="00DD6C41" w:rsidRDefault="00874212" w:rsidP="00DD6C41">
      <w:r w:rsidRPr="00A86F11">
        <w:t xml:space="preserve">In the revised manuscript, we have corrected this expression by replacing “between Periods V </w:t>
      </w:r>
      <w:r w:rsidRPr="00A86F11">
        <w:lastRenderedPageBreak/>
        <w:t>and IV” with a more explicit description, “between July and September 2015.”</w:t>
      </w:r>
    </w:p>
    <w:p w14:paraId="5CEA570F" w14:textId="77777777" w:rsidR="00C66D42" w:rsidRDefault="00C66D42" w:rsidP="00DD6C41"/>
    <w:p w14:paraId="067939FB" w14:textId="77777777" w:rsidR="00C66D42" w:rsidRDefault="00C66D42" w:rsidP="00DD6C41"/>
    <w:p w14:paraId="2DEC0F03" w14:textId="77777777" w:rsidR="00C66D42" w:rsidRPr="00A86F11" w:rsidRDefault="00C66D42" w:rsidP="00DD6C41"/>
    <w:p w14:paraId="2519092B" w14:textId="4C81843F" w:rsidR="007B18AD" w:rsidRPr="00A86F11" w:rsidRDefault="007B18AD" w:rsidP="007B18AD">
      <w:pPr>
        <w:rPr>
          <w:b/>
          <w:bCs/>
        </w:rPr>
      </w:pPr>
      <w:r w:rsidRPr="00A86F11">
        <w:rPr>
          <w:rFonts w:hint="eastAsia"/>
          <w:b/>
          <w:bCs/>
        </w:rPr>
        <w:t>[Comment 43]</w:t>
      </w:r>
    </w:p>
    <w:p w14:paraId="3C009500" w14:textId="647FA05E" w:rsidR="007C10A4" w:rsidRPr="00A86F11" w:rsidRDefault="007C10A4" w:rsidP="006C07F9">
      <w:pPr>
        <w:ind w:left="105" w:hangingChars="50" w:hanging="105"/>
      </w:pPr>
      <w:r w:rsidRPr="00A86F11">
        <w:t>The Abstract uses “particle motion analyses” while the main text and appendices use</w:t>
      </w:r>
      <w:r w:rsidRPr="00A86F11">
        <w:rPr>
          <w:rFonts w:hint="eastAsia"/>
        </w:rPr>
        <w:t>“</w:t>
      </w:r>
      <w:r w:rsidRPr="00A86F11">
        <w:t>polarization analysis.” The relationship between the two should be clarified, or the</w:t>
      </w:r>
      <w:r w:rsidR="006C07F9" w:rsidRPr="00A86F11">
        <w:t xml:space="preserve"> </w:t>
      </w:r>
      <w:r w:rsidRPr="00A86F11">
        <w:t>terminology should be unified.</w:t>
      </w:r>
    </w:p>
    <w:p w14:paraId="343B991E" w14:textId="77777777" w:rsidR="00775E19" w:rsidRPr="00A86F11" w:rsidRDefault="00775E19" w:rsidP="000234E4">
      <w:pPr>
        <w:ind w:left="105" w:hangingChars="50" w:hanging="105"/>
      </w:pPr>
    </w:p>
    <w:p w14:paraId="2BCDAE46" w14:textId="0CA38FAB" w:rsidR="00775E19" w:rsidRPr="00A86F11" w:rsidRDefault="00775E19" w:rsidP="000234E4">
      <w:pPr>
        <w:ind w:left="105" w:hangingChars="50" w:hanging="105"/>
        <w:rPr>
          <w:b/>
          <w:bCs/>
        </w:rPr>
      </w:pPr>
      <w:r w:rsidRPr="00A86F11">
        <w:rPr>
          <w:rFonts w:hint="eastAsia"/>
          <w:b/>
          <w:bCs/>
        </w:rPr>
        <w:t>Response:</w:t>
      </w:r>
    </w:p>
    <w:p w14:paraId="2704F0EA" w14:textId="6D6DE3EB" w:rsidR="000234E4" w:rsidRPr="00A86F11" w:rsidRDefault="000234E4" w:rsidP="000234E4">
      <w:pPr>
        <w:ind w:left="105" w:hangingChars="50" w:hanging="105"/>
      </w:pPr>
      <w:r w:rsidRPr="00A86F11">
        <w:t>We thank the reviewer for this helpful comment.</w:t>
      </w:r>
    </w:p>
    <w:p w14:paraId="57ED67BA" w14:textId="51E22A27" w:rsidR="00F60576" w:rsidRPr="00A86F11" w:rsidRDefault="000234E4" w:rsidP="00015880">
      <w:r w:rsidRPr="00A86F11">
        <w:t xml:space="preserve">We agree that the terminology was inconsistent. In the revised manuscript, we have unified the terminology by using “polarization analysis” throughout the manuscript, including the Abstract, for consistency and clarity. </w:t>
      </w:r>
    </w:p>
    <w:p w14:paraId="2FE7D29D" w14:textId="77777777" w:rsidR="00F60576" w:rsidRPr="00A86F11" w:rsidRDefault="00F60576" w:rsidP="006C07F9">
      <w:pPr>
        <w:ind w:left="105" w:hangingChars="50" w:hanging="105"/>
        <w:rPr>
          <w:color w:val="0000FF"/>
        </w:rPr>
      </w:pPr>
    </w:p>
    <w:p w14:paraId="247F2D91" w14:textId="77777777" w:rsidR="005A716B" w:rsidRPr="00A86F11" w:rsidRDefault="005A716B" w:rsidP="006C07F9">
      <w:pPr>
        <w:ind w:left="105" w:hangingChars="50" w:hanging="105"/>
      </w:pPr>
    </w:p>
    <w:p w14:paraId="0762496A" w14:textId="77777777" w:rsidR="00AB0975" w:rsidRPr="00A86F11" w:rsidRDefault="00AB0975" w:rsidP="006C07F9">
      <w:pPr>
        <w:ind w:left="105" w:hangingChars="50" w:hanging="105"/>
      </w:pPr>
    </w:p>
    <w:p w14:paraId="0F38147D" w14:textId="7576A6D2" w:rsidR="007B18AD" w:rsidRPr="00A86F11" w:rsidRDefault="007B18AD" w:rsidP="007B18AD">
      <w:pPr>
        <w:rPr>
          <w:b/>
          <w:bCs/>
        </w:rPr>
      </w:pPr>
      <w:r w:rsidRPr="00A86F11">
        <w:rPr>
          <w:rFonts w:hint="eastAsia"/>
          <w:b/>
          <w:bCs/>
        </w:rPr>
        <w:t>[Comment 44]</w:t>
      </w:r>
    </w:p>
    <w:p w14:paraId="0D2A9448" w14:textId="7BE4816B" w:rsidR="007C10A4" w:rsidRPr="00A86F11" w:rsidRDefault="007C10A4" w:rsidP="007C10A4">
      <w:r w:rsidRPr="00A86F11">
        <w:t>Line 193: “noise associate with high precipitation” → “noise associated with high</w:t>
      </w:r>
      <w:r w:rsidR="006C07F9" w:rsidRPr="00A86F11">
        <w:t xml:space="preserve"> </w:t>
      </w:r>
      <w:r w:rsidRPr="00A86F11">
        <w:t>precipitation”</w:t>
      </w:r>
    </w:p>
    <w:p w14:paraId="3631E458" w14:textId="77777777" w:rsidR="005A716B" w:rsidRPr="00A86F11" w:rsidRDefault="005A716B" w:rsidP="007C10A4"/>
    <w:p w14:paraId="09D2A58E" w14:textId="7125EC82" w:rsidR="00775E19" w:rsidRPr="00A86F11" w:rsidRDefault="00775E19" w:rsidP="007C10A4">
      <w:pPr>
        <w:rPr>
          <w:b/>
          <w:bCs/>
        </w:rPr>
      </w:pPr>
      <w:r w:rsidRPr="00A86F11">
        <w:rPr>
          <w:rFonts w:hint="eastAsia"/>
          <w:b/>
          <w:bCs/>
        </w:rPr>
        <w:t>Response:</w:t>
      </w:r>
    </w:p>
    <w:p w14:paraId="33B36242" w14:textId="77777777" w:rsidR="00E71082" w:rsidRPr="00A86F11" w:rsidRDefault="00E71082" w:rsidP="00E71082">
      <w:r w:rsidRPr="00A86F11">
        <w:t>We thank the reviewer for this valuable comment.</w:t>
      </w:r>
    </w:p>
    <w:p w14:paraId="5F3F66CB" w14:textId="03CD53A0" w:rsidR="003A4597" w:rsidRPr="00A86F11" w:rsidRDefault="00E71082" w:rsidP="00E71082">
      <w:r w:rsidRPr="00A86F11">
        <w:t>In the revised manuscript, the detailed description of the SBL calculation procedure has been simplified following Reviewer #2’s comment, and this specific step has been omitted.</w:t>
      </w:r>
    </w:p>
    <w:p w14:paraId="1935427F" w14:textId="42EC9F61" w:rsidR="00AB0975" w:rsidRPr="00A86F11" w:rsidRDefault="00AB0975">
      <w:pPr>
        <w:widowControl/>
        <w:jc w:val="left"/>
        <w:rPr>
          <w:b/>
          <w:bCs/>
        </w:rPr>
      </w:pPr>
    </w:p>
    <w:p w14:paraId="60B01828" w14:textId="77777777" w:rsidR="00FB62E2" w:rsidRPr="00A86F11" w:rsidRDefault="00FB62E2">
      <w:pPr>
        <w:widowControl/>
        <w:jc w:val="left"/>
        <w:rPr>
          <w:b/>
          <w:bCs/>
        </w:rPr>
      </w:pPr>
    </w:p>
    <w:p w14:paraId="109F8274" w14:textId="77777777" w:rsidR="00FB62E2" w:rsidRPr="00A86F11" w:rsidRDefault="00FB62E2">
      <w:pPr>
        <w:widowControl/>
        <w:jc w:val="left"/>
        <w:rPr>
          <w:b/>
          <w:bCs/>
        </w:rPr>
      </w:pPr>
    </w:p>
    <w:p w14:paraId="0845EEEB" w14:textId="064B7E34" w:rsidR="007B18AD" w:rsidRPr="00A86F11" w:rsidRDefault="007B18AD" w:rsidP="007B18AD">
      <w:pPr>
        <w:rPr>
          <w:b/>
          <w:bCs/>
        </w:rPr>
      </w:pPr>
      <w:r w:rsidRPr="00A86F11">
        <w:rPr>
          <w:rFonts w:hint="eastAsia"/>
          <w:b/>
          <w:bCs/>
        </w:rPr>
        <w:t>[Comment 45]</w:t>
      </w:r>
    </w:p>
    <w:p w14:paraId="1F894590" w14:textId="756BC53B" w:rsidR="007C10A4" w:rsidRPr="00A86F11" w:rsidRDefault="007C10A4" w:rsidP="006C07F9">
      <w:pPr>
        <w:ind w:left="105" w:hangingChars="50" w:hanging="105"/>
      </w:pPr>
      <w:r w:rsidRPr="00A86F11">
        <w:t>Line 600: “The smoothed SBL datasets provided as Supplementary Information.” →</w:t>
      </w:r>
      <w:r w:rsidRPr="00A86F11">
        <w:rPr>
          <w:rFonts w:hint="eastAsia"/>
        </w:rPr>
        <w:t>“</w:t>
      </w:r>
      <w:r w:rsidRPr="00A86F11">
        <w:t>The smoothed SBL datasets are provided as Supplementary Information.”</w:t>
      </w:r>
    </w:p>
    <w:p w14:paraId="478205FD" w14:textId="77777777" w:rsidR="00E643DC" w:rsidRPr="00A86F11" w:rsidRDefault="00E643DC" w:rsidP="006C07F9">
      <w:pPr>
        <w:ind w:left="105" w:hangingChars="50" w:hanging="105"/>
        <w:rPr>
          <w:b/>
          <w:bCs/>
        </w:rPr>
      </w:pPr>
    </w:p>
    <w:p w14:paraId="317930C8" w14:textId="11513922" w:rsidR="00775E19" w:rsidRPr="00A86F11" w:rsidRDefault="00775E19" w:rsidP="006C07F9">
      <w:pPr>
        <w:ind w:left="105" w:hangingChars="50" w:hanging="105"/>
        <w:rPr>
          <w:b/>
          <w:bCs/>
        </w:rPr>
      </w:pPr>
      <w:r w:rsidRPr="00A86F11">
        <w:rPr>
          <w:rFonts w:hint="eastAsia"/>
          <w:b/>
          <w:bCs/>
        </w:rPr>
        <w:t>Response:</w:t>
      </w:r>
    </w:p>
    <w:p w14:paraId="39E15C1A" w14:textId="77777777" w:rsidR="00BD2B41" w:rsidRPr="00A86F11" w:rsidRDefault="00BD2B41" w:rsidP="00BD2B41">
      <w:pPr>
        <w:ind w:left="105" w:hangingChars="50" w:hanging="105"/>
      </w:pPr>
      <w:r w:rsidRPr="00A86F11">
        <w:t>We thank the reviewer for this comment.</w:t>
      </w:r>
    </w:p>
    <w:p w14:paraId="64BD8B20" w14:textId="1FED0FF5" w:rsidR="00E643DC" w:rsidRPr="00A86F11" w:rsidRDefault="00BD2B41" w:rsidP="00BD2B41">
      <w:pPr>
        <w:ind w:left="105" w:hangingChars="50" w:hanging="105"/>
      </w:pPr>
      <w:r w:rsidRPr="00A86F11">
        <w:t>We have revised the manuscript accordingly.</w:t>
      </w:r>
    </w:p>
    <w:p w14:paraId="6363BC99" w14:textId="77777777" w:rsidR="00A23C83" w:rsidRDefault="00A23C83" w:rsidP="006C07F9">
      <w:pPr>
        <w:ind w:left="105" w:hangingChars="50" w:hanging="105"/>
        <w:rPr>
          <w:b/>
          <w:bCs/>
        </w:rPr>
      </w:pPr>
    </w:p>
    <w:p w14:paraId="1EACE5C4" w14:textId="77777777" w:rsidR="0080031D" w:rsidRDefault="0080031D" w:rsidP="006C07F9">
      <w:pPr>
        <w:ind w:left="105" w:hangingChars="50" w:hanging="105"/>
        <w:rPr>
          <w:b/>
          <w:bCs/>
        </w:rPr>
      </w:pPr>
    </w:p>
    <w:p w14:paraId="7BCDBA53" w14:textId="77777777" w:rsidR="0080031D" w:rsidRPr="00A86F11" w:rsidRDefault="0080031D" w:rsidP="006C07F9">
      <w:pPr>
        <w:ind w:left="105" w:hangingChars="50" w:hanging="105"/>
        <w:rPr>
          <w:b/>
          <w:bCs/>
        </w:rPr>
      </w:pPr>
    </w:p>
    <w:p w14:paraId="427A5F0C" w14:textId="6B9D1783" w:rsidR="007B18AD" w:rsidRPr="00A86F11" w:rsidRDefault="007B18AD" w:rsidP="0080031D">
      <w:pPr>
        <w:widowControl/>
        <w:jc w:val="left"/>
        <w:rPr>
          <w:b/>
          <w:bCs/>
        </w:rPr>
      </w:pPr>
      <w:r w:rsidRPr="00A86F11">
        <w:rPr>
          <w:rFonts w:hint="eastAsia"/>
          <w:b/>
          <w:bCs/>
        </w:rPr>
        <w:t>[Comment 46]</w:t>
      </w:r>
    </w:p>
    <w:p w14:paraId="24A73AA0" w14:textId="241F3F73" w:rsidR="007C10A4" w:rsidRPr="00A86F11" w:rsidRDefault="007C10A4" w:rsidP="007C10A4">
      <w:r w:rsidRPr="00A86F11">
        <w:t>Line 278: This is presumably information readable from Figure 5e, but without arrows or</w:t>
      </w:r>
      <w:r w:rsidR="006C07F9" w:rsidRPr="00A86F11">
        <w:t xml:space="preserve"> </w:t>
      </w:r>
      <w:r w:rsidRPr="00A86F11">
        <w:t>similar annotations in the figure, it is unclear where to focus attention.</w:t>
      </w:r>
    </w:p>
    <w:p w14:paraId="5E69FA06" w14:textId="77777777" w:rsidR="005A716B" w:rsidRPr="00A86F11" w:rsidRDefault="005A716B" w:rsidP="007C10A4"/>
    <w:p w14:paraId="2C18D142" w14:textId="4F2096BC" w:rsidR="00775E19" w:rsidRPr="00A86F11" w:rsidRDefault="00775E19" w:rsidP="007C10A4">
      <w:pPr>
        <w:rPr>
          <w:b/>
          <w:bCs/>
        </w:rPr>
      </w:pPr>
      <w:r w:rsidRPr="00A86F11">
        <w:rPr>
          <w:rFonts w:hint="eastAsia"/>
          <w:b/>
          <w:bCs/>
        </w:rPr>
        <w:t>Response:</w:t>
      </w:r>
    </w:p>
    <w:p w14:paraId="04D2ED22" w14:textId="77777777" w:rsidR="00EA21F1" w:rsidRPr="00A86F11" w:rsidRDefault="00E70E2C" w:rsidP="007C10A4">
      <w:r w:rsidRPr="00A86F11">
        <w:t>We thank the reviewer for this helpful comment.</w:t>
      </w:r>
    </w:p>
    <w:p w14:paraId="79B0D757" w14:textId="081766E4" w:rsidR="00E70E2C" w:rsidRPr="00A86F11" w:rsidRDefault="00E70E2C" w:rsidP="007C10A4">
      <w:r w:rsidRPr="00A86F11">
        <w:t>To make the relevant feature easier to identify, we revised the manuscript to explicitly refer to Fig. 6e when describing the appearance of the spectral component around 3 Hz in March 2014. We also clarified in the figure caption that the blue dashed lines indicate reference dates for the onset and development of the unrest. These revisions guide the reader to the relevant timing in the SBL spectrum.</w:t>
      </w:r>
    </w:p>
    <w:p w14:paraId="7E20C954" w14:textId="77777777" w:rsidR="00E70E2C" w:rsidRPr="00A86F11" w:rsidRDefault="00E70E2C" w:rsidP="007C10A4"/>
    <w:p w14:paraId="70DDEA8E" w14:textId="77777777" w:rsidR="00E70E2C" w:rsidRPr="00A86F11" w:rsidRDefault="00E70E2C" w:rsidP="007C10A4"/>
    <w:p w14:paraId="1381663D" w14:textId="77777777" w:rsidR="00E70E2C" w:rsidRPr="00A86F11" w:rsidRDefault="00E70E2C" w:rsidP="007C10A4"/>
    <w:p w14:paraId="27658A41" w14:textId="7D75A585" w:rsidR="00CC3B9D" w:rsidRPr="00A86F11" w:rsidRDefault="00CC3B9D" w:rsidP="00CC3B9D">
      <w:pPr>
        <w:rPr>
          <w:b/>
          <w:bCs/>
        </w:rPr>
      </w:pPr>
      <w:r w:rsidRPr="00A86F11">
        <w:rPr>
          <w:rFonts w:hint="eastAsia"/>
          <w:b/>
          <w:bCs/>
        </w:rPr>
        <w:t>[Comment 47]</w:t>
      </w:r>
    </w:p>
    <w:p w14:paraId="3E80C033" w14:textId="3E205048" w:rsidR="007C10A4" w:rsidRPr="00A86F11" w:rsidRDefault="007C10A4" w:rsidP="007C10A4">
      <w:r w:rsidRPr="00A86F11">
        <w:t>Lines 411–412: Please also indicate the position of Yugama crater in Figure 6a.</w:t>
      </w:r>
    </w:p>
    <w:p w14:paraId="561B40FF" w14:textId="77777777" w:rsidR="005A716B" w:rsidRPr="00A86F11" w:rsidRDefault="005A716B" w:rsidP="007C10A4"/>
    <w:p w14:paraId="29CF1D47" w14:textId="09A2E358" w:rsidR="00775E19" w:rsidRPr="00A86F11" w:rsidRDefault="00775E19" w:rsidP="007C10A4">
      <w:pPr>
        <w:rPr>
          <w:b/>
          <w:bCs/>
        </w:rPr>
      </w:pPr>
      <w:r w:rsidRPr="00A86F11">
        <w:rPr>
          <w:rFonts w:hint="eastAsia"/>
          <w:b/>
          <w:bCs/>
        </w:rPr>
        <w:t>Response:</w:t>
      </w:r>
    </w:p>
    <w:p w14:paraId="27C0BE9F" w14:textId="77777777" w:rsidR="00AB169C" w:rsidRPr="00A86F11" w:rsidRDefault="00AB169C" w:rsidP="00AB169C">
      <w:pPr>
        <w:ind w:left="105" w:hangingChars="50" w:hanging="105"/>
      </w:pPr>
      <w:r w:rsidRPr="00A86F11">
        <w:t>We thank the reviewer for this comment.</w:t>
      </w:r>
    </w:p>
    <w:p w14:paraId="285D9EC6" w14:textId="623D3957" w:rsidR="00AB169C" w:rsidRPr="00A86F11" w:rsidRDefault="00AB169C" w:rsidP="00AB169C">
      <w:pPr>
        <w:ind w:left="105" w:hangingChars="50" w:hanging="105"/>
      </w:pPr>
      <w:r w:rsidRPr="00A86F11">
        <w:t xml:space="preserve">We have </w:t>
      </w:r>
      <w:r w:rsidRPr="00A86F11">
        <w:rPr>
          <w:rFonts w:hint="eastAsia"/>
        </w:rPr>
        <w:t>added</w:t>
      </w:r>
      <w:r w:rsidRPr="00A86F11">
        <w:t xml:space="preserve"> the position of Yugama crater </w:t>
      </w:r>
      <w:r w:rsidR="00013D7E" w:rsidRPr="00A86F11">
        <w:rPr>
          <w:rFonts w:hint="eastAsia"/>
        </w:rPr>
        <w:t>to</w:t>
      </w:r>
      <w:r w:rsidRPr="00A86F11">
        <w:t xml:space="preserve"> Figure 6a</w:t>
      </w:r>
      <w:r w:rsidR="00E03BF4" w:rsidRPr="00A86F11">
        <w:rPr>
          <w:rFonts w:hint="eastAsia"/>
        </w:rPr>
        <w:t xml:space="preserve"> in original manuscript (Figure 7a in revised manuscript)</w:t>
      </w:r>
      <w:r w:rsidRPr="00A86F11">
        <w:t>.</w:t>
      </w:r>
    </w:p>
    <w:p w14:paraId="6D071A94" w14:textId="77777777" w:rsidR="004E5D91" w:rsidRPr="00A86F11" w:rsidRDefault="004E5D91" w:rsidP="007C10A4"/>
    <w:p w14:paraId="08F45678" w14:textId="525C6412" w:rsidR="00BA61CD" w:rsidRPr="00A86F11" w:rsidRDefault="00BA61CD">
      <w:pPr>
        <w:widowControl/>
        <w:jc w:val="left"/>
        <w:rPr>
          <w:b/>
          <w:bCs/>
        </w:rPr>
      </w:pPr>
    </w:p>
    <w:p w14:paraId="3D0FA214" w14:textId="77777777" w:rsidR="00FB62E2" w:rsidRPr="00A86F11" w:rsidRDefault="00FB62E2">
      <w:pPr>
        <w:widowControl/>
        <w:jc w:val="left"/>
        <w:rPr>
          <w:b/>
          <w:bCs/>
        </w:rPr>
      </w:pPr>
    </w:p>
    <w:p w14:paraId="78B4BB7C" w14:textId="4FD3BC87" w:rsidR="00CC3B9D" w:rsidRPr="00A86F11" w:rsidRDefault="00CC3B9D" w:rsidP="00CC3B9D">
      <w:pPr>
        <w:rPr>
          <w:b/>
          <w:bCs/>
        </w:rPr>
      </w:pPr>
      <w:r w:rsidRPr="00A86F11">
        <w:rPr>
          <w:rFonts w:hint="eastAsia"/>
          <w:b/>
          <w:bCs/>
        </w:rPr>
        <w:t>[Comment 48]</w:t>
      </w:r>
    </w:p>
    <w:p w14:paraId="6C5A4795" w14:textId="20926A34" w:rsidR="007C10A4" w:rsidRPr="00A86F11" w:rsidRDefault="007C10A4" w:rsidP="007C10A4">
      <w:r w:rsidRPr="00A86F11">
        <w:t>Figure S1 caption: “2013 to 2023” → “2012 to 2023”</w:t>
      </w:r>
    </w:p>
    <w:p w14:paraId="612ADAC4" w14:textId="77777777" w:rsidR="005A716B" w:rsidRPr="00A86F11" w:rsidRDefault="005A716B" w:rsidP="007C10A4"/>
    <w:p w14:paraId="7C0B8990" w14:textId="61A95D42" w:rsidR="00775E19" w:rsidRPr="00A86F11" w:rsidRDefault="00775E19" w:rsidP="007C10A4">
      <w:pPr>
        <w:rPr>
          <w:b/>
          <w:bCs/>
        </w:rPr>
      </w:pPr>
      <w:r w:rsidRPr="00A86F11">
        <w:rPr>
          <w:rFonts w:hint="eastAsia"/>
          <w:b/>
          <w:bCs/>
        </w:rPr>
        <w:t>Response:</w:t>
      </w:r>
    </w:p>
    <w:p w14:paraId="681627EE" w14:textId="77777777" w:rsidR="00473D77" w:rsidRPr="00A86F11" w:rsidRDefault="00473D77" w:rsidP="00473D77">
      <w:pPr>
        <w:ind w:left="105" w:hangingChars="50" w:hanging="105"/>
      </w:pPr>
      <w:r w:rsidRPr="00A86F11">
        <w:t>We thank the reviewer for this comment.</w:t>
      </w:r>
    </w:p>
    <w:p w14:paraId="4CF3B637" w14:textId="6532F7A5" w:rsidR="00A068F6" w:rsidRPr="00A86F11" w:rsidRDefault="00A068F6" w:rsidP="00C7189B">
      <w:r w:rsidRPr="00A86F11">
        <w:t xml:space="preserve">We have revised the </w:t>
      </w:r>
      <w:r w:rsidR="00C7189B" w:rsidRPr="00A86F11">
        <w:rPr>
          <w:rFonts w:hint="eastAsia"/>
        </w:rPr>
        <w:t>Supplementary Information</w:t>
      </w:r>
      <w:r w:rsidRPr="00A86F11">
        <w:t xml:space="preserve"> accordingly</w:t>
      </w:r>
      <w:r w:rsidR="00E726B4" w:rsidRPr="00A86F11">
        <w:rPr>
          <w:rFonts w:hint="eastAsia"/>
        </w:rPr>
        <w:t xml:space="preserve"> (</w:t>
      </w:r>
      <w:r w:rsidR="008A22B7" w:rsidRPr="00A86F11">
        <w:rPr>
          <w:rFonts w:hint="eastAsia"/>
        </w:rPr>
        <w:t>Figure S7 in revised Supplementary Information</w:t>
      </w:r>
      <w:r w:rsidR="00E726B4" w:rsidRPr="00A86F11">
        <w:rPr>
          <w:rFonts w:hint="eastAsia"/>
        </w:rPr>
        <w:t>)</w:t>
      </w:r>
      <w:r w:rsidRPr="00A86F11">
        <w:t>.</w:t>
      </w:r>
    </w:p>
    <w:p w14:paraId="062F8536" w14:textId="5E52FEEE" w:rsidR="00EB260F" w:rsidRDefault="00EB260F">
      <w:pPr>
        <w:widowControl/>
        <w:jc w:val="left"/>
      </w:pPr>
    </w:p>
    <w:p w14:paraId="6F968280" w14:textId="77777777" w:rsidR="0080031D" w:rsidRDefault="0080031D">
      <w:pPr>
        <w:widowControl/>
        <w:jc w:val="left"/>
      </w:pPr>
    </w:p>
    <w:p w14:paraId="37D4BE31" w14:textId="77777777" w:rsidR="0080031D" w:rsidRPr="00A86F11" w:rsidRDefault="0080031D">
      <w:pPr>
        <w:widowControl/>
        <w:jc w:val="left"/>
      </w:pPr>
    </w:p>
    <w:p w14:paraId="2C011E57" w14:textId="41F5B417" w:rsidR="00CC3B9D" w:rsidRPr="00A86F11" w:rsidRDefault="00CC3B9D" w:rsidP="00CC3B9D">
      <w:pPr>
        <w:rPr>
          <w:b/>
          <w:bCs/>
        </w:rPr>
      </w:pPr>
      <w:r w:rsidRPr="00A86F11">
        <w:rPr>
          <w:rFonts w:hint="eastAsia"/>
          <w:b/>
          <w:bCs/>
        </w:rPr>
        <w:t>[Comment 49]</w:t>
      </w:r>
    </w:p>
    <w:p w14:paraId="5E78FDE9" w14:textId="317AAF36" w:rsidR="007C10A4" w:rsidRPr="00A86F11" w:rsidRDefault="007C10A4" w:rsidP="007C10A4">
      <w:r w:rsidRPr="00A86F11">
        <w:lastRenderedPageBreak/>
        <w:t>Figure S1 caption: Please indicate the unrest periods in the figure with arrows or similar</w:t>
      </w:r>
    </w:p>
    <w:p w14:paraId="0431E2ED" w14:textId="62B1CB4E" w:rsidR="00FD0DD7" w:rsidRPr="00A86F11" w:rsidRDefault="007C10A4" w:rsidP="007C10A4">
      <w:r w:rsidRPr="00A86F11">
        <w:t>annotations.</w:t>
      </w:r>
    </w:p>
    <w:p w14:paraId="425E3ECF" w14:textId="77777777" w:rsidR="00490E5C" w:rsidRPr="00A86F11" w:rsidRDefault="00490E5C" w:rsidP="007C10A4"/>
    <w:p w14:paraId="7221D7EA" w14:textId="17652F36" w:rsidR="00775E19" w:rsidRPr="00A86F11" w:rsidRDefault="00775E19" w:rsidP="007C10A4">
      <w:pPr>
        <w:rPr>
          <w:b/>
          <w:bCs/>
        </w:rPr>
      </w:pPr>
      <w:r w:rsidRPr="00A86F11">
        <w:rPr>
          <w:rFonts w:hint="eastAsia"/>
          <w:b/>
          <w:bCs/>
        </w:rPr>
        <w:t>Response:</w:t>
      </w:r>
    </w:p>
    <w:p w14:paraId="29A2F513" w14:textId="77777777" w:rsidR="000B6644" w:rsidRPr="00A86F11" w:rsidRDefault="000B6644" w:rsidP="000B6644">
      <w:r w:rsidRPr="00A86F11">
        <w:t>We thank the reviewer for this comment.</w:t>
      </w:r>
    </w:p>
    <w:p w14:paraId="42368A08" w14:textId="3D33C729" w:rsidR="007E1A53" w:rsidRPr="00A86F11" w:rsidRDefault="000B6644" w:rsidP="000B6644">
      <w:r w:rsidRPr="00A86F11">
        <w:t xml:space="preserve">We have added shaded areas to indicate the unrest periods (2014 and 2018) </w:t>
      </w:r>
      <w:r w:rsidR="00B203DF" w:rsidRPr="00A86F11">
        <w:t>(Figure S7 in revised Supplementary Information)</w:t>
      </w:r>
      <w:r w:rsidRPr="00A86F11">
        <w:t>.</w:t>
      </w:r>
    </w:p>
    <w:p w14:paraId="41F94241" w14:textId="77777777" w:rsidR="000B6644" w:rsidRPr="00A86F11" w:rsidRDefault="000B6644" w:rsidP="000B6644">
      <w:pPr>
        <w:rPr>
          <w:color w:val="EE0000"/>
        </w:rPr>
      </w:pPr>
    </w:p>
    <w:p w14:paraId="61B59425" w14:textId="0E014036" w:rsidR="007C10A4" w:rsidRPr="00A86F11" w:rsidRDefault="007C10A4">
      <w:pPr>
        <w:widowControl/>
        <w:jc w:val="left"/>
      </w:pPr>
      <w:r w:rsidRPr="00A86F11">
        <w:br w:type="page"/>
      </w:r>
    </w:p>
    <w:p w14:paraId="6CFA2D16" w14:textId="30111661" w:rsidR="00341ACA" w:rsidRPr="00A86F11" w:rsidRDefault="00341ACA" w:rsidP="00341ACA">
      <w:pPr>
        <w:rPr>
          <w:b/>
          <w:bCs/>
          <w:u w:val="single"/>
        </w:rPr>
      </w:pPr>
      <w:r w:rsidRPr="00A86F11">
        <w:rPr>
          <w:rFonts w:hint="eastAsia"/>
          <w:b/>
          <w:bCs/>
          <w:u w:val="single"/>
        </w:rPr>
        <w:lastRenderedPageBreak/>
        <w:t xml:space="preserve">Response to </w:t>
      </w:r>
      <w:r w:rsidRPr="00A86F11">
        <w:rPr>
          <w:b/>
          <w:bCs/>
          <w:u w:val="single"/>
        </w:rPr>
        <w:t>Reviewer #</w:t>
      </w:r>
      <w:r w:rsidRPr="00A86F11">
        <w:rPr>
          <w:rFonts w:hint="eastAsia"/>
          <w:b/>
          <w:bCs/>
          <w:u w:val="single"/>
        </w:rPr>
        <w:t>2</w:t>
      </w:r>
    </w:p>
    <w:p w14:paraId="2FEC1753" w14:textId="77777777" w:rsidR="007C10A4" w:rsidRPr="00A86F11" w:rsidRDefault="007C10A4" w:rsidP="007C10A4"/>
    <w:p w14:paraId="0F478500" w14:textId="77777777" w:rsidR="007C10A4" w:rsidRPr="00A86F11" w:rsidRDefault="007C10A4" w:rsidP="007C10A4">
      <w:r w:rsidRPr="00A86F11">
        <w:t>This manuscript describes an interesting case study of the application of the Seismic Background Level (SBL) metric to the active Kusatsu-Shirane volcanic area in Japan over an extended period of time. Volcano monitoring heavily relies on quantities that are physically meaningful, can be calculated quickly, and provide clues to the state of the volcano. A necessary condition for any metric to be useful for monitoring purposes is that there is a long baseline of observations of this metric during both quiet and active periods. This manuscript provides such a baseline for BSL at Kusatsu-</w:t>
      </w:r>
      <w:proofErr w:type="gramStart"/>
      <w:r w:rsidRPr="00A86F11">
        <w:t>Shirane,</w:t>
      </w:r>
      <w:proofErr w:type="gramEnd"/>
      <w:r w:rsidRPr="00A86F11">
        <w:t xml:space="preserve"> hence I expect that the manuscript is going to be of interest to the readership of Earth Planets and Space. However, I think that the biggest weakness is the way that the manuscript was organized, where at times is confusing or going back and forth. I therefore recommend publication after the authors have dealt with the number of issues I list below.</w:t>
      </w:r>
    </w:p>
    <w:p w14:paraId="45C60D2B" w14:textId="77777777" w:rsidR="007C10A4" w:rsidRPr="00A86F11" w:rsidRDefault="007C10A4" w:rsidP="007C10A4"/>
    <w:p w14:paraId="5F22EA0E" w14:textId="77777777" w:rsidR="00BD7D1E" w:rsidRPr="00A86F11" w:rsidRDefault="00BD7D1E" w:rsidP="00BD7D1E">
      <w:pPr>
        <w:rPr>
          <w:b/>
          <w:bCs/>
        </w:rPr>
      </w:pPr>
      <w:r w:rsidRPr="00A86F11">
        <w:rPr>
          <w:rFonts w:hint="eastAsia"/>
          <w:b/>
          <w:bCs/>
        </w:rPr>
        <w:t>General response:</w:t>
      </w:r>
    </w:p>
    <w:p w14:paraId="3E4BA319" w14:textId="77777777" w:rsidR="0074598A" w:rsidRPr="00A86F11" w:rsidRDefault="0074598A" w:rsidP="0074598A">
      <w:r w:rsidRPr="00A86F11">
        <w:t>We sincerely thank the reviewer for the positive evaluation of our study and for the constructive suggestions regarding the manuscript structure. We agree that the organization of the original manuscript was sometimes difficult to follow, particularly because the Results section moved back and forth among different observations and time periods.</w:t>
      </w:r>
    </w:p>
    <w:p w14:paraId="451C9B6C" w14:textId="77777777" w:rsidR="0074598A" w:rsidRPr="00A86F11" w:rsidRDefault="0074598A" w:rsidP="0074598A">
      <w:r w:rsidRPr="00A86F11">
        <w:t>In response, we substantially reorganized the manuscript. The methodological descriptions of SBL, normalized SBL ratios, and SBL spectra were consolidated into a single Methods section, and the reclassification of JMA earthquakes was moved to the Data section. The Results section was reorganized chronologically, following the sequence of pre-unrest periods, the 2014 unrest, and the 2018 unrest, so that the relationships among SBL, seismicity, and ground deformation can be followed more clearly. We also moved Appendices A and B to the Supplementary Information, as suggested.</w:t>
      </w:r>
    </w:p>
    <w:p w14:paraId="332FF884" w14:textId="4BEA9629" w:rsidR="0074598A" w:rsidRPr="00A86F11" w:rsidRDefault="0074598A" w:rsidP="0074598A">
      <w:r w:rsidRPr="00A86F11">
        <w:t>These structural revisions were made before addressing the individual comments, and we believe that they have substantially improved the clarity and readability of the manuscript.</w:t>
      </w:r>
    </w:p>
    <w:p w14:paraId="6D94161C" w14:textId="77777777" w:rsidR="0074598A" w:rsidRPr="00A86F11" w:rsidRDefault="0074598A" w:rsidP="007C10A4"/>
    <w:p w14:paraId="4A31A412" w14:textId="77777777" w:rsidR="00BD7D1E" w:rsidRPr="00A86F11" w:rsidRDefault="00BD7D1E" w:rsidP="007C10A4"/>
    <w:p w14:paraId="35DF6CDA" w14:textId="77777777" w:rsidR="00EE492C" w:rsidRPr="00A86F11" w:rsidRDefault="00EE492C">
      <w:pPr>
        <w:widowControl/>
        <w:jc w:val="left"/>
        <w:rPr>
          <w:b/>
          <w:bCs/>
        </w:rPr>
      </w:pPr>
      <w:r w:rsidRPr="00A86F11">
        <w:rPr>
          <w:b/>
          <w:bCs/>
        </w:rPr>
        <w:br w:type="page"/>
      </w:r>
    </w:p>
    <w:p w14:paraId="59F3FEFD" w14:textId="6C633B1B" w:rsidR="007C10A4" w:rsidRPr="00A86F11" w:rsidRDefault="007C10A4" w:rsidP="007C10A4">
      <w:pPr>
        <w:rPr>
          <w:b/>
          <w:bCs/>
        </w:rPr>
      </w:pPr>
      <w:r w:rsidRPr="00A86F11">
        <w:rPr>
          <w:b/>
          <w:bCs/>
        </w:rPr>
        <w:lastRenderedPageBreak/>
        <w:t>SPECIFIC POINTS</w:t>
      </w:r>
    </w:p>
    <w:p w14:paraId="79A4811C" w14:textId="1F8D71BF" w:rsidR="008A5695" w:rsidRPr="00A86F11" w:rsidRDefault="008A5695" w:rsidP="008A5695">
      <w:pPr>
        <w:rPr>
          <w:b/>
          <w:bCs/>
        </w:rPr>
      </w:pPr>
      <w:r w:rsidRPr="00A86F11">
        <w:rPr>
          <w:rFonts w:hint="eastAsia"/>
          <w:b/>
          <w:bCs/>
        </w:rPr>
        <w:t>[Comment 1]</w:t>
      </w:r>
    </w:p>
    <w:p w14:paraId="7FECA31A" w14:textId="7671427E" w:rsidR="007C10A4" w:rsidRPr="00A86F11" w:rsidRDefault="007C10A4" w:rsidP="007C10A4">
      <w:r w:rsidRPr="00A86F11">
        <w:t xml:space="preserve">As I mentioned before, how the manuscript is organized is the biggest problem: Sections 3.2-3.4 can be combined in one section that will describe all the theory of BSL and its attributes - I need to note that BSL is not a new method, hence very detailed descriptions are probably unnecessary since the reader can always consult the original work by Ichihara et al. (2023); I am not sure why the reclassification of JMA earthquakes must be a separate section, it is better to be absorbed in Data section; The section on Results is the most confusing of all, since it goes back and forth in time and between different observations - I suggest that you describe results by time period in a forward way (e.g., Pre-unrest, 2014 unrest, 2018 unrest </w:t>
      </w:r>
      <w:proofErr w:type="spellStart"/>
      <w:r w:rsidRPr="00A86F11">
        <w:t>etc</w:t>
      </w:r>
      <w:proofErr w:type="spellEnd"/>
      <w:r w:rsidRPr="00A86F11">
        <w:t>); Section</w:t>
      </w:r>
      <w:r w:rsidR="00EE492C" w:rsidRPr="00A86F11">
        <w:t xml:space="preserve"> </w:t>
      </w:r>
      <w:r w:rsidRPr="00A86F11">
        <w:t>5.2 in my opinion should belong to "Results" as a separate section and not in the "Discussion"; The discussion can consist of two subsections one talking about the relationship of BSL with volcanic activity, and another about BSL mechanism; Finally, I think that Appendix A and B (along with their Figures) should go to the supplementary material since they are not essential for understanding the main argument of the manuscript.</w:t>
      </w:r>
    </w:p>
    <w:p w14:paraId="4C0DBB16" w14:textId="77777777" w:rsidR="009A2C61" w:rsidRPr="00A86F11" w:rsidRDefault="009A2C61" w:rsidP="007C10A4"/>
    <w:p w14:paraId="33DDA6DF" w14:textId="3E444620" w:rsidR="009A2C61" w:rsidRPr="00A86F11" w:rsidRDefault="00067B73" w:rsidP="007C10A4">
      <w:pPr>
        <w:rPr>
          <w:b/>
          <w:bCs/>
        </w:rPr>
      </w:pPr>
      <w:r w:rsidRPr="00A86F11">
        <w:rPr>
          <w:rFonts w:hint="eastAsia"/>
          <w:b/>
          <w:bCs/>
        </w:rPr>
        <w:t>Response:</w:t>
      </w:r>
    </w:p>
    <w:p w14:paraId="4A07D7F4" w14:textId="77777777" w:rsidR="0020604B" w:rsidRPr="00A86F11" w:rsidRDefault="0020604B" w:rsidP="0020604B">
      <w:r w:rsidRPr="00A86F11">
        <w:t>We thank the reviewer for this valuable and constructive comment.</w:t>
      </w:r>
    </w:p>
    <w:p w14:paraId="4803BADC" w14:textId="77777777" w:rsidR="00A162E9" w:rsidRPr="00A86F11" w:rsidRDefault="0020604B" w:rsidP="0020604B">
      <w:r w:rsidRPr="00A86F11">
        <w:t xml:space="preserve">We have substantially reorganized the manuscript following the reviewer’s suggestions. </w:t>
      </w:r>
      <w:r w:rsidR="00D87F23" w:rsidRPr="00A86F11">
        <w:t>To clarify the structural changes, we include a correspondence table between the original and revised manuscript structures as Table R1 in this response letter.</w:t>
      </w:r>
      <w:r w:rsidR="00A162E9" w:rsidRPr="00A86F11">
        <w:rPr>
          <w:rFonts w:hint="eastAsia"/>
        </w:rPr>
        <w:t xml:space="preserve"> </w:t>
      </w:r>
      <w:r w:rsidRPr="00A86F11">
        <w:t>The main revisions are summarized as follows.</w:t>
      </w:r>
    </w:p>
    <w:p w14:paraId="51A9647A" w14:textId="2A638C22" w:rsidR="0020604B" w:rsidRPr="00A86F11" w:rsidRDefault="0020604B" w:rsidP="0020604B">
      <w:r w:rsidRPr="00A86F11">
        <w:t>First, the methodological descriptions have been consolidated into a single section to improve clarity and avoid redundancy, given that the SBL method itself is not new. The reclassification of JMA earthquakes has been incorporated into the Data section.</w:t>
      </w:r>
    </w:p>
    <w:p w14:paraId="3785AF52" w14:textId="403D41C8" w:rsidR="0020604B" w:rsidRPr="00A86F11" w:rsidRDefault="0020604B" w:rsidP="0020604B">
      <w:r w:rsidRPr="00A86F11">
        <w:t xml:space="preserve">Second, the Results section has been restructured to follow a chronological order (e.g., </w:t>
      </w:r>
      <w:r w:rsidR="002F6C65" w:rsidRPr="00A86F11">
        <w:rPr>
          <w:rFonts w:hint="eastAsia"/>
        </w:rPr>
        <w:t xml:space="preserve">before 2014 </w:t>
      </w:r>
      <w:r w:rsidRPr="00A86F11">
        <w:t>unrest, 2014 unrest, 2018 unrest), rather than being organized by observation type, to improve readability.</w:t>
      </w:r>
    </w:p>
    <w:p w14:paraId="06A292B2" w14:textId="2FB18AED" w:rsidR="0020604B" w:rsidRPr="00A86F11" w:rsidRDefault="0020604B" w:rsidP="0020604B">
      <w:r w:rsidRPr="00A86F11">
        <w:t>Third, we carefully considered the reviewer’s suggestion regarding the location of the SBL vibration source (former Section 5.2). Given the relatively large uncertainty and the need for interpretation, we have retained this topic in the Discussion section and treated it within the context of the mechanism.</w:t>
      </w:r>
    </w:p>
    <w:p w14:paraId="25E25D7B" w14:textId="77777777" w:rsidR="0020604B" w:rsidRPr="00A86F11" w:rsidRDefault="0020604B" w:rsidP="0020604B">
      <w:r w:rsidRPr="00A86F11">
        <w:t>Finally, Appendices A and B (including their figures) have been moved to the Supplementary Information, as they are not essential for understanding the main conclusions.</w:t>
      </w:r>
    </w:p>
    <w:p w14:paraId="1C8778DE" w14:textId="55568F9E" w:rsidR="006B3E25" w:rsidRPr="00A86F11" w:rsidRDefault="0020604B" w:rsidP="0020604B">
      <w:r w:rsidRPr="00A86F11">
        <w:t>For clarity, we first carried out the structural reorganization of the manuscript and then addressed the remaining reviewer comments based on the revised structure.</w:t>
      </w:r>
    </w:p>
    <w:p w14:paraId="0A728658" w14:textId="77777777" w:rsidR="00FB53D5" w:rsidRPr="00A86F11" w:rsidRDefault="00FB53D5" w:rsidP="0020604B"/>
    <w:p w14:paraId="149FB006" w14:textId="1C90849C" w:rsidR="00E2275C" w:rsidRPr="00A86F11" w:rsidRDefault="00FB53D5" w:rsidP="00CB3E77">
      <w:r w:rsidRPr="00A86F11">
        <w:rPr>
          <w:rFonts w:hint="eastAsia"/>
        </w:rPr>
        <w:t>Table.</w:t>
      </w:r>
      <w:r w:rsidR="00CB1FBD" w:rsidRPr="00A86F11">
        <w:rPr>
          <w:rFonts w:hint="eastAsia"/>
        </w:rPr>
        <w:t xml:space="preserve"> R</w:t>
      </w:r>
      <w:r w:rsidRPr="00A86F11">
        <w:rPr>
          <w:rFonts w:hint="eastAsia"/>
        </w:rPr>
        <w:t xml:space="preserve">1. </w:t>
      </w:r>
      <w:r w:rsidR="00B81C5D" w:rsidRPr="00A86F11">
        <w:rPr>
          <w:rFonts w:hint="eastAsia"/>
        </w:rPr>
        <w:t>A</w:t>
      </w:r>
      <w:r w:rsidR="00B81C5D" w:rsidRPr="00A86F11">
        <w:t xml:space="preserve"> correspondence table between the original and revised manuscript structures</w:t>
      </w:r>
      <w:r w:rsidR="00B81C5D" w:rsidRPr="00A86F11">
        <w:rPr>
          <w:rFonts w:hint="eastAsia"/>
        </w:rPr>
        <w:t>.</w:t>
      </w:r>
    </w:p>
    <w:tbl>
      <w:tblPr>
        <w:tblStyle w:val="a3"/>
        <w:tblW w:w="0" w:type="auto"/>
        <w:tblLook w:val="04A0" w:firstRow="1" w:lastRow="0" w:firstColumn="1" w:lastColumn="0" w:noHBand="0" w:noVBand="1"/>
      </w:tblPr>
      <w:tblGrid>
        <w:gridCol w:w="988"/>
        <w:gridCol w:w="3617"/>
        <w:gridCol w:w="3889"/>
      </w:tblGrid>
      <w:tr w:rsidR="00434AD8" w:rsidRPr="00A86F11" w14:paraId="7228AF5C" w14:textId="77777777" w:rsidTr="00B64794">
        <w:tc>
          <w:tcPr>
            <w:tcW w:w="988" w:type="dxa"/>
            <w:tcBorders>
              <w:bottom w:val="double" w:sz="4" w:space="0" w:color="auto"/>
            </w:tcBorders>
          </w:tcPr>
          <w:p w14:paraId="7D2DD514" w14:textId="13DE6AEF" w:rsidR="00434AD8" w:rsidRPr="00A86F11" w:rsidRDefault="00434AD8" w:rsidP="00D128D5">
            <w:r w:rsidRPr="00A86F11">
              <w:rPr>
                <w:rFonts w:hint="eastAsia"/>
              </w:rPr>
              <w:t>S</w:t>
            </w:r>
            <w:r w:rsidR="00C11726" w:rsidRPr="00A86F11">
              <w:rPr>
                <w:rFonts w:hint="eastAsia"/>
              </w:rPr>
              <w:t>ection</w:t>
            </w:r>
          </w:p>
        </w:tc>
        <w:tc>
          <w:tcPr>
            <w:tcW w:w="3617" w:type="dxa"/>
            <w:tcBorders>
              <w:bottom w:val="double" w:sz="4" w:space="0" w:color="auto"/>
            </w:tcBorders>
          </w:tcPr>
          <w:p w14:paraId="19B31C7E" w14:textId="7ECF2D58" w:rsidR="00434AD8" w:rsidRPr="00A86F11" w:rsidRDefault="00434AD8" w:rsidP="00D128D5">
            <w:r w:rsidRPr="00A86F11">
              <w:t>re</w:t>
            </w:r>
            <w:r w:rsidR="00B81C5D" w:rsidRPr="00A86F11">
              <w:rPr>
                <w:rFonts w:hint="eastAsia"/>
              </w:rPr>
              <w:t>vised</w:t>
            </w:r>
          </w:p>
        </w:tc>
        <w:tc>
          <w:tcPr>
            <w:tcW w:w="3889" w:type="dxa"/>
            <w:tcBorders>
              <w:bottom w:val="double" w:sz="4" w:space="0" w:color="auto"/>
            </w:tcBorders>
          </w:tcPr>
          <w:p w14:paraId="0758BBC8" w14:textId="7432C9F4" w:rsidR="00434AD8" w:rsidRPr="00A86F11" w:rsidRDefault="00ED5D65" w:rsidP="00D128D5">
            <w:r w:rsidRPr="00A86F11">
              <w:rPr>
                <w:rFonts w:hint="eastAsia"/>
              </w:rPr>
              <w:t>original</w:t>
            </w:r>
          </w:p>
        </w:tc>
      </w:tr>
      <w:tr w:rsidR="00434AD8" w:rsidRPr="00A86F11" w14:paraId="0FFFEFF7" w14:textId="77777777" w:rsidTr="00B64794">
        <w:tc>
          <w:tcPr>
            <w:tcW w:w="988" w:type="dxa"/>
            <w:tcBorders>
              <w:top w:val="double" w:sz="4" w:space="0" w:color="auto"/>
            </w:tcBorders>
          </w:tcPr>
          <w:p w14:paraId="5A30CB79" w14:textId="7334E33A" w:rsidR="00434AD8" w:rsidRPr="00A86F11" w:rsidRDefault="00434AD8" w:rsidP="00D128D5">
            <w:r w:rsidRPr="00A86F11">
              <w:rPr>
                <w:rFonts w:hint="eastAsia"/>
              </w:rPr>
              <w:t>1</w:t>
            </w:r>
          </w:p>
        </w:tc>
        <w:tc>
          <w:tcPr>
            <w:tcW w:w="3617" w:type="dxa"/>
            <w:tcBorders>
              <w:top w:val="double" w:sz="4" w:space="0" w:color="auto"/>
            </w:tcBorders>
          </w:tcPr>
          <w:p w14:paraId="54CE3C05" w14:textId="1BEF4E1B" w:rsidR="00434AD8" w:rsidRPr="00A86F11" w:rsidRDefault="00E0250C" w:rsidP="00D128D5">
            <w:r w:rsidRPr="00A86F11">
              <w:t>1.</w:t>
            </w:r>
            <w:r w:rsidRPr="00A86F11">
              <w:rPr>
                <w:rFonts w:hint="eastAsia"/>
              </w:rPr>
              <w:t xml:space="preserve"> </w:t>
            </w:r>
            <w:r w:rsidRPr="00A86F11">
              <w:t>Introduction</w:t>
            </w:r>
          </w:p>
        </w:tc>
        <w:tc>
          <w:tcPr>
            <w:tcW w:w="3889" w:type="dxa"/>
            <w:tcBorders>
              <w:top w:val="double" w:sz="4" w:space="0" w:color="auto"/>
            </w:tcBorders>
          </w:tcPr>
          <w:p w14:paraId="06E16582" w14:textId="469426AB" w:rsidR="00434AD8" w:rsidRPr="00A86F11" w:rsidRDefault="00434AD8" w:rsidP="00D128D5">
            <w:r w:rsidRPr="00A86F11">
              <w:t>1.</w:t>
            </w:r>
            <w:r w:rsidR="00E0250C" w:rsidRPr="00A86F11">
              <w:rPr>
                <w:rFonts w:hint="eastAsia"/>
              </w:rPr>
              <w:t xml:space="preserve"> </w:t>
            </w:r>
            <w:r w:rsidRPr="00A86F11">
              <w:t>Introduction</w:t>
            </w:r>
          </w:p>
        </w:tc>
      </w:tr>
      <w:tr w:rsidR="00434AD8" w:rsidRPr="00A86F11" w14:paraId="731A444F" w14:textId="77777777" w:rsidTr="00F825E9">
        <w:tc>
          <w:tcPr>
            <w:tcW w:w="988" w:type="dxa"/>
          </w:tcPr>
          <w:p w14:paraId="5E1E64C4" w14:textId="4EFE2187" w:rsidR="00434AD8" w:rsidRPr="00A86F11" w:rsidRDefault="00434AD8" w:rsidP="00D128D5">
            <w:r w:rsidRPr="00A86F11">
              <w:rPr>
                <w:rFonts w:hint="eastAsia"/>
              </w:rPr>
              <w:t>2</w:t>
            </w:r>
          </w:p>
        </w:tc>
        <w:tc>
          <w:tcPr>
            <w:tcW w:w="3617" w:type="dxa"/>
          </w:tcPr>
          <w:p w14:paraId="413E151A" w14:textId="77777777" w:rsidR="002F1843" w:rsidRPr="00A86F11" w:rsidRDefault="002F1843" w:rsidP="00CB411C">
            <w:pPr>
              <w:ind w:left="315" w:hangingChars="150" w:hanging="315"/>
            </w:pPr>
            <w:r w:rsidRPr="00A86F11">
              <w:t>2. Background of Kusatsu-Shirane Volcano</w:t>
            </w:r>
          </w:p>
          <w:p w14:paraId="05BC683B" w14:textId="77777777" w:rsidR="002F1843" w:rsidRPr="00A86F11" w:rsidRDefault="002F1843" w:rsidP="00CB411C">
            <w:pPr>
              <w:ind w:left="315" w:hangingChars="150" w:hanging="315"/>
            </w:pPr>
            <w:r w:rsidRPr="00A86F11">
              <w:t>2.1 Geological setting</w:t>
            </w:r>
          </w:p>
          <w:p w14:paraId="27F7547C" w14:textId="428FDFD9" w:rsidR="002F1843" w:rsidRPr="00A86F11" w:rsidRDefault="002F1843" w:rsidP="00CB411C">
            <w:pPr>
              <w:ind w:left="315" w:hangingChars="150" w:hanging="315"/>
            </w:pPr>
            <w:r w:rsidRPr="00A86F11">
              <w:t>2.2 Recent activity near the Yugama crater lake (2014</w:t>
            </w:r>
            <w:r w:rsidR="003A4CAC" w:rsidRPr="00A86F11">
              <w:rPr>
                <w:rFonts w:hint="eastAsia"/>
              </w:rPr>
              <w:t>–</w:t>
            </w:r>
            <w:r w:rsidRPr="00A86F11">
              <w:t>2023)</w:t>
            </w:r>
          </w:p>
          <w:p w14:paraId="0DE154A5" w14:textId="5670E399" w:rsidR="00434AD8" w:rsidRPr="00A86F11" w:rsidRDefault="002F1843" w:rsidP="00CB411C">
            <w:pPr>
              <w:ind w:left="315" w:hangingChars="150" w:hanging="315"/>
            </w:pPr>
            <w:r w:rsidRPr="00A86F11">
              <w:t>2.3 Long-term observation (late 1990s-2023)</w:t>
            </w:r>
          </w:p>
        </w:tc>
        <w:tc>
          <w:tcPr>
            <w:tcW w:w="3889" w:type="dxa"/>
          </w:tcPr>
          <w:p w14:paraId="7E03B19F" w14:textId="77777777" w:rsidR="00434AD8" w:rsidRPr="00A86F11" w:rsidRDefault="00434AD8" w:rsidP="00CB411C">
            <w:pPr>
              <w:ind w:left="246" w:hangingChars="117" w:hanging="246"/>
            </w:pPr>
            <w:r w:rsidRPr="00A86F11">
              <w:t>2. Background of Kusatsu-Shirane Volcano</w:t>
            </w:r>
          </w:p>
          <w:p w14:paraId="733B4E92" w14:textId="77777777" w:rsidR="00434AD8" w:rsidRPr="00A86F11" w:rsidRDefault="00434AD8" w:rsidP="00CB411C">
            <w:pPr>
              <w:ind w:left="246" w:hangingChars="117" w:hanging="246"/>
            </w:pPr>
            <w:r w:rsidRPr="00A86F11">
              <w:t>2.1 Geological setting</w:t>
            </w:r>
          </w:p>
          <w:p w14:paraId="2D61A49D" w14:textId="77777777" w:rsidR="00434AD8" w:rsidRPr="00A86F11" w:rsidRDefault="00434AD8" w:rsidP="00CB411C">
            <w:pPr>
              <w:ind w:left="246" w:hangingChars="117" w:hanging="246"/>
            </w:pPr>
            <w:r w:rsidRPr="00A86F11">
              <w:t>2.2 Recent activity (2014-2023)</w:t>
            </w:r>
          </w:p>
          <w:p w14:paraId="1878F34B" w14:textId="26E901F5" w:rsidR="00434AD8" w:rsidRPr="00A86F11" w:rsidRDefault="00434AD8" w:rsidP="00CB411C">
            <w:pPr>
              <w:ind w:left="246" w:hangingChars="117" w:hanging="246"/>
            </w:pPr>
            <w:r w:rsidRPr="00A86F11">
              <w:t>2.3 Long-term observation (late 1990s-2023)</w:t>
            </w:r>
          </w:p>
        </w:tc>
      </w:tr>
      <w:tr w:rsidR="00434AD8" w:rsidRPr="00A86F11" w14:paraId="390F1161" w14:textId="77777777" w:rsidTr="00F825E9">
        <w:tc>
          <w:tcPr>
            <w:tcW w:w="988" w:type="dxa"/>
          </w:tcPr>
          <w:p w14:paraId="3120FE6F" w14:textId="065922D2" w:rsidR="00434AD8" w:rsidRPr="00A86F11" w:rsidRDefault="00434AD8" w:rsidP="0073204C">
            <w:r w:rsidRPr="00A86F11">
              <w:rPr>
                <w:rFonts w:hint="eastAsia"/>
              </w:rPr>
              <w:t>3</w:t>
            </w:r>
          </w:p>
        </w:tc>
        <w:tc>
          <w:tcPr>
            <w:tcW w:w="3617" w:type="dxa"/>
          </w:tcPr>
          <w:p w14:paraId="391D099D" w14:textId="4F0C979B" w:rsidR="00434AD8" w:rsidRPr="00A86F11" w:rsidRDefault="00434AD8" w:rsidP="0073204C">
            <w:r w:rsidRPr="00A86F11">
              <w:t>3. Data and methods</w:t>
            </w:r>
          </w:p>
          <w:p w14:paraId="26898230" w14:textId="77777777" w:rsidR="00434AD8" w:rsidRPr="00A86F11" w:rsidRDefault="00434AD8" w:rsidP="0073204C">
            <w:r w:rsidRPr="00A86F11">
              <w:t>3.1 Data</w:t>
            </w:r>
          </w:p>
          <w:p w14:paraId="1484A6BE" w14:textId="77777777" w:rsidR="005062B8" w:rsidRPr="00A86F11" w:rsidRDefault="00434AD8" w:rsidP="0073204C">
            <w:r w:rsidRPr="00A86F11">
              <w:rPr>
                <w:rFonts w:hint="eastAsia"/>
              </w:rPr>
              <w:t xml:space="preserve">  Seismogram</w:t>
            </w:r>
          </w:p>
          <w:p w14:paraId="75B26B25" w14:textId="27AC7B72" w:rsidR="004C20BC" w:rsidRPr="00A86F11" w:rsidRDefault="00434AD8" w:rsidP="005062B8">
            <w:pPr>
              <w:ind w:firstLineChars="100" w:firstLine="210"/>
            </w:pPr>
            <w:r w:rsidRPr="00A86F11">
              <w:t>JMA catalog</w:t>
            </w:r>
          </w:p>
          <w:p w14:paraId="4447EF42" w14:textId="677B066D" w:rsidR="00434AD8" w:rsidRPr="00A86F11" w:rsidRDefault="00434AD8" w:rsidP="00812B91">
            <w:r w:rsidRPr="00A86F11">
              <w:rPr>
                <w:rFonts w:hint="eastAsia"/>
              </w:rPr>
              <w:t xml:space="preserve">3.2 </w:t>
            </w:r>
            <w:r w:rsidRPr="00A86F11">
              <w:t>Method</w:t>
            </w:r>
          </w:p>
          <w:p w14:paraId="68DE361C" w14:textId="23D57695" w:rsidR="00434AD8" w:rsidRPr="00A86F11" w:rsidRDefault="00434AD8" w:rsidP="0073204C">
            <w:pPr>
              <w:ind w:firstLineChars="100" w:firstLine="210"/>
            </w:pPr>
            <w:r w:rsidRPr="00A86F11">
              <w:rPr>
                <w:rFonts w:hint="eastAsia"/>
              </w:rPr>
              <w:t>SBL</w:t>
            </w:r>
          </w:p>
          <w:p w14:paraId="2AF3F864" w14:textId="24030AF5" w:rsidR="00434AD8" w:rsidRPr="00A86F11" w:rsidRDefault="00434AD8" w:rsidP="0073204C">
            <w:pPr>
              <w:ind w:firstLineChars="100" w:firstLine="210"/>
            </w:pPr>
            <w:r w:rsidRPr="00A86F11">
              <w:t>SBL ratio</w:t>
            </w:r>
          </w:p>
          <w:p w14:paraId="2A4E1605" w14:textId="77777777" w:rsidR="00434AD8" w:rsidRPr="00A86F11" w:rsidRDefault="00434AD8" w:rsidP="00FF2B19">
            <w:pPr>
              <w:ind w:leftChars="100" w:left="1443" w:hangingChars="587" w:hanging="1233"/>
            </w:pPr>
            <w:r w:rsidRPr="00A86F11">
              <w:t>SBL spectra</w:t>
            </w:r>
          </w:p>
          <w:p w14:paraId="2ECC8ABA" w14:textId="40BACC71" w:rsidR="007F020A" w:rsidRPr="00A86F11" w:rsidRDefault="007F020A" w:rsidP="00FF2B19">
            <w:pPr>
              <w:ind w:leftChars="100" w:left="1443" w:hangingChars="587" w:hanging="1233"/>
            </w:pPr>
            <w:r w:rsidRPr="00A86F11">
              <w:t>Adaptation of frequency band</w:t>
            </w:r>
          </w:p>
        </w:tc>
        <w:tc>
          <w:tcPr>
            <w:tcW w:w="3889" w:type="dxa"/>
          </w:tcPr>
          <w:p w14:paraId="19C9F8BE" w14:textId="77777777" w:rsidR="00434AD8" w:rsidRPr="00A86F11" w:rsidRDefault="00434AD8" w:rsidP="00CB411C">
            <w:pPr>
              <w:ind w:left="246" w:hangingChars="117" w:hanging="246"/>
            </w:pPr>
            <w:r w:rsidRPr="00A86F11">
              <w:t>3. Data and methods</w:t>
            </w:r>
          </w:p>
          <w:p w14:paraId="5B4586CE" w14:textId="77777777" w:rsidR="00434AD8" w:rsidRPr="00A86F11" w:rsidRDefault="00434AD8" w:rsidP="00CB411C">
            <w:pPr>
              <w:ind w:left="246" w:hangingChars="117" w:hanging="246"/>
            </w:pPr>
            <w:r w:rsidRPr="00A86F11">
              <w:t>3.1 Data</w:t>
            </w:r>
          </w:p>
          <w:p w14:paraId="31AD35E8" w14:textId="77777777" w:rsidR="00434AD8" w:rsidRPr="00A86F11" w:rsidRDefault="00434AD8" w:rsidP="00CB411C">
            <w:pPr>
              <w:ind w:left="246" w:hangingChars="117" w:hanging="246"/>
            </w:pPr>
            <w:r w:rsidRPr="00A86F11">
              <w:t>3.2 Method: Calculation of SBL</w:t>
            </w:r>
          </w:p>
          <w:p w14:paraId="06637149" w14:textId="77777777" w:rsidR="00434AD8" w:rsidRPr="00A86F11" w:rsidRDefault="00434AD8" w:rsidP="00CB411C">
            <w:pPr>
              <w:ind w:left="246" w:hangingChars="117" w:hanging="246"/>
            </w:pPr>
            <w:r w:rsidRPr="00A86F11">
              <w:t>3.3 Method: Calculation of normalized SBL ratio</w:t>
            </w:r>
          </w:p>
          <w:p w14:paraId="0B210565" w14:textId="77777777" w:rsidR="00434AD8" w:rsidRPr="00A86F11" w:rsidRDefault="00434AD8" w:rsidP="00CB411C">
            <w:pPr>
              <w:ind w:left="246" w:hangingChars="117" w:hanging="246"/>
            </w:pPr>
            <w:r w:rsidRPr="00A86F11">
              <w:t>3.4 Method: Calculation of SBL spectra</w:t>
            </w:r>
          </w:p>
          <w:p w14:paraId="77F2CF7E" w14:textId="76EA4278" w:rsidR="00434AD8" w:rsidRPr="00A86F11" w:rsidRDefault="00434AD8" w:rsidP="00CB411C">
            <w:pPr>
              <w:ind w:left="246" w:hangingChars="117" w:hanging="246"/>
            </w:pPr>
            <w:r w:rsidRPr="00A86F11">
              <w:t>3.5 Method: Reclassification of earthquake types based on JMA catalog</w:t>
            </w:r>
          </w:p>
        </w:tc>
      </w:tr>
      <w:tr w:rsidR="00434AD8" w:rsidRPr="00A86F11" w14:paraId="652989CB" w14:textId="77777777" w:rsidTr="00F825E9">
        <w:tc>
          <w:tcPr>
            <w:tcW w:w="988" w:type="dxa"/>
          </w:tcPr>
          <w:p w14:paraId="44B5C168" w14:textId="24997F8C" w:rsidR="00434AD8" w:rsidRPr="00A86F11" w:rsidRDefault="00434AD8" w:rsidP="00D128D5">
            <w:r w:rsidRPr="00A86F11">
              <w:rPr>
                <w:rFonts w:hint="eastAsia"/>
              </w:rPr>
              <w:t>4</w:t>
            </w:r>
          </w:p>
        </w:tc>
        <w:tc>
          <w:tcPr>
            <w:tcW w:w="3617" w:type="dxa"/>
          </w:tcPr>
          <w:p w14:paraId="5CDE0749" w14:textId="59CDBC18" w:rsidR="00434AD8" w:rsidRPr="00A86F11" w:rsidRDefault="00434AD8" w:rsidP="00CB411C">
            <w:pPr>
              <w:ind w:left="315" w:hangingChars="150" w:hanging="315"/>
            </w:pPr>
            <w:r w:rsidRPr="00A86F11">
              <w:t>4. Results</w:t>
            </w:r>
          </w:p>
          <w:p w14:paraId="4CCA5FEC" w14:textId="77777777" w:rsidR="00434AD8" w:rsidRPr="00A86F11" w:rsidRDefault="00434AD8" w:rsidP="00CB411C">
            <w:pPr>
              <w:ind w:left="315" w:hangingChars="150" w:hanging="315"/>
            </w:pPr>
            <w:r w:rsidRPr="00A86F11">
              <w:t>4.1 Overview of temporal changes of SBL</w:t>
            </w:r>
          </w:p>
          <w:p w14:paraId="0ACEC9DD" w14:textId="77777777" w:rsidR="00434AD8" w:rsidRPr="00A86F11" w:rsidRDefault="00434AD8" w:rsidP="00CB411C">
            <w:pPr>
              <w:ind w:left="315" w:hangingChars="150" w:hanging="315"/>
            </w:pPr>
            <w:r w:rsidRPr="00A86F11">
              <w:t>4.1.1 SBL</w:t>
            </w:r>
          </w:p>
          <w:p w14:paraId="3A22D0B1" w14:textId="23C82249" w:rsidR="00434AD8" w:rsidRPr="00A86F11" w:rsidRDefault="00434AD8" w:rsidP="00CB411C">
            <w:pPr>
              <w:ind w:left="315" w:hangingChars="150" w:hanging="315"/>
            </w:pPr>
            <w:r w:rsidRPr="00A86F11">
              <w:t>4.1.2 SBL ratio</w:t>
            </w:r>
          </w:p>
          <w:p w14:paraId="64ACF2FC" w14:textId="6B0718B4" w:rsidR="00434AD8" w:rsidRPr="00A86F11" w:rsidRDefault="00434AD8" w:rsidP="00CB411C">
            <w:pPr>
              <w:ind w:left="315" w:hangingChars="150" w:hanging="315"/>
            </w:pPr>
            <w:r w:rsidRPr="00A86F11">
              <w:t>4.2 Comparis</w:t>
            </w:r>
            <w:r w:rsidRPr="00A86F11">
              <w:rPr>
                <w:rFonts w:hint="eastAsia"/>
              </w:rPr>
              <w:t>o</w:t>
            </w:r>
            <w:r w:rsidRPr="00A86F11">
              <w:t xml:space="preserve">n with </w:t>
            </w:r>
            <w:r w:rsidRPr="00A86F11">
              <w:rPr>
                <w:rFonts w:hint="eastAsia"/>
              </w:rPr>
              <w:t xml:space="preserve">seismicity and </w:t>
            </w:r>
            <w:r w:rsidRPr="00A86F11">
              <w:t>ground deformation</w:t>
            </w:r>
          </w:p>
          <w:p w14:paraId="59F2A1D6" w14:textId="4FD816B9" w:rsidR="00434AD8" w:rsidRPr="00A86F11" w:rsidRDefault="00434AD8" w:rsidP="00CB411C">
            <w:pPr>
              <w:ind w:left="315" w:hangingChars="150" w:hanging="315"/>
            </w:pPr>
            <w:r w:rsidRPr="00A86F11">
              <w:t>4.2.1 Before 2014 unrest (Period</w:t>
            </w:r>
            <w:r w:rsidR="004C20BC" w:rsidRPr="00A86F11">
              <w:rPr>
                <w:rFonts w:hint="eastAsia"/>
              </w:rPr>
              <w:t>s</w:t>
            </w:r>
            <w:r w:rsidRPr="00A86F11">
              <w:t xml:space="preserve"> I</w:t>
            </w:r>
            <w:r w:rsidR="004C20BC" w:rsidRPr="00A86F11">
              <w:rPr>
                <w:rFonts w:hint="eastAsia"/>
              </w:rPr>
              <w:t>–</w:t>
            </w:r>
            <w:r w:rsidRPr="00A86F11">
              <w:t>IV)</w:t>
            </w:r>
          </w:p>
          <w:p w14:paraId="5882D01C" w14:textId="2FEC86A2" w:rsidR="00434AD8" w:rsidRPr="00A86F11" w:rsidRDefault="00434AD8" w:rsidP="00CB411C">
            <w:pPr>
              <w:ind w:left="315" w:hangingChars="150" w:hanging="315"/>
            </w:pPr>
            <w:r w:rsidRPr="00A86F11">
              <w:t>4.2.2 2014 unrest (Period</w:t>
            </w:r>
            <w:r w:rsidR="004C20BC" w:rsidRPr="00A86F11">
              <w:rPr>
                <w:rFonts w:hint="eastAsia"/>
              </w:rPr>
              <w:t>s</w:t>
            </w:r>
            <w:r w:rsidRPr="00A86F11">
              <w:t xml:space="preserve"> V</w:t>
            </w:r>
            <w:r w:rsidR="004C20BC" w:rsidRPr="00A86F11">
              <w:rPr>
                <w:rFonts w:hint="eastAsia"/>
              </w:rPr>
              <w:t>–</w:t>
            </w:r>
            <w:r w:rsidRPr="00A86F11">
              <w:t>VI)</w:t>
            </w:r>
          </w:p>
          <w:p w14:paraId="48515065" w14:textId="1FF5BD03" w:rsidR="00434AD8" w:rsidRPr="00A86F11" w:rsidRDefault="00434AD8" w:rsidP="00CB411C">
            <w:pPr>
              <w:ind w:left="315" w:hangingChars="150" w:hanging="315"/>
            </w:pPr>
            <w:r w:rsidRPr="00A86F11">
              <w:t>4.2.3 2018 unrest (Period</w:t>
            </w:r>
            <w:r w:rsidR="004C20BC" w:rsidRPr="00A86F11">
              <w:rPr>
                <w:rFonts w:hint="eastAsia"/>
              </w:rPr>
              <w:t>s</w:t>
            </w:r>
            <w:r w:rsidRPr="00A86F11">
              <w:t xml:space="preserve"> VII</w:t>
            </w:r>
            <w:r w:rsidR="004C20BC" w:rsidRPr="00A86F11">
              <w:rPr>
                <w:rFonts w:hint="eastAsia"/>
              </w:rPr>
              <w:t>–</w:t>
            </w:r>
            <w:r w:rsidRPr="00A86F11">
              <w:t>IX)</w:t>
            </w:r>
          </w:p>
        </w:tc>
        <w:tc>
          <w:tcPr>
            <w:tcW w:w="3889" w:type="dxa"/>
          </w:tcPr>
          <w:p w14:paraId="1B7BF081" w14:textId="77777777" w:rsidR="00434AD8" w:rsidRPr="00A86F11" w:rsidRDefault="00434AD8" w:rsidP="00D128D5">
            <w:r w:rsidRPr="00A86F11">
              <w:t>4. Results</w:t>
            </w:r>
          </w:p>
          <w:p w14:paraId="7CC63EEE" w14:textId="77777777" w:rsidR="00434AD8" w:rsidRPr="00A86F11" w:rsidRDefault="00434AD8" w:rsidP="00D128D5">
            <w:r w:rsidRPr="00A86F11">
              <w:t>4.1 Overview of temporal changes of SBL</w:t>
            </w:r>
          </w:p>
          <w:p w14:paraId="5C6927E5" w14:textId="77777777" w:rsidR="00434AD8" w:rsidRPr="00A86F11" w:rsidRDefault="00434AD8" w:rsidP="00D128D5">
            <w:r w:rsidRPr="00A86F11">
              <w:t>4.1.1 SBL</w:t>
            </w:r>
          </w:p>
          <w:p w14:paraId="492C6AB6" w14:textId="77777777" w:rsidR="00434AD8" w:rsidRPr="00A86F11" w:rsidRDefault="00434AD8" w:rsidP="00D128D5">
            <w:r w:rsidRPr="00A86F11">
              <w:t>4.1.2 Normalized SBL ratio</w:t>
            </w:r>
          </w:p>
          <w:p w14:paraId="48069EE2" w14:textId="77777777" w:rsidR="00434AD8" w:rsidRPr="00A86F11" w:rsidRDefault="00434AD8" w:rsidP="00D128D5">
            <w:r w:rsidRPr="00A86F11">
              <w:t>4.2 Comparison with seismicity</w:t>
            </w:r>
          </w:p>
          <w:p w14:paraId="410A2AFA" w14:textId="77777777" w:rsidR="00434AD8" w:rsidRPr="00A86F11" w:rsidRDefault="00434AD8" w:rsidP="00D128D5">
            <w:r w:rsidRPr="00A86F11">
              <w:t>4.2.1 Before 2014 unrest (Period I-IV)</w:t>
            </w:r>
          </w:p>
          <w:p w14:paraId="3E1FA1B8" w14:textId="77777777" w:rsidR="00434AD8" w:rsidRPr="00A86F11" w:rsidRDefault="00434AD8" w:rsidP="00D128D5">
            <w:r w:rsidRPr="00A86F11">
              <w:t>4.2.2 2014 unrest (Period V-VI)</w:t>
            </w:r>
          </w:p>
          <w:p w14:paraId="5E8BF512" w14:textId="77777777" w:rsidR="00434AD8" w:rsidRPr="00A86F11" w:rsidRDefault="00434AD8" w:rsidP="00D128D5">
            <w:r w:rsidRPr="00A86F11">
              <w:t>4.2.3 2018 unrest (Period VII-IX)</w:t>
            </w:r>
          </w:p>
          <w:p w14:paraId="3A459C97" w14:textId="77777777" w:rsidR="00434AD8" w:rsidRPr="00A86F11" w:rsidRDefault="00434AD8" w:rsidP="00D128D5">
            <w:r w:rsidRPr="00A86F11">
              <w:t>4.3 Comparison with ground deformation</w:t>
            </w:r>
          </w:p>
          <w:p w14:paraId="1B9519A9" w14:textId="77777777" w:rsidR="00434AD8" w:rsidRPr="00A86F11" w:rsidRDefault="00434AD8" w:rsidP="00D128D5">
            <w:r w:rsidRPr="00A86F11">
              <w:t>4.3.1 Before 2014 unrest (Period I-IV)</w:t>
            </w:r>
          </w:p>
          <w:p w14:paraId="420622D7" w14:textId="77777777" w:rsidR="00434AD8" w:rsidRPr="00A86F11" w:rsidRDefault="00434AD8" w:rsidP="00D128D5">
            <w:r w:rsidRPr="00A86F11">
              <w:t>4.3.2 2014 unrest (Period V-VI)</w:t>
            </w:r>
          </w:p>
          <w:p w14:paraId="00735FA9" w14:textId="77777777" w:rsidR="00434AD8" w:rsidRPr="00A86F11" w:rsidRDefault="00434AD8" w:rsidP="00D128D5">
            <w:r w:rsidRPr="00A86F11">
              <w:t>4.3.3 2018 unrest (Period VII-IX)</w:t>
            </w:r>
          </w:p>
        </w:tc>
      </w:tr>
      <w:tr w:rsidR="00434AD8" w:rsidRPr="00A86F11" w14:paraId="5EE5C4D1" w14:textId="77777777" w:rsidTr="00F825E9">
        <w:tc>
          <w:tcPr>
            <w:tcW w:w="988" w:type="dxa"/>
          </w:tcPr>
          <w:p w14:paraId="4C5B75FF" w14:textId="2FBEEC9C" w:rsidR="00434AD8" w:rsidRPr="00A86F11" w:rsidRDefault="00434AD8" w:rsidP="00874286">
            <w:r w:rsidRPr="00A86F11">
              <w:rPr>
                <w:rFonts w:hint="eastAsia"/>
              </w:rPr>
              <w:t>5</w:t>
            </w:r>
          </w:p>
        </w:tc>
        <w:tc>
          <w:tcPr>
            <w:tcW w:w="3617" w:type="dxa"/>
          </w:tcPr>
          <w:p w14:paraId="39D007E5" w14:textId="0BC980B6" w:rsidR="00434AD8" w:rsidRPr="00A86F11" w:rsidRDefault="00434AD8" w:rsidP="00CB411C">
            <w:pPr>
              <w:ind w:left="174" w:hangingChars="83" w:hanging="174"/>
            </w:pPr>
            <w:r w:rsidRPr="00A86F11">
              <w:t>5. Discussion</w:t>
            </w:r>
          </w:p>
          <w:p w14:paraId="12FD54A8" w14:textId="6B857F84" w:rsidR="00434AD8" w:rsidRPr="00A86F11" w:rsidRDefault="00434AD8" w:rsidP="00CB411C">
            <w:pPr>
              <w:ind w:left="174" w:hangingChars="83" w:hanging="174"/>
            </w:pPr>
            <w:r w:rsidRPr="00A86F11">
              <w:t>5.</w:t>
            </w:r>
            <w:r w:rsidRPr="00A86F11">
              <w:rPr>
                <w:rFonts w:hint="eastAsia"/>
              </w:rPr>
              <w:t>1</w:t>
            </w:r>
            <w:r w:rsidRPr="00A86F11">
              <w:t xml:space="preserve"> Relationship between SBL and </w:t>
            </w:r>
            <w:r w:rsidRPr="00A86F11">
              <w:lastRenderedPageBreak/>
              <w:t>volcanic activity</w:t>
            </w:r>
          </w:p>
          <w:p w14:paraId="1BA57D9C" w14:textId="13AFBF8B" w:rsidR="00434AD8" w:rsidRPr="00A86F11" w:rsidRDefault="00434AD8" w:rsidP="00CB411C">
            <w:pPr>
              <w:ind w:left="174" w:hangingChars="83" w:hanging="174"/>
            </w:pPr>
            <w:r w:rsidRPr="00A86F11">
              <w:t>5.</w:t>
            </w:r>
            <w:r w:rsidRPr="00A86F11">
              <w:rPr>
                <w:rFonts w:hint="eastAsia"/>
              </w:rPr>
              <w:t>1</w:t>
            </w:r>
            <w:r w:rsidRPr="00A86F11">
              <w:t xml:space="preserve">.1 </w:t>
            </w:r>
            <w:r w:rsidR="00E54E0C" w:rsidRPr="00A86F11">
              <w:rPr>
                <w:rFonts w:hint="eastAsia"/>
              </w:rPr>
              <w:t xml:space="preserve">The </w:t>
            </w:r>
            <w:r w:rsidRPr="00A86F11">
              <w:t>2014 and 2018 unrest</w:t>
            </w:r>
          </w:p>
          <w:p w14:paraId="7B070250" w14:textId="5EC8FD6A" w:rsidR="00434AD8" w:rsidRPr="00A86F11" w:rsidRDefault="00434AD8" w:rsidP="00CB411C">
            <w:pPr>
              <w:ind w:left="174" w:hangingChars="83" w:hanging="174"/>
            </w:pPr>
            <w:r w:rsidRPr="00A86F11">
              <w:t>5.</w:t>
            </w:r>
            <w:r w:rsidRPr="00A86F11">
              <w:rPr>
                <w:rFonts w:hint="eastAsia"/>
              </w:rPr>
              <w:t>1</w:t>
            </w:r>
            <w:r w:rsidRPr="00A86F11">
              <w:t>.2 Before 2014 unrest</w:t>
            </w:r>
          </w:p>
          <w:p w14:paraId="52D089B1" w14:textId="414EEF8E" w:rsidR="00434AD8" w:rsidRPr="00A86F11" w:rsidRDefault="00434AD8" w:rsidP="00CB411C">
            <w:pPr>
              <w:ind w:left="174" w:hangingChars="83" w:hanging="174"/>
            </w:pPr>
            <w:r w:rsidRPr="00A86F11">
              <w:t>5.</w:t>
            </w:r>
            <w:r w:rsidRPr="00A86F11">
              <w:rPr>
                <w:rFonts w:hint="eastAsia"/>
              </w:rPr>
              <w:t>2</w:t>
            </w:r>
            <w:r w:rsidRPr="00A86F11">
              <w:t xml:space="preserve"> Possible mechanism of the SBL vibrations</w:t>
            </w:r>
          </w:p>
          <w:p w14:paraId="2F54F8FF" w14:textId="04BCD804" w:rsidR="00434AD8" w:rsidRPr="00A86F11" w:rsidRDefault="00C16D2A" w:rsidP="003B2556">
            <w:pPr>
              <w:ind w:leftChars="150" w:left="598" w:hangingChars="135" w:hanging="283"/>
              <w:rPr>
                <w:b/>
                <w:bCs/>
              </w:rPr>
            </w:pPr>
            <w:r w:rsidRPr="00A86F11">
              <w:t>Preliminary examination of the source region of the SBL vibrations</w:t>
            </w:r>
          </w:p>
          <w:p w14:paraId="2D6C7399" w14:textId="2E7D3FF8" w:rsidR="00504A8F" w:rsidRPr="00A86F11" w:rsidRDefault="00504A8F" w:rsidP="003B2556">
            <w:pPr>
              <w:ind w:leftChars="150" w:left="315"/>
            </w:pPr>
            <w:r w:rsidRPr="00A86F11">
              <w:rPr>
                <w:rFonts w:hint="eastAsia"/>
              </w:rPr>
              <w:t>Possible interpretation of the SBL ratio changes</w:t>
            </w:r>
          </w:p>
          <w:p w14:paraId="61EEE74F" w14:textId="177638C4" w:rsidR="00434AD8" w:rsidRPr="00A86F11" w:rsidRDefault="00434AD8" w:rsidP="003B2556">
            <w:pPr>
              <w:ind w:leftChars="150" w:left="315"/>
              <w:rPr>
                <w:b/>
                <w:bCs/>
              </w:rPr>
            </w:pPr>
            <w:r w:rsidRPr="00A86F11">
              <w:t>Possible</w:t>
            </w:r>
            <w:r w:rsidRPr="00A86F11">
              <w:rPr>
                <w:rFonts w:hint="eastAsia"/>
              </w:rPr>
              <w:t xml:space="preserve"> mechanism</w:t>
            </w:r>
          </w:p>
          <w:p w14:paraId="2F1C0DDB" w14:textId="77777777" w:rsidR="00434AD8" w:rsidRPr="00A86F11" w:rsidRDefault="00434AD8" w:rsidP="00D128D5">
            <w:pPr>
              <w:rPr>
                <w:b/>
                <w:bCs/>
              </w:rPr>
            </w:pPr>
          </w:p>
          <w:p w14:paraId="1212488C" w14:textId="02375578" w:rsidR="00434AD8" w:rsidRPr="00A86F11" w:rsidRDefault="00434AD8" w:rsidP="00D128D5">
            <w:pPr>
              <w:rPr>
                <w:b/>
                <w:bCs/>
              </w:rPr>
            </w:pPr>
          </w:p>
        </w:tc>
        <w:tc>
          <w:tcPr>
            <w:tcW w:w="3889" w:type="dxa"/>
          </w:tcPr>
          <w:p w14:paraId="2439D9AC" w14:textId="77777777" w:rsidR="00434AD8" w:rsidRPr="00A86F11" w:rsidRDefault="00434AD8" w:rsidP="00D128D5">
            <w:r w:rsidRPr="00A86F11">
              <w:lastRenderedPageBreak/>
              <w:t>5. Discussion</w:t>
            </w:r>
          </w:p>
          <w:p w14:paraId="1DD1480D" w14:textId="77777777" w:rsidR="00434AD8" w:rsidRPr="00A86F11" w:rsidRDefault="00434AD8" w:rsidP="00D128D5">
            <w:r w:rsidRPr="00A86F11">
              <w:t xml:space="preserve">5.1 Relationship between SBL and </w:t>
            </w:r>
            <w:r w:rsidRPr="00A86F11">
              <w:lastRenderedPageBreak/>
              <w:t>volcanic activity</w:t>
            </w:r>
          </w:p>
          <w:p w14:paraId="427191CD" w14:textId="77777777" w:rsidR="00434AD8" w:rsidRPr="00A86F11" w:rsidRDefault="00434AD8" w:rsidP="00D128D5">
            <w:r w:rsidRPr="00A86F11">
              <w:t>5.1.1 2014 and 2018 unrest</w:t>
            </w:r>
          </w:p>
          <w:p w14:paraId="4FF78BC0" w14:textId="77777777" w:rsidR="00434AD8" w:rsidRPr="00A86F11" w:rsidRDefault="00434AD8" w:rsidP="00D128D5">
            <w:r w:rsidRPr="00A86F11">
              <w:t>5.1.2 Before 2014 unrest</w:t>
            </w:r>
          </w:p>
          <w:p w14:paraId="08846FB0" w14:textId="77777777" w:rsidR="00434AD8" w:rsidRPr="00A86F11" w:rsidRDefault="00434AD8" w:rsidP="00D128D5">
            <w:r w:rsidRPr="00A86F11">
              <w:t>5.2 Location of the SBL vibrations source</w:t>
            </w:r>
          </w:p>
          <w:p w14:paraId="17B26D57" w14:textId="77777777" w:rsidR="00434AD8" w:rsidRPr="00A86F11" w:rsidRDefault="00434AD8" w:rsidP="00D128D5">
            <w:r w:rsidRPr="00A86F11">
              <w:t>5.2.1 Polarization analysis</w:t>
            </w:r>
          </w:p>
          <w:p w14:paraId="1EB62C0D" w14:textId="77777777" w:rsidR="00434AD8" w:rsidRPr="00A86F11" w:rsidRDefault="00434AD8" w:rsidP="00D128D5">
            <w:r w:rsidRPr="00A86F11">
              <w:t>5.2.2 A slight difference of the location of SBL vibrations and causes of normalized SBL ratio changes</w:t>
            </w:r>
          </w:p>
          <w:p w14:paraId="6275DE80" w14:textId="35BE8BE6" w:rsidR="00434AD8" w:rsidRPr="00A86F11" w:rsidRDefault="00434AD8" w:rsidP="00D128D5">
            <w:r w:rsidRPr="00A86F11">
              <w:t>5.3 Possible mechanism of the SBL vibrations</w:t>
            </w:r>
          </w:p>
        </w:tc>
      </w:tr>
      <w:tr w:rsidR="00434AD8" w:rsidRPr="00A86F11" w14:paraId="51FEA77B" w14:textId="77777777" w:rsidTr="00F825E9">
        <w:tc>
          <w:tcPr>
            <w:tcW w:w="988" w:type="dxa"/>
          </w:tcPr>
          <w:p w14:paraId="55A06277" w14:textId="4A87F2D7" w:rsidR="00434AD8" w:rsidRPr="00A86F11" w:rsidRDefault="00434AD8" w:rsidP="00D128D5">
            <w:r w:rsidRPr="00A86F11">
              <w:rPr>
                <w:rFonts w:hint="eastAsia"/>
              </w:rPr>
              <w:lastRenderedPageBreak/>
              <w:t>6</w:t>
            </w:r>
          </w:p>
        </w:tc>
        <w:tc>
          <w:tcPr>
            <w:tcW w:w="3617" w:type="dxa"/>
          </w:tcPr>
          <w:p w14:paraId="44009821" w14:textId="6CB64B83" w:rsidR="00434AD8" w:rsidRPr="00A86F11" w:rsidRDefault="00E0250C" w:rsidP="00D128D5">
            <w:r w:rsidRPr="00A86F11">
              <w:t>6. Conclusion</w:t>
            </w:r>
          </w:p>
        </w:tc>
        <w:tc>
          <w:tcPr>
            <w:tcW w:w="3889" w:type="dxa"/>
          </w:tcPr>
          <w:p w14:paraId="65D9076C" w14:textId="17591CD0" w:rsidR="00434AD8" w:rsidRPr="00A86F11" w:rsidRDefault="00434AD8" w:rsidP="00D128D5">
            <w:r w:rsidRPr="00A86F11">
              <w:t>6. Conclusion</w:t>
            </w:r>
          </w:p>
        </w:tc>
      </w:tr>
      <w:tr w:rsidR="00434AD8" w:rsidRPr="00A86F11" w14:paraId="5F9D8E6E" w14:textId="77777777" w:rsidTr="00F825E9">
        <w:tc>
          <w:tcPr>
            <w:tcW w:w="988" w:type="dxa"/>
          </w:tcPr>
          <w:p w14:paraId="45C939F3" w14:textId="2AF37141" w:rsidR="00434AD8" w:rsidRPr="00A86F11" w:rsidRDefault="00434AD8" w:rsidP="00D128D5">
            <w:r w:rsidRPr="00A86F11">
              <w:rPr>
                <w:rFonts w:hint="eastAsia"/>
              </w:rPr>
              <w:t>A</w:t>
            </w:r>
            <w:r w:rsidR="001451A4" w:rsidRPr="00A86F11">
              <w:rPr>
                <w:rFonts w:hint="eastAsia"/>
              </w:rPr>
              <w:t>ppx.</w:t>
            </w:r>
            <w:r w:rsidR="00EE584C" w:rsidRPr="00A86F11">
              <w:rPr>
                <w:rFonts w:hint="eastAsia"/>
              </w:rPr>
              <w:t xml:space="preserve"> </w:t>
            </w:r>
            <w:r w:rsidR="001451A4" w:rsidRPr="00A86F11">
              <w:rPr>
                <w:rFonts w:hint="eastAsia"/>
              </w:rPr>
              <w:t>A</w:t>
            </w:r>
          </w:p>
        </w:tc>
        <w:tc>
          <w:tcPr>
            <w:tcW w:w="3617" w:type="dxa"/>
          </w:tcPr>
          <w:p w14:paraId="5ABFAF8E" w14:textId="39C196A1" w:rsidR="00434AD8" w:rsidRPr="00A86F11" w:rsidRDefault="002F31BD" w:rsidP="00D128D5">
            <w:r w:rsidRPr="00A86F11">
              <w:rPr>
                <w:rFonts w:hint="eastAsia"/>
              </w:rPr>
              <w:t>moved</w:t>
            </w:r>
            <w:r w:rsidR="00D27DE0" w:rsidRPr="00A86F11">
              <w:t xml:space="preserve"> to the </w:t>
            </w:r>
            <w:r w:rsidRPr="00A86F11">
              <w:rPr>
                <w:rFonts w:hint="eastAsia"/>
              </w:rPr>
              <w:t>S</w:t>
            </w:r>
            <w:r w:rsidR="00D27DE0" w:rsidRPr="00A86F11">
              <w:t xml:space="preserve">upplementary </w:t>
            </w:r>
            <w:r w:rsidRPr="00A86F11">
              <w:rPr>
                <w:rFonts w:hint="eastAsia"/>
              </w:rPr>
              <w:t>Information</w:t>
            </w:r>
            <w:r w:rsidR="0090768C" w:rsidRPr="00A86F11">
              <w:rPr>
                <w:rFonts w:hint="eastAsia"/>
              </w:rPr>
              <w:t xml:space="preserve"> (Section S6)</w:t>
            </w:r>
          </w:p>
        </w:tc>
        <w:tc>
          <w:tcPr>
            <w:tcW w:w="3889" w:type="dxa"/>
          </w:tcPr>
          <w:p w14:paraId="1A9E90DB" w14:textId="77777777" w:rsidR="00434AD8" w:rsidRPr="00A86F11" w:rsidRDefault="00434AD8" w:rsidP="00D128D5">
            <w:r w:rsidRPr="00A86F11">
              <w:t>Appendix A: Ground deformation</w:t>
            </w:r>
          </w:p>
          <w:p w14:paraId="20A8882B" w14:textId="77777777" w:rsidR="00434AD8" w:rsidRPr="00A86F11" w:rsidRDefault="00434AD8" w:rsidP="00D128D5">
            <w:r w:rsidRPr="00A86F11">
              <w:t>A1. ground deformation by volcanic activity of Kusatsu-Shirane, Yugama area</w:t>
            </w:r>
          </w:p>
          <w:p w14:paraId="48AEDE6F" w14:textId="77777777" w:rsidR="00434AD8" w:rsidRPr="00A86F11" w:rsidRDefault="00434AD8" w:rsidP="00D128D5">
            <w:r w:rsidRPr="00A86F11">
              <w:t>Shallow source beneath Yugama crater lake</w:t>
            </w:r>
          </w:p>
          <w:p w14:paraId="06BEC523" w14:textId="5AF31BB7" w:rsidR="00434AD8" w:rsidRPr="00A86F11" w:rsidRDefault="00434AD8" w:rsidP="00D128D5">
            <w:r w:rsidRPr="00A86F11">
              <w:t>Deep source at approximately 2km northwest from the Yugama area</w:t>
            </w:r>
          </w:p>
        </w:tc>
      </w:tr>
      <w:tr w:rsidR="00434AD8" w:rsidRPr="00A86F11" w14:paraId="16BF9956" w14:textId="77777777" w:rsidTr="00F825E9">
        <w:tc>
          <w:tcPr>
            <w:tcW w:w="988" w:type="dxa"/>
          </w:tcPr>
          <w:p w14:paraId="2EEDB0E1" w14:textId="584C8D13" w:rsidR="00434AD8" w:rsidRPr="00A86F11" w:rsidRDefault="001451A4" w:rsidP="00D128D5">
            <w:r w:rsidRPr="00A86F11">
              <w:rPr>
                <w:rFonts w:hint="eastAsia"/>
              </w:rPr>
              <w:t>Appx.</w:t>
            </w:r>
            <w:r w:rsidR="00EE584C" w:rsidRPr="00A86F11">
              <w:rPr>
                <w:rFonts w:hint="eastAsia"/>
              </w:rPr>
              <w:t xml:space="preserve"> </w:t>
            </w:r>
            <w:r w:rsidR="00434AD8" w:rsidRPr="00A86F11">
              <w:rPr>
                <w:rFonts w:hint="eastAsia"/>
              </w:rPr>
              <w:t>B</w:t>
            </w:r>
          </w:p>
        </w:tc>
        <w:tc>
          <w:tcPr>
            <w:tcW w:w="3617" w:type="dxa"/>
          </w:tcPr>
          <w:p w14:paraId="1ED911F9" w14:textId="1E65EBD2" w:rsidR="00434AD8" w:rsidRPr="00A86F11" w:rsidRDefault="002F31BD" w:rsidP="00D128D5">
            <w:r w:rsidRPr="00A86F11">
              <w:rPr>
                <w:rFonts w:hint="eastAsia"/>
              </w:rPr>
              <w:t>moved</w:t>
            </w:r>
            <w:r w:rsidRPr="00A86F11">
              <w:t xml:space="preserve"> to the </w:t>
            </w:r>
            <w:r w:rsidRPr="00A86F11">
              <w:rPr>
                <w:rFonts w:hint="eastAsia"/>
              </w:rPr>
              <w:t>S</w:t>
            </w:r>
            <w:r w:rsidRPr="00A86F11">
              <w:t xml:space="preserve">upplementary </w:t>
            </w:r>
            <w:r w:rsidRPr="00A86F11">
              <w:rPr>
                <w:rFonts w:hint="eastAsia"/>
              </w:rPr>
              <w:t>Information</w:t>
            </w:r>
            <w:r w:rsidR="0090768C" w:rsidRPr="00A86F11">
              <w:rPr>
                <w:rFonts w:hint="eastAsia"/>
              </w:rPr>
              <w:t xml:space="preserve"> (Section S7)</w:t>
            </w:r>
          </w:p>
        </w:tc>
        <w:tc>
          <w:tcPr>
            <w:tcW w:w="3889" w:type="dxa"/>
          </w:tcPr>
          <w:p w14:paraId="37213CF0" w14:textId="77777777" w:rsidR="00434AD8" w:rsidRPr="00A86F11" w:rsidRDefault="00434AD8" w:rsidP="00D128D5">
            <w:r w:rsidRPr="00A86F11">
              <w:t>Appendix B: Polarization analysis of SBL vibrations</w:t>
            </w:r>
          </w:p>
          <w:p w14:paraId="55052687" w14:textId="77777777" w:rsidR="00434AD8" w:rsidRPr="00A86F11" w:rsidRDefault="00434AD8" w:rsidP="00D128D5">
            <w:r w:rsidRPr="00A86F11">
              <w:t>B1. Method</w:t>
            </w:r>
          </w:p>
          <w:p w14:paraId="0893520E" w14:textId="26E23A12" w:rsidR="00434AD8" w:rsidRPr="00A86F11" w:rsidRDefault="00434AD8" w:rsidP="00D128D5">
            <w:r w:rsidRPr="00A86F11">
              <w:t>B2. Result</w:t>
            </w:r>
          </w:p>
        </w:tc>
      </w:tr>
    </w:tbl>
    <w:p w14:paraId="152AE769" w14:textId="77777777" w:rsidR="009A2C61" w:rsidRPr="00A86F11" w:rsidRDefault="009A2C61" w:rsidP="007C10A4"/>
    <w:p w14:paraId="0C63EBA4" w14:textId="77777777" w:rsidR="00EE492C" w:rsidRPr="00A86F11" w:rsidRDefault="00EE492C">
      <w:pPr>
        <w:widowControl/>
        <w:jc w:val="left"/>
      </w:pPr>
      <w:r w:rsidRPr="00A86F11">
        <w:br w:type="page"/>
      </w:r>
    </w:p>
    <w:p w14:paraId="08CE9A6F" w14:textId="058F318F" w:rsidR="008A5695" w:rsidRPr="00A86F11" w:rsidRDefault="008A5695" w:rsidP="008A5695">
      <w:pPr>
        <w:rPr>
          <w:b/>
          <w:bCs/>
        </w:rPr>
      </w:pPr>
      <w:r w:rsidRPr="00A86F11">
        <w:rPr>
          <w:rFonts w:hint="eastAsia"/>
          <w:b/>
          <w:bCs/>
        </w:rPr>
        <w:lastRenderedPageBreak/>
        <w:t>[Comment 2]</w:t>
      </w:r>
    </w:p>
    <w:p w14:paraId="324D765E" w14:textId="72B637FC" w:rsidR="007C10A4" w:rsidRPr="00A86F11" w:rsidRDefault="007C10A4" w:rsidP="007C10A4">
      <w:r w:rsidRPr="00A86F11">
        <w:t>Line 63: please change "volcanic seismic" to "</w:t>
      </w:r>
      <w:proofErr w:type="spellStart"/>
      <w:r w:rsidRPr="00A86F11">
        <w:t>volcanoseismic</w:t>
      </w:r>
      <w:proofErr w:type="spellEnd"/>
      <w:r w:rsidRPr="00A86F11">
        <w:t>"</w:t>
      </w:r>
    </w:p>
    <w:p w14:paraId="60C2B5A2" w14:textId="77777777" w:rsidR="007C10A4" w:rsidRPr="00A86F11" w:rsidRDefault="007C10A4" w:rsidP="007C10A4"/>
    <w:p w14:paraId="14AA89C4" w14:textId="6D73ECCE" w:rsidR="00067B73" w:rsidRPr="00A86F11" w:rsidRDefault="00067B73" w:rsidP="007C10A4">
      <w:pPr>
        <w:rPr>
          <w:b/>
          <w:bCs/>
        </w:rPr>
      </w:pPr>
      <w:r w:rsidRPr="00A86F11">
        <w:rPr>
          <w:rFonts w:hint="eastAsia"/>
          <w:b/>
          <w:bCs/>
        </w:rPr>
        <w:t>Response:</w:t>
      </w:r>
    </w:p>
    <w:p w14:paraId="4F446F42" w14:textId="77777777" w:rsidR="00DC135F" w:rsidRPr="00A86F11" w:rsidRDefault="00DC135F" w:rsidP="00DC135F">
      <w:r w:rsidRPr="00A86F11">
        <w:t>We thank the reviewer for this comment.</w:t>
      </w:r>
    </w:p>
    <w:p w14:paraId="3EC5DFE7" w14:textId="7E403787" w:rsidR="00100A09" w:rsidRPr="00A86F11" w:rsidRDefault="00DC135F" w:rsidP="00DC135F">
      <w:r w:rsidRPr="00A86F11">
        <w:t>We have revised the manuscript accordingly.</w:t>
      </w:r>
    </w:p>
    <w:p w14:paraId="446514EE" w14:textId="77777777" w:rsidR="00100A09" w:rsidRPr="00A86F11" w:rsidRDefault="00100A09" w:rsidP="007C10A4"/>
    <w:p w14:paraId="7069426B" w14:textId="77777777" w:rsidR="00D04808" w:rsidRPr="00A86F11" w:rsidRDefault="00D04808" w:rsidP="007C10A4"/>
    <w:p w14:paraId="799E89AA" w14:textId="77777777" w:rsidR="00D04808" w:rsidRPr="00A86F11" w:rsidRDefault="00D04808" w:rsidP="007C10A4"/>
    <w:p w14:paraId="616CF099" w14:textId="42AF3849" w:rsidR="008A5695" w:rsidRPr="00A86F11" w:rsidRDefault="008A5695" w:rsidP="008A5695">
      <w:pPr>
        <w:rPr>
          <w:b/>
          <w:bCs/>
        </w:rPr>
      </w:pPr>
      <w:r w:rsidRPr="00A86F11">
        <w:rPr>
          <w:rFonts w:hint="eastAsia"/>
          <w:b/>
          <w:bCs/>
        </w:rPr>
        <w:t>[Comment 3]</w:t>
      </w:r>
    </w:p>
    <w:p w14:paraId="28BEFE9D" w14:textId="646D00DF" w:rsidR="007C10A4" w:rsidRPr="00A86F11" w:rsidRDefault="007C10A4" w:rsidP="007C10A4">
      <w:r w:rsidRPr="00A86F11">
        <w:t>Line 109: please delete "volcano" after Kusatsu-Shirane.</w:t>
      </w:r>
    </w:p>
    <w:p w14:paraId="7CF85033" w14:textId="77777777" w:rsidR="008A5695" w:rsidRPr="00A86F11" w:rsidRDefault="008A5695" w:rsidP="008A5695">
      <w:pPr>
        <w:rPr>
          <w:b/>
          <w:bCs/>
        </w:rPr>
      </w:pPr>
    </w:p>
    <w:p w14:paraId="1666FFA9" w14:textId="086ABB2F" w:rsidR="00067B73" w:rsidRPr="00A86F11" w:rsidRDefault="00067B73" w:rsidP="008A5695">
      <w:pPr>
        <w:rPr>
          <w:b/>
          <w:bCs/>
        </w:rPr>
      </w:pPr>
      <w:r w:rsidRPr="00A86F11">
        <w:rPr>
          <w:rFonts w:hint="eastAsia"/>
          <w:b/>
          <w:bCs/>
        </w:rPr>
        <w:t>Response:</w:t>
      </w:r>
    </w:p>
    <w:p w14:paraId="09DB1D2E" w14:textId="77777777" w:rsidR="0074438C" w:rsidRPr="00A86F11" w:rsidRDefault="0074438C" w:rsidP="0074438C">
      <w:r w:rsidRPr="00A86F11">
        <w:t>We thank the reviewer for this comment.</w:t>
      </w:r>
    </w:p>
    <w:p w14:paraId="35FB2E26" w14:textId="77777777" w:rsidR="0074438C" w:rsidRPr="00A86F11" w:rsidRDefault="0074438C" w:rsidP="0074438C">
      <w:r w:rsidRPr="00A86F11">
        <w:t>We have revised the manuscript accordingly.</w:t>
      </w:r>
    </w:p>
    <w:p w14:paraId="32118DFA" w14:textId="77777777" w:rsidR="0074438C" w:rsidRPr="00A86F11" w:rsidRDefault="0074438C" w:rsidP="008A5695">
      <w:pPr>
        <w:rPr>
          <w:b/>
          <w:bCs/>
        </w:rPr>
      </w:pPr>
    </w:p>
    <w:p w14:paraId="6851168D" w14:textId="77777777" w:rsidR="0074438C" w:rsidRPr="00A86F11" w:rsidRDefault="0074438C" w:rsidP="008A5695">
      <w:pPr>
        <w:rPr>
          <w:b/>
          <w:bCs/>
        </w:rPr>
      </w:pPr>
    </w:p>
    <w:p w14:paraId="6CC6204A" w14:textId="77777777" w:rsidR="00D04808" w:rsidRPr="00A86F11" w:rsidRDefault="00D04808" w:rsidP="008A5695">
      <w:pPr>
        <w:rPr>
          <w:b/>
          <w:bCs/>
        </w:rPr>
      </w:pPr>
    </w:p>
    <w:p w14:paraId="570F219C" w14:textId="2F18C94B" w:rsidR="008A5695" w:rsidRPr="00A86F11" w:rsidRDefault="008A5695" w:rsidP="008A5695">
      <w:pPr>
        <w:rPr>
          <w:b/>
          <w:bCs/>
        </w:rPr>
      </w:pPr>
      <w:r w:rsidRPr="00A86F11">
        <w:rPr>
          <w:rFonts w:hint="eastAsia"/>
          <w:b/>
          <w:bCs/>
        </w:rPr>
        <w:t>[Comment 4]</w:t>
      </w:r>
    </w:p>
    <w:p w14:paraId="5E8E17A4" w14:textId="5838A996" w:rsidR="007C10A4" w:rsidRPr="00A86F11" w:rsidRDefault="007C10A4" w:rsidP="007C10A4">
      <w:r w:rsidRPr="00A86F11">
        <w:t>Occurrences of VLP signals prior to phreatic eruptions have been recently reviewed by Konstantinou (2023), please add the reference in lines 129-132.</w:t>
      </w:r>
    </w:p>
    <w:p w14:paraId="5FB08054" w14:textId="77777777" w:rsidR="00E94BFC" w:rsidRPr="00A86F11" w:rsidRDefault="00E94BFC" w:rsidP="00E94BFC">
      <w:r w:rsidRPr="00A86F11">
        <w:t>REFERENCE</w:t>
      </w:r>
    </w:p>
    <w:p w14:paraId="0C2DDA54" w14:textId="113811ED" w:rsidR="007C10A4" w:rsidRPr="00A86F11" w:rsidRDefault="00E94BFC" w:rsidP="00E94BFC">
      <w:r w:rsidRPr="00A86F11">
        <w:t xml:space="preserve">Konstantinou, K.I. A Review of the Source Characteristics and Physical Mechanisms of Very Long Period (VLP) Seismic Signals at Active Volcanoes. </w:t>
      </w:r>
      <w:proofErr w:type="spellStart"/>
      <w:r w:rsidRPr="00A86F11">
        <w:t>Surv</w:t>
      </w:r>
      <w:proofErr w:type="spellEnd"/>
      <w:r w:rsidRPr="00A86F11">
        <w:t xml:space="preserve"> </w:t>
      </w:r>
      <w:proofErr w:type="spellStart"/>
      <w:r w:rsidRPr="00A86F11">
        <w:t>Geophys</w:t>
      </w:r>
      <w:proofErr w:type="spellEnd"/>
      <w:r w:rsidRPr="00A86F11">
        <w:t xml:space="preserve"> 45, 117-149 (2024). https://doi.org/10.1007/s10712-023-09800-0</w:t>
      </w:r>
    </w:p>
    <w:p w14:paraId="4AE81CB5" w14:textId="77777777" w:rsidR="00067B73" w:rsidRPr="00A86F11" w:rsidRDefault="00067B73" w:rsidP="00567D5E"/>
    <w:p w14:paraId="78441875" w14:textId="676B280E" w:rsidR="00067B73" w:rsidRPr="00A86F11" w:rsidRDefault="00067B73" w:rsidP="00567D5E">
      <w:pPr>
        <w:rPr>
          <w:b/>
          <w:bCs/>
        </w:rPr>
      </w:pPr>
      <w:r w:rsidRPr="00A86F11">
        <w:rPr>
          <w:rFonts w:hint="eastAsia"/>
          <w:b/>
          <w:bCs/>
        </w:rPr>
        <w:t>Response:</w:t>
      </w:r>
    </w:p>
    <w:p w14:paraId="2FA1D5DC" w14:textId="45A223CC" w:rsidR="00567D5E" w:rsidRPr="00A86F11" w:rsidRDefault="00567D5E" w:rsidP="00567D5E">
      <w:r w:rsidRPr="00A86F11">
        <w:t>We thank the reviewer for this helpful comment.</w:t>
      </w:r>
    </w:p>
    <w:p w14:paraId="46BF7ADF" w14:textId="51659D54" w:rsidR="00567D5E" w:rsidRPr="00A86F11" w:rsidRDefault="00567D5E" w:rsidP="00567D5E">
      <w:r w:rsidRPr="00A86F11">
        <w:t>We have added the suggested reference in the revised manuscript.</w:t>
      </w:r>
    </w:p>
    <w:p w14:paraId="3115EB69" w14:textId="77777777" w:rsidR="00B14AA2" w:rsidRPr="00A86F11" w:rsidRDefault="00B14AA2" w:rsidP="00B14AA2"/>
    <w:p w14:paraId="4C763BE3" w14:textId="77777777" w:rsidR="00A237D6" w:rsidRPr="00A86F11" w:rsidRDefault="00A237D6">
      <w:pPr>
        <w:widowControl/>
        <w:jc w:val="left"/>
        <w:rPr>
          <w:b/>
          <w:bCs/>
        </w:rPr>
      </w:pPr>
      <w:r w:rsidRPr="00A86F11">
        <w:rPr>
          <w:b/>
          <w:bCs/>
        </w:rPr>
        <w:br w:type="page"/>
      </w:r>
    </w:p>
    <w:p w14:paraId="10CEC433" w14:textId="3BD09879" w:rsidR="008A5695" w:rsidRPr="00A86F11" w:rsidRDefault="008A5695" w:rsidP="008A5695">
      <w:pPr>
        <w:rPr>
          <w:b/>
          <w:bCs/>
        </w:rPr>
      </w:pPr>
      <w:r w:rsidRPr="00A86F11">
        <w:rPr>
          <w:rFonts w:hint="eastAsia"/>
          <w:b/>
          <w:bCs/>
        </w:rPr>
        <w:lastRenderedPageBreak/>
        <w:t>[Comment 5]</w:t>
      </w:r>
    </w:p>
    <w:p w14:paraId="561D83A2" w14:textId="4649AFA9" w:rsidR="007C10A4" w:rsidRPr="00A86F11" w:rsidRDefault="007C10A4" w:rsidP="007C10A4">
      <w:r w:rsidRPr="00A86F11">
        <w:t>Line 193: please change "associate" to "associated".</w:t>
      </w:r>
    </w:p>
    <w:p w14:paraId="74CBB6D1" w14:textId="77777777" w:rsidR="00BE0A97" w:rsidRPr="00A86F11" w:rsidRDefault="00BE0A97" w:rsidP="007C10A4">
      <w:pPr>
        <w:rPr>
          <w:b/>
          <w:bCs/>
        </w:rPr>
      </w:pPr>
    </w:p>
    <w:p w14:paraId="4F62A5B3" w14:textId="167BA836" w:rsidR="00067B73" w:rsidRPr="00A86F11" w:rsidRDefault="00067B73" w:rsidP="007C10A4">
      <w:pPr>
        <w:rPr>
          <w:b/>
          <w:bCs/>
        </w:rPr>
      </w:pPr>
      <w:r w:rsidRPr="00A86F11">
        <w:rPr>
          <w:rFonts w:hint="eastAsia"/>
          <w:b/>
          <w:bCs/>
        </w:rPr>
        <w:t>Response:</w:t>
      </w:r>
    </w:p>
    <w:p w14:paraId="542FA220" w14:textId="77777777" w:rsidR="00BE0A97" w:rsidRPr="00A86F11" w:rsidRDefault="00BE0A97" w:rsidP="00BE0A97">
      <w:r w:rsidRPr="00A86F11">
        <w:t>We thank the reviewer for this comment.</w:t>
      </w:r>
    </w:p>
    <w:p w14:paraId="426B8A8E" w14:textId="7C0EC757" w:rsidR="00BE0A97" w:rsidRPr="00A86F11" w:rsidRDefault="007D7FF4" w:rsidP="00BE0A97">
      <w:r w:rsidRPr="00A86F11">
        <w:t>The relevant sentence has been removed in the revised manuscript as part of the restructuring of the text.</w:t>
      </w:r>
    </w:p>
    <w:p w14:paraId="5E8E01A3" w14:textId="616F7BAA" w:rsidR="001B03FE" w:rsidRPr="00A86F11" w:rsidRDefault="001B03FE">
      <w:pPr>
        <w:widowControl/>
        <w:jc w:val="left"/>
      </w:pPr>
    </w:p>
    <w:p w14:paraId="40672353" w14:textId="77777777" w:rsidR="005065B7" w:rsidRPr="00A86F11" w:rsidRDefault="005065B7">
      <w:pPr>
        <w:widowControl/>
        <w:jc w:val="left"/>
      </w:pPr>
    </w:p>
    <w:p w14:paraId="08267525" w14:textId="77777777" w:rsidR="005065B7" w:rsidRPr="00A86F11" w:rsidRDefault="005065B7">
      <w:pPr>
        <w:widowControl/>
        <w:jc w:val="left"/>
      </w:pPr>
    </w:p>
    <w:p w14:paraId="394CB6A6" w14:textId="65654DFC" w:rsidR="009C6C5C" w:rsidRPr="00A86F11" w:rsidRDefault="009C6C5C" w:rsidP="009C6C5C">
      <w:pPr>
        <w:rPr>
          <w:b/>
          <w:bCs/>
        </w:rPr>
      </w:pPr>
      <w:r w:rsidRPr="00A86F11">
        <w:rPr>
          <w:rFonts w:hint="eastAsia"/>
          <w:b/>
          <w:bCs/>
        </w:rPr>
        <w:t>[Comment 6]</w:t>
      </w:r>
    </w:p>
    <w:p w14:paraId="20159E27" w14:textId="4E3A50AD" w:rsidR="007C10A4" w:rsidRPr="00A86F11" w:rsidRDefault="007C10A4" w:rsidP="007C10A4">
      <w:r w:rsidRPr="00A86F11">
        <w:t>Lines 198-200: The choice of the 20th percentile seems reasonable, but I still think that it needs to be shown that it is not critical to the obtained results. I would suggest you use some other percentile as a sensitivity analysis and include the results in the supplementary material.</w:t>
      </w:r>
    </w:p>
    <w:p w14:paraId="78610C3D" w14:textId="77777777" w:rsidR="007C10A4" w:rsidRPr="00A86F11" w:rsidRDefault="007C10A4" w:rsidP="007C10A4"/>
    <w:p w14:paraId="0EF1F7D3" w14:textId="20F0CD7A" w:rsidR="000731BC" w:rsidRPr="00A86F11" w:rsidRDefault="00067B73" w:rsidP="007C10A4">
      <w:pPr>
        <w:rPr>
          <w:b/>
          <w:bCs/>
          <w:noProof/>
        </w:rPr>
      </w:pPr>
      <w:r w:rsidRPr="00A86F11">
        <w:rPr>
          <w:rFonts w:hint="eastAsia"/>
          <w:b/>
          <w:bCs/>
        </w:rPr>
        <w:t>Response:</w:t>
      </w:r>
    </w:p>
    <w:p w14:paraId="6EC83BD3" w14:textId="77777777" w:rsidR="000731BC" w:rsidRPr="00A86F11" w:rsidRDefault="000731BC" w:rsidP="000731BC">
      <w:pPr>
        <w:rPr>
          <w:noProof/>
        </w:rPr>
      </w:pPr>
      <w:r w:rsidRPr="00A86F11">
        <w:rPr>
          <w:noProof/>
        </w:rPr>
        <w:t>We thank the reviewer for this valuable comment.</w:t>
      </w:r>
    </w:p>
    <w:p w14:paraId="5A3D8547" w14:textId="086D1F0E" w:rsidR="000731BC" w:rsidRPr="00A86F11" w:rsidRDefault="000731BC" w:rsidP="000731BC">
      <w:r w:rsidRPr="00A86F11">
        <w:rPr>
          <w:noProof/>
        </w:rPr>
        <w:t>In response, we conducted a sensitivity analysis to evaluate the effect of percentile selection on the SBL estimation and added the results to the Supplementary Information.</w:t>
      </w:r>
      <w:r w:rsidRPr="00A86F11">
        <w:rPr>
          <w:rFonts w:hint="eastAsia"/>
          <w:noProof/>
        </w:rPr>
        <w:t xml:space="preserve"> </w:t>
      </w:r>
      <w:r w:rsidRPr="00A86F11">
        <w:rPr>
          <w:noProof/>
        </w:rPr>
        <w:t>Specifically, we compared the SBL calculated using different percentiles</w:t>
      </w:r>
      <w:r w:rsidR="008D7EC6" w:rsidRPr="00A86F11">
        <w:rPr>
          <w:noProof/>
        </w:rPr>
        <w:t xml:space="preserve"> (Fig. S</w:t>
      </w:r>
      <w:r w:rsidR="008D7EC6" w:rsidRPr="00A86F11">
        <w:rPr>
          <w:rFonts w:hint="eastAsia"/>
          <w:noProof/>
        </w:rPr>
        <w:t>1</w:t>
      </w:r>
      <w:r w:rsidR="008D7EC6" w:rsidRPr="00A86F11">
        <w:rPr>
          <w:noProof/>
        </w:rPr>
        <w:t>)</w:t>
      </w:r>
      <w:r w:rsidRPr="00A86F11">
        <w:rPr>
          <w:noProof/>
        </w:rPr>
        <w:t>. The results show that while higher percentiles are more strongly affected by seasonal and transient noise, such effects become more pronounced for percentiles above the 40th.</w:t>
      </w:r>
      <w:r w:rsidRPr="00A86F11">
        <w:rPr>
          <w:rFonts w:hint="eastAsia"/>
          <w:noProof/>
        </w:rPr>
        <w:t xml:space="preserve"> </w:t>
      </w:r>
      <w:r w:rsidRPr="00A86F11">
        <w:rPr>
          <w:noProof/>
        </w:rPr>
        <w:t>These results indicate that the use of the 20th percentile provides a stable estimate of the background seismic level while suppressing noise effects.</w:t>
      </w:r>
      <w:r w:rsidRPr="00A86F11">
        <w:t xml:space="preserve"> </w:t>
      </w:r>
    </w:p>
    <w:p w14:paraId="295AA3EC" w14:textId="211AA8A0" w:rsidR="00085014" w:rsidRPr="00A86F11" w:rsidRDefault="00085014">
      <w:pPr>
        <w:widowControl/>
        <w:jc w:val="left"/>
      </w:pPr>
    </w:p>
    <w:p w14:paraId="6E7676F7" w14:textId="77777777" w:rsidR="0025642F" w:rsidRPr="00A86F11" w:rsidRDefault="0025642F">
      <w:pPr>
        <w:widowControl/>
        <w:jc w:val="left"/>
        <w:rPr>
          <w:b/>
          <w:bCs/>
        </w:rPr>
      </w:pPr>
      <w:r w:rsidRPr="00A86F11">
        <w:rPr>
          <w:b/>
          <w:bCs/>
        </w:rPr>
        <w:br w:type="page"/>
      </w:r>
    </w:p>
    <w:p w14:paraId="38443F7F" w14:textId="16C3BEAB" w:rsidR="00E20A27" w:rsidRPr="00A86F11" w:rsidRDefault="00E20A27" w:rsidP="00E20A27">
      <w:pPr>
        <w:rPr>
          <w:b/>
          <w:bCs/>
        </w:rPr>
      </w:pPr>
      <w:r w:rsidRPr="00A86F11">
        <w:rPr>
          <w:rFonts w:hint="eastAsia"/>
          <w:b/>
          <w:bCs/>
        </w:rPr>
        <w:lastRenderedPageBreak/>
        <w:t>[Comment 7]</w:t>
      </w:r>
    </w:p>
    <w:p w14:paraId="3E1F8AB4" w14:textId="60B845E3" w:rsidR="007C10A4" w:rsidRPr="00A86F11" w:rsidRDefault="007C10A4" w:rsidP="007C10A4">
      <w:r w:rsidRPr="00A86F11">
        <w:t>Lines 252-255: My reading of Figure 4c says that KSHA/KSAO ratio goes from low to high values and KSW/KSAO goes the opposite way (from high to low values) after 2018. Please clarify this discrepancy in the text.</w:t>
      </w:r>
    </w:p>
    <w:p w14:paraId="5B18EFAF" w14:textId="77777777" w:rsidR="007C10A4" w:rsidRPr="00A86F11" w:rsidRDefault="007C10A4" w:rsidP="007C10A4"/>
    <w:p w14:paraId="2709FCEB" w14:textId="45389BDD" w:rsidR="00067B73" w:rsidRPr="00A86F11" w:rsidRDefault="00067B73" w:rsidP="007C10A4">
      <w:pPr>
        <w:rPr>
          <w:b/>
          <w:bCs/>
        </w:rPr>
      </w:pPr>
      <w:r w:rsidRPr="00A86F11">
        <w:rPr>
          <w:rFonts w:hint="eastAsia"/>
          <w:b/>
          <w:bCs/>
        </w:rPr>
        <w:t>Response:</w:t>
      </w:r>
    </w:p>
    <w:p w14:paraId="2968C018" w14:textId="77777777" w:rsidR="002C2E87" w:rsidRPr="00A86F11" w:rsidRDefault="002C2E87" w:rsidP="002C2E87">
      <w:r w:rsidRPr="00A86F11">
        <w:t>We thank the reviewer for this valuable comment.</w:t>
      </w:r>
    </w:p>
    <w:p w14:paraId="21F7CBBE" w14:textId="49731E0B" w:rsidR="005171D6" w:rsidRPr="00A86F11" w:rsidRDefault="002C2E87" w:rsidP="002C2E87">
      <w:r w:rsidRPr="00A86F11">
        <w:t>We re-examined the KSW/KSAO ratio and interpret it as showing relatively large variability, including a temporary decrease around 2017, but no systematic difference between the 2014 and 2018 unrest periods. Therefore, we describe it as approximately constant (~1) in terms of the overall trend</w:t>
      </w:r>
      <w:r w:rsidR="00A94A2B" w:rsidRPr="00A86F11">
        <w:t xml:space="preserve"> (lines 2</w:t>
      </w:r>
      <w:r w:rsidR="00430A06" w:rsidRPr="00A86F11">
        <w:rPr>
          <w:rFonts w:hint="eastAsia"/>
        </w:rPr>
        <w:t>56</w:t>
      </w:r>
      <w:r w:rsidR="00A94A2B" w:rsidRPr="00A86F11">
        <w:t>–2</w:t>
      </w:r>
      <w:r w:rsidR="00430A06" w:rsidRPr="00A86F11">
        <w:rPr>
          <w:rFonts w:hint="eastAsia"/>
        </w:rPr>
        <w:t>58</w:t>
      </w:r>
      <w:r w:rsidR="00A94A2B" w:rsidRPr="00A86F11">
        <w:t xml:space="preserve"> in the revised manuscript)</w:t>
      </w:r>
      <w:r w:rsidRPr="00A86F11">
        <w:t>.</w:t>
      </w:r>
      <w:r w:rsidRPr="00A86F11">
        <w:rPr>
          <w:rFonts w:hint="eastAsia"/>
        </w:rPr>
        <w:t xml:space="preserve"> </w:t>
      </w:r>
      <w:r w:rsidRPr="00A86F11">
        <w:t>We also recognize that the previous wording may have led to ambiguity. We have revised the sentence by improving the connection between the two ratios and adding a clarification regarding the short-term fluctuations.</w:t>
      </w:r>
      <w:r w:rsidRPr="00A86F11">
        <w:rPr>
          <w:rFonts w:hint="eastAsia"/>
        </w:rPr>
        <w:t xml:space="preserve"> </w:t>
      </w:r>
      <w:r w:rsidRPr="00A86F11">
        <w:t>Although this point is discussed in more detail in the Discussion section, we note that even if a decrease after 2018 is assumed, it does not contradict our interpretation that the seismic source during the 2018 unrest was located further east (i.e., farther from KSW).</w:t>
      </w:r>
    </w:p>
    <w:p w14:paraId="7064B3D7" w14:textId="6010D859" w:rsidR="00CF39DB" w:rsidRPr="00A86F11" w:rsidRDefault="00CF39DB">
      <w:pPr>
        <w:widowControl/>
        <w:jc w:val="left"/>
        <w:rPr>
          <w:b/>
          <w:bCs/>
        </w:rPr>
      </w:pPr>
    </w:p>
    <w:p w14:paraId="5BBA5DEE" w14:textId="77777777" w:rsidR="0007232B" w:rsidRPr="00A86F11" w:rsidRDefault="0007232B">
      <w:pPr>
        <w:widowControl/>
        <w:jc w:val="left"/>
        <w:rPr>
          <w:b/>
          <w:bCs/>
        </w:rPr>
      </w:pPr>
    </w:p>
    <w:p w14:paraId="331AA8C2" w14:textId="77777777" w:rsidR="0007232B" w:rsidRPr="00A86F11" w:rsidRDefault="0007232B">
      <w:pPr>
        <w:widowControl/>
        <w:jc w:val="left"/>
        <w:rPr>
          <w:b/>
          <w:bCs/>
        </w:rPr>
      </w:pPr>
    </w:p>
    <w:p w14:paraId="7195BBA1" w14:textId="49953D97" w:rsidR="000F4792" w:rsidRPr="00A86F11" w:rsidRDefault="00FC24BD" w:rsidP="000F4792">
      <w:pPr>
        <w:rPr>
          <w:b/>
          <w:bCs/>
        </w:rPr>
      </w:pPr>
      <w:r w:rsidRPr="00A86F11">
        <w:rPr>
          <w:rFonts w:hint="eastAsia"/>
          <w:b/>
          <w:bCs/>
        </w:rPr>
        <w:t xml:space="preserve"> </w:t>
      </w:r>
      <w:r w:rsidR="000F4792" w:rsidRPr="00A86F11">
        <w:rPr>
          <w:rFonts w:hint="eastAsia"/>
          <w:b/>
          <w:bCs/>
        </w:rPr>
        <w:t>[Comment 8]</w:t>
      </w:r>
    </w:p>
    <w:p w14:paraId="66AFF3AC" w14:textId="358A9316" w:rsidR="007C10A4" w:rsidRPr="00A86F11" w:rsidRDefault="007C10A4" w:rsidP="007C10A4">
      <w:r w:rsidRPr="00A86F11">
        <w:t>Lines 361-363: Why does the SBL decrease during the period of uplift around Yugama crater? You have to give even a speculative explanation for this.</w:t>
      </w:r>
    </w:p>
    <w:p w14:paraId="7C11DD2B" w14:textId="77777777" w:rsidR="00EB5BDE" w:rsidRPr="00A86F11" w:rsidRDefault="00EB5BDE" w:rsidP="007C10A4"/>
    <w:p w14:paraId="77AC23B3" w14:textId="27C0349E" w:rsidR="00C1717F" w:rsidRPr="00A86F11" w:rsidRDefault="00067B73" w:rsidP="007C10A4">
      <w:pPr>
        <w:rPr>
          <w:b/>
          <w:bCs/>
        </w:rPr>
      </w:pPr>
      <w:r w:rsidRPr="00A86F11">
        <w:rPr>
          <w:rFonts w:hint="eastAsia"/>
          <w:b/>
          <w:bCs/>
        </w:rPr>
        <w:t>Response:</w:t>
      </w:r>
    </w:p>
    <w:p w14:paraId="1FBEFF07" w14:textId="77777777" w:rsidR="0083242D" w:rsidRPr="00A86F11" w:rsidRDefault="005B0B35" w:rsidP="005B0B35">
      <w:r w:rsidRPr="00A86F11">
        <w:t>We thank the reviewer for this valuable comment.</w:t>
      </w:r>
      <w:r w:rsidR="0083242D" w:rsidRPr="00A86F11">
        <w:rPr>
          <w:rFonts w:hint="eastAsia"/>
        </w:rPr>
        <w:t xml:space="preserve"> </w:t>
      </w:r>
      <w:r w:rsidRPr="00A86F11">
        <w:t>A similar comment was also raised by another reviewer.</w:t>
      </w:r>
    </w:p>
    <w:p w14:paraId="2F6C3144" w14:textId="79A67E64" w:rsidR="000C62B8" w:rsidRPr="00A86F11" w:rsidRDefault="00161255" w:rsidP="000C62B8">
      <w:r w:rsidRPr="00A86F11">
        <w:t xml:space="preserve">Regarding the relationship between the SBL and shallow deformation, we provide the following possible interpretation. </w:t>
      </w:r>
      <w:r w:rsidR="005B0B35" w:rsidRPr="00A86F11">
        <w:t>The shallow ground deformation reflects pressure or volume changes of the shallow pressure source. Therefore, even if the fluid supply rate from depth to the shallow source decreases, pressure accumulation and uplift of the shallow pressure source can continue as long as the supply does not completely stop. On the other hand, if the SBL vibrations are related to the supply of volcanic fluids or heat from the shallow pressure source to an even shallower region, the SBL could decrease even while shallow uplift continued, if the flux of volcanic fluids or heat from the shallow source to the shallower region decreased. We also note that this is only one possible interpretation, and that the physical mechanism responsible for such a decrease in flux is not constrained in this study.</w:t>
      </w:r>
      <w:r w:rsidR="000C62B8" w:rsidRPr="00A86F11">
        <w:br w:type="page"/>
      </w:r>
    </w:p>
    <w:p w14:paraId="4C1C7C9E" w14:textId="0A3F64F1" w:rsidR="005C5D73" w:rsidRPr="00A86F11" w:rsidRDefault="005C5D73" w:rsidP="005C5D73">
      <w:pPr>
        <w:rPr>
          <w:b/>
          <w:bCs/>
        </w:rPr>
      </w:pPr>
      <w:r w:rsidRPr="00A86F11">
        <w:rPr>
          <w:rFonts w:hint="eastAsia"/>
          <w:b/>
          <w:bCs/>
        </w:rPr>
        <w:lastRenderedPageBreak/>
        <w:t>[Comment 9]</w:t>
      </w:r>
    </w:p>
    <w:p w14:paraId="0CD1EEC0" w14:textId="59159AAE" w:rsidR="007C10A4" w:rsidRPr="00A86F11" w:rsidRDefault="007C10A4" w:rsidP="007C10A4">
      <w:r w:rsidRPr="00A86F11">
        <w:t xml:space="preserve">Lines 402-403: Please report here the specific frequency band, period of the day/night that you used to conduct the polarization analysis - they should agree with the same choices for the calculation of BSL. This information has to be moved from the Appendix to the main text of the </w:t>
      </w:r>
      <w:proofErr w:type="spellStart"/>
      <w:r w:rsidRPr="00A86F11">
        <w:t>manusript</w:t>
      </w:r>
      <w:proofErr w:type="spellEnd"/>
      <w:r w:rsidRPr="00A86F11">
        <w:t>.</w:t>
      </w:r>
    </w:p>
    <w:p w14:paraId="7CC6FB9C" w14:textId="54767698" w:rsidR="0036395D" w:rsidRPr="00A86F11" w:rsidRDefault="0036395D" w:rsidP="0036395D">
      <w:pPr>
        <w:rPr>
          <w:b/>
          <w:bCs/>
        </w:rPr>
      </w:pPr>
    </w:p>
    <w:p w14:paraId="4B3EDA01" w14:textId="453E3D24" w:rsidR="00067B73" w:rsidRPr="00A86F11" w:rsidRDefault="00067B73" w:rsidP="007C10A4">
      <w:pPr>
        <w:rPr>
          <w:b/>
          <w:bCs/>
        </w:rPr>
      </w:pPr>
      <w:r w:rsidRPr="00A86F11">
        <w:rPr>
          <w:rFonts w:hint="eastAsia"/>
          <w:b/>
          <w:bCs/>
        </w:rPr>
        <w:t>Response:</w:t>
      </w:r>
    </w:p>
    <w:p w14:paraId="281D8843" w14:textId="07E87053" w:rsidR="00EB7068" w:rsidRPr="00A86F11" w:rsidRDefault="00A86810" w:rsidP="007C10A4">
      <w:r w:rsidRPr="00A86F11">
        <w:t>We thank the reviewer for this valuable comment.</w:t>
      </w:r>
    </w:p>
    <w:p w14:paraId="0D7F168C" w14:textId="4EC28F10" w:rsidR="00A86810" w:rsidRDefault="00A86810" w:rsidP="007C10A4">
      <w:r w:rsidRPr="00A86F11">
        <w:t xml:space="preserve">We have added the suggested </w:t>
      </w:r>
      <w:r w:rsidRPr="00A86F11">
        <w:rPr>
          <w:rFonts w:hint="eastAsia"/>
        </w:rPr>
        <w:t>information</w:t>
      </w:r>
      <w:r w:rsidRPr="00A86F11">
        <w:t xml:space="preserve"> in the revised manuscript</w:t>
      </w:r>
      <w:r w:rsidR="00922552" w:rsidRPr="00A86F11">
        <w:t xml:space="preserve"> (lines 4</w:t>
      </w:r>
      <w:r w:rsidR="00430A06" w:rsidRPr="00A86F11">
        <w:rPr>
          <w:rFonts w:hint="eastAsia"/>
        </w:rPr>
        <w:t>15</w:t>
      </w:r>
      <w:r w:rsidR="00922552" w:rsidRPr="00A86F11">
        <w:t>–4</w:t>
      </w:r>
      <w:r w:rsidR="00430A06" w:rsidRPr="00A86F11">
        <w:rPr>
          <w:rFonts w:hint="eastAsia"/>
        </w:rPr>
        <w:t>17</w:t>
      </w:r>
      <w:r w:rsidR="00922552" w:rsidRPr="00A86F11">
        <w:t xml:space="preserve"> in the revised manuscript)</w:t>
      </w:r>
      <w:r w:rsidRPr="00A86F11">
        <w:t>.</w:t>
      </w:r>
    </w:p>
    <w:p w14:paraId="1A266C7B" w14:textId="77777777" w:rsidR="00B90FF7" w:rsidRPr="00FC2B5E" w:rsidRDefault="00B90FF7" w:rsidP="007C10A4"/>
    <w:sectPr w:rsidR="00B90FF7" w:rsidRPr="00FC2B5E">
      <w:footerReference w:type="default" r:id="rId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DD1B1" w14:textId="77777777" w:rsidR="00885E7D" w:rsidRDefault="00885E7D" w:rsidP="00364E9F">
      <w:r>
        <w:separator/>
      </w:r>
    </w:p>
  </w:endnote>
  <w:endnote w:type="continuationSeparator" w:id="0">
    <w:p w14:paraId="48DCF48D" w14:textId="77777777" w:rsidR="00885E7D" w:rsidRDefault="00885E7D" w:rsidP="00364E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3920539"/>
      <w:docPartObj>
        <w:docPartGallery w:val="Page Numbers (Bottom of Page)"/>
        <w:docPartUnique/>
      </w:docPartObj>
    </w:sdtPr>
    <w:sdtContent>
      <w:p w14:paraId="7BE3DC68" w14:textId="57458403" w:rsidR="00A57BD1" w:rsidRDefault="00A57BD1">
        <w:pPr>
          <w:pStyle w:val="a6"/>
          <w:jc w:val="center"/>
        </w:pPr>
        <w:r>
          <w:fldChar w:fldCharType="begin"/>
        </w:r>
        <w:r>
          <w:instrText>PAGE   \* MERGEFORMAT</w:instrText>
        </w:r>
        <w:r>
          <w:fldChar w:fldCharType="separate"/>
        </w:r>
        <w:r>
          <w:rPr>
            <w:lang w:val="ja-JP"/>
          </w:rPr>
          <w:t>2</w:t>
        </w:r>
        <w:r>
          <w:fldChar w:fldCharType="end"/>
        </w:r>
      </w:p>
    </w:sdtContent>
  </w:sdt>
  <w:p w14:paraId="6646D28F" w14:textId="77777777" w:rsidR="00A57BD1" w:rsidRDefault="00A57BD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EB117" w14:textId="77777777" w:rsidR="00885E7D" w:rsidRDefault="00885E7D" w:rsidP="00364E9F">
      <w:r>
        <w:separator/>
      </w:r>
    </w:p>
  </w:footnote>
  <w:footnote w:type="continuationSeparator" w:id="0">
    <w:p w14:paraId="5E30DFA9" w14:textId="77777777" w:rsidR="00885E7D" w:rsidRDefault="00885E7D" w:rsidP="00364E9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trackRevisions/>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2A6"/>
    <w:rsid w:val="00001EE9"/>
    <w:rsid w:val="00003100"/>
    <w:rsid w:val="0000441A"/>
    <w:rsid w:val="00006169"/>
    <w:rsid w:val="0000703A"/>
    <w:rsid w:val="000117E0"/>
    <w:rsid w:val="000136F6"/>
    <w:rsid w:val="00013D7E"/>
    <w:rsid w:val="000147D8"/>
    <w:rsid w:val="00015880"/>
    <w:rsid w:val="00015D38"/>
    <w:rsid w:val="000176E9"/>
    <w:rsid w:val="00020C23"/>
    <w:rsid w:val="00020CCF"/>
    <w:rsid w:val="0002144A"/>
    <w:rsid w:val="000227E8"/>
    <w:rsid w:val="0002300B"/>
    <w:rsid w:val="000234E4"/>
    <w:rsid w:val="00023A4A"/>
    <w:rsid w:val="000246B7"/>
    <w:rsid w:val="00024EEC"/>
    <w:rsid w:val="00027C55"/>
    <w:rsid w:val="00027CBD"/>
    <w:rsid w:val="00027EBD"/>
    <w:rsid w:val="0003075C"/>
    <w:rsid w:val="000324A7"/>
    <w:rsid w:val="00033F14"/>
    <w:rsid w:val="00034D5A"/>
    <w:rsid w:val="000350AC"/>
    <w:rsid w:val="00037C21"/>
    <w:rsid w:val="00040978"/>
    <w:rsid w:val="00040BE7"/>
    <w:rsid w:val="00042AB9"/>
    <w:rsid w:val="00043111"/>
    <w:rsid w:val="00050EE7"/>
    <w:rsid w:val="00052B83"/>
    <w:rsid w:val="000552C0"/>
    <w:rsid w:val="0005673D"/>
    <w:rsid w:val="00057143"/>
    <w:rsid w:val="00057936"/>
    <w:rsid w:val="0006082E"/>
    <w:rsid w:val="00063A89"/>
    <w:rsid w:val="000641A2"/>
    <w:rsid w:val="00064C0E"/>
    <w:rsid w:val="00066FF5"/>
    <w:rsid w:val="00067B73"/>
    <w:rsid w:val="000703A8"/>
    <w:rsid w:val="0007232B"/>
    <w:rsid w:val="000731BC"/>
    <w:rsid w:val="00073688"/>
    <w:rsid w:val="00073A5C"/>
    <w:rsid w:val="000749E2"/>
    <w:rsid w:val="00074E04"/>
    <w:rsid w:val="00075D76"/>
    <w:rsid w:val="00076C9D"/>
    <w:rsid w:val="00077B10"/>
    <w:rsid w:val="000828B3"/>
    <w:rsid w:val="00082EEF"/>
    <w:rsid w:val="000845AD"/>
    <w:rsid w:val="00085014"/>
    <w:rsid w:val="000857B7"/>
    <w:rsid w:val="00086056"/>
    <w:rsid w:val="00090A0D"/>
    <w:rsid w:val="00091739"/>
    <w:rsid w:val="00092365"/>
    <w:rsid w:val="00092787"/>
    <w:rsid w:val="00093888"/>
    <w:rsid w:val="00095290"/>
    <w:rsid w:val="00095500"/>
    <w:rsid w:val="00095A73"/>
    <w:rsid w:val="000964CC"/>
    <w:rsid w:val="000A0BD9"/>
    <w:rsid w:val="000A3777"/>
    <w:rsid w:val="000A3C53"/>
    <w:rsid w:val="000A4F2D"/>
    <w:rsid w:val="000A5336"/>
    <w:rsid w:val="000A571B"/>
    <w:rsid w:val="000B251C"/>
    <w:rsid w:val="000B3BBC"/>
    <w:rsid w:val="000B3C9C"/>
    <w:rsid w:val="000B446D"/>
    <w:rsid w:val="000B4548"/>
    <w:rsid w:val="000B5C8B"/>
    <w:rsid w:val="000B6644"/>
    <w:rsid w:val="000B7847"/>
    <w:rsid w:val="000B7EAF"/>
    <w:rsid w:val="000C0813"/>
    <w:rsid w:val="000C09C5"/>
    <w:rsid w:val="000C2671"/>
    <w:rsid w:val="000C4201"/>
    <w:rsid w:val="000C4A3B"/>
    <w:rsid w:val="000C5CDF"/>
    <w:rsid w:val="000C62B8"/>
    <w:rsid w:val="000C7478"/>
    <w:rsid w:val="000D1419"/>
    <w:rsid w:val="000D2DE7"/>
    <w:rsid w:val="000D4D4F"/>
    <w:rsid w:val="000D4FF1"/>
    <w:rsid w:val="000D5012"/>
    <w:rsid w:val="000D7015"/>
    <w:rsid w:val="000E0207"/>
    <w:rsid w:val="000E2ACC"/>
    <w:rsid w:val="000E2CFC"/>
    <w:rsid w:val="000F1399"/>
    <w:rsid w:val="000F4792"/>
    <w:rsid w:val="000F5545"/>
    <w:rsid w:val="000F6D67"/>
    <w:rsid w:val="00100A09"/>
    <w:rsid w:val="0010234F"/>
    <w:rsid w:val="00103425"/>
    <w:rsid w:val="00103E7C"/>
    <w:rsid w:val="00105077"/>
    <w:rsid w:val="001056BC"/>
    <w:rsid w:val="00113275"/>
    <w:rsid w:val="00113354"/>
    <w:rsid w:val="0011398C"/>
    <w:rsid w:val="00114168"/>
    <w:rsid w:val="00115002"/>
    <w:rsid w:val="0012020D"/>
    <w:rsid w:val="00120530"/>
    <w:rsid w:val="001207AB"/>
    <w:rsid w:val="00121041"/>
    <w:rsid w:val="00123B32"/>
    <w:rsid w:val="00127B85"/>
    <w:rsid w:val="001311BA"/>
    <w:rsid w:val="001319D6"/>
    <w:rsid w:val="0013306B"/>
    <w:rsid w:val="00133B8F"/>
    <w:rsid w:val="00135AAB"/>
    <w:rsid w:val="001406E5"/>
    <w:rsid w:val="00140C49"/>
    <w:rsid w:val="00142D88"/>
    <w:rsid w:val="00142F47"/>
    <w:rsid w:val="00144C3D"/>
    <w:rsid w:val="001451A4"/>
    <w:rsid w:val="00145791"/>
    <w:rsid w:val="00146BB2"/>
    <w:rsid w:val="00151DBE"/>
    <w:rsid w:val="00152283"/>
    <w:rsid w:val="00152711"/>
    <w:rsid w:val="0015331D"/>
    <w:rsid w:val="001536B3"/>
    <w:rsid w:val="00153A5A"/>
    <w:rsid w:val="00161255"/>
    <w:rsid w:val="001614E2"/>
    <w:rsid w:val="00162356"/>
    <w:rsid w:val="00162ECF"/>
    <w:rsid w:val="0016314E"/>
    <w:rsid w:val="00163BE9"/>
    <w:rsid w:val="00165A0C"/>
    <w:rsid w:val="00166B36"/>
    <w:rsid w:val="00166E55"/>
    <w:rsid w:val="00171D76"/>
    <w:rsid w:val="00173099"/>
    <w:rsid w:val="00174255"/>
    <w:rsid w:val="001751A0"/>
    <w:rsid w:val="001759DA"/>
    <w:rsid w:val="00180430"/>
    <w:rsid w:val="00180496"/>
    <w:rsid w:val="00181BCA"/>
    <w:rsid w:val="00182923"/>
    <w:rsid w:val="00182962"/>
    <w:rsid w:val="001834B4"/>
    <w:rsid w:val="00185C93"/>
    <w:rsid w:val="0018615D"/>
    <w:rsid w:val="00186AF8"/>
    <w:rsid w:val="00191EA6"/>
    <w:rsid w:val="00192DDA"/>
    <w:rsid w:val="00193EF1"/>
    <w:rsid w:val="00196629"/>
    <w:rsid w:val="0019748C"/>
    <w:rsid w:val="001975C0"/>
    <w:rsid w:val="001A17F4"/>
    <w:rsid w:val="001A2585"/>
    <w:rsid w:val="001A30C2"/>
    <w:rsid w:val="001A4097"/>
    <w:rsid w:val="001A5BD3"/>
    <w:rsid w:val="001A5D2A"/>
    <w:rsid w:val="001A6746"/>
    <w:rsid w:val="001B00E6"/>
    <w:rsid w:val="001B03FE"/>
    <w:rsid w:val="001B0631"/>
    <w:rsid w:val="001B251A"/>
    <w:rsid w:val="001B35C4"/>
    <w:rsid w:val="001B3969"/>
    <w:rsid w:val="001B52F9"/>
    <w:rsid w:val="001B6C55"/>
    <w:rsid w:val="001B7847"/>
    <w:rsid w:val="001C27EB"/>
    <w:rsid w:val="001C2CDA"/>
    <w:rsid w:val="001C562D"/>
    <w:rsid w:val="001C596E"/>
    <w:rsid w:val="001C7CFF"/>
    <w:rsid w:val="001C7F77"/>
    <w:rsid w:val="001D0DEC"/>
    <w:rsid w:val="001D6500"/>
    <w:rsid w:val="001D688F"/>
    <w:rsid w:val="001D6A5C"/>
    <w:rsid w:val="001D751C"/>
    <w:rsid w:val="001D7F87"/>
    <w:rsid w:val="001E4359"/>
    <w:rsid w:val="001E56FD"/>
    <w:rsid w:val="001E5FF7"/>
    <w:rsid w:val="001E69A8"/>
    <w:rsid w:val="001E765B"/>
    <w:rsid w:val="001F1E2D"/>
    <w:rsid w:val="001F3395"/>
    <w:rsid w:val="001F3CCB"/>
    <w:rsid w:val="001F5E7C"/>
    <w:rsid w:val="001F7F89"/>
    <w:rsid w:val="0020075F"/>
    <w:rsid w:val="00202266"/>
    <w:rsid w:val="00205492"/>
    <w:rsid w:val="00205A7B"/>
    <w:rsid w:val="0020604B"/>
    <w:rsid w:val="00206594"/>
    <w:rsid w:val="002074CA"/>
    <w:rsid w:val="00212DAE"/>
    <w:rsid w:val="00213C82"/>
    <w:rsid w:val="00220794"/>
    <w:rsid w:val="0022082A"/>
    <w:rsid w:val="00223ABA"/>
    <w:rsid w:val="00225CE5"/>
    <w:rsid w:val="00226BD9"/>
    <w:rsid w:val="00233708"/>
    <w:rsid w:val="00233B21"/>
    <w:rsid w:val="002340F0"/>
    <w:rsid w:val="00234B3F"/>
    <w:rsid w:val="00235BF2"/>
    <w:rsid w:val="00236F04"/>
    <w:rsid w:val="00242B05"/>
    <w:rsid w:val="00243484"/>
    <w:rsid w:val="00243DAC"/>
    <w:rsid w:val="00245329"/>
    <w:rsid w:val="002468A9"/>
    <w:rsid w:val="002468EB"/>
    <w:rsid w:val="0024755C"/>
    <w:rsid w:val="00247F29"/>
    <w:rsid w:val="00250077"/>
    <w:rsid w:val="00251438"/>
    <w:rsid w:val="0025559F"/>
    <w:rsid w:val="0025642F"/>
    <w:rsid w:val="0025690C"/>
    <w:rsid w:val="00257B6C"/>
    <w:rsid w:val="00257C33"/>
    <w:rsid w:val="00260FFD"/>
    <w:rsid w:val="00261CE2"/>
    <w:rsid w:val="002656A3"/>
    <w:rsid w:val="00265E2F"/>
    <w:rsid w:val="00266572"/>
    <w:rsid w:val="0026785E"/>
    <w:rsid w:val="002717B4"/>
    <w:rsid w:val="00275F90"/>
    <w:rsid w:val="00277E05"/>
    <w:rsid w:val="00281109"/>
    <w:rsid w:val="0028338A"/>
    <w:rsid w:val="00284021"/>
    <w:rsid w:val="00284C6C"/>
    <w:rsid w:val="00286316"/>
    <w:rsid w:val="00286669"/>
    <w:rsid w:val="00286670"/>
    <w:rsid w:val="002873E2"/>
    <w:rsid w:val="00287BBD"/>
    <w:rsid w:val="00290584"/>
    <w:rsid w:val="00291163"/>
    <w:rsid w:val="00292221"/>
    <w:rsid w:val="002938D9"/>
    <w:rsid w:val="00294098"/>
    <w:rsid w:val="002A3647"/>
    <w:rsid w:val="002A5796"/>
    <w:rsid w:val="002B0DE8"/>
    <w:rsid w:val="002B4DA3"/>
    <w:rsid w:val="002B5834"/>
    <w:rsid w:val="002B61CD"/>
    <w:rsid w:val="002B67DB"/>
    <w:rsid w:val="002B697B"/>
    <w:rsid w:val="002C1A8D"/>
    <w:rsid w:val="002C1B06"/>
    <w:rsid w:val="002C21AA"/>
    <w:rsid w:val="002C2E87"/>
    <w:rsid w:val="002C5D29"/>
    <w:rsid w:val="002C641D"/>
    <w:rsid w:val="002C66DC"/>
    <w:rsid w:val="002D08F9"/>
    <w:rsid w:val="002D097E"/>
    <w:rsid w:val="002D0E54"/>
    <w:rsid w:val="002D3124"/>
    <w:rsid w:val="002D39F9"/>
    <w:rsid w:val="002D3D8F"/>
    <w:rsid w:val="002D41FB"/>
    <w:rsid w:val="002D460B"/>
    <w:rsid w:val="002E2C2D"/>
    <w:rsid w:val="002E34BF"/>
    <w:rsid w:val="002E4D0A"/>
    <w:rsid w:val="002E71A4"/>
    <w:rsid w:val="002F1843"/>
    <w:rsid w:val="002F2ABE"/>
    <w:rsid w:val="002F31BD"/>
    <w:rsid w:val="002F355B"/>
    <w:rsid w:val="002F3C73"/>
    <w:rsid w:val="002F44E7"/>
    <w:rsid w:val="002F4D55"/>
    <w:rsid w:val="002F610B"/>
    <w:rsid w:val="002F6C65"/>
    <w:rsid w:val="002F77D5"/>
    <w:rsid w:val="00300A55"/>
    <w:rsid w:val="00302CCB"/>
    <w:rsid w:val="00303B0B"/>
    <w:rsid w:val="00304F8D"/>
    <w:rsid w:val="0030505D"/>
    <w:rsid w:val="00306953"/>
    <w:rsid w:val="003103D0"/>
    <w:rsid w:val="00311B4B"/>
    <w:rsid w:val="00311D6E"/>
    <w:rsid w:val="003124F7"/>
    <w:rsid w:val="00312634"/>
    <w:rsid w:val="0031383B"/>
    <w:rsid w:val="00314E8E"/>
    <w:rsid w:val="00315599"/>
    <w:rsid w:val="00315BE5"/>
    <w:rsid w:val="00316ECF"/>
    <w:rsid w:val="00317886"/>
    <w:rsid w:val="00322B96"/>
    <w:rsid w:val="003234AC"/>
    <w:rsid w:val="0032445A"/>
    <w:rsid w:val="00326C81"/>
    <w:rsid w:val="00326DDF"/>
    <w:rsid w:val="00330530"/>
    <w:rsid w:val="00330C5E"/>
    <w:rsid w:val="00330EF5"/>
    <w:rsid w:val="00334377"/>
    <w:rsid w:val="00334AC3"/>
    <w:rsid w:val="00336853"/>
    <w:rsid w:val="00336B36"/>
    <w:rsid w:val="00337FBD"/>
    <w:rsid w:val="003401FA"/>
    <w:rsid w:val="00341ACA"/>
    <w:rsid w:val="003441CC"/>
    <w:rsid w:val="003444BC"/>
    <w:rsid w:val="00344A4C"/>
    <w:rsid w:val="00346593"/>
    <w:rsid w:val="00346922"/>
    <w:rsid w:val="00350990"/>
    <w:rsid w:val="0035369A"/>
    <w:rsid w:val="0035455A"/>
    <w:rsid w:val="00355384"/>
    <w:rsid w:val="00355E1F"/>
    <w:rsid w:val="003600A0"/>
    <w:rsid w:val="00362966"/>
    <w:rsid w:val="00362B2D"/>
    <w:rsid w:val="0036395D"/>
    <w:rsid w:val="00363A0C"/>
    <w:rsid w:val="00363F29"/>
    <w:rsid w:val="00364E9F"/>
    <w:rsid w:val="00365623"/>
    <w:rsid w:val="00365B9D"/>
    <w:rsid w:val="003763DA"/>
    <w:rsid w:val="00380B60"/>
    <w:rsid w:val="00381C8E"/>
    <w:rsid w:val="00382AB2"/>
    <w:rsid w:val="00383501"/>
    <w:rsid w:val="00386F23"/>
    <w:rsid w:val="00387C45"/>
    <w:rsid w:val="00396C53"/>
    <w:rsid w:val="003A120A"/>
    <w:rsid w:val="003A2050"/>
    <w:rsid w:val="003A446A"/>
    <w:rsid w:val="003A4597"/>
    <w:rsid w:val="003A4CAC"/>
    <w:rsid w:val="003A6306"/>
    <w:rsid w:val="003A6679"/>
    <w:rsid w:val="003A731F"/>
    <w:rsid w:val="003B0535"/>
    <w:rsid w:val="003B18C9"/>
    <w:rsid w:val="003B2556"/>
    <w:rsid w:val="003B2654"/>
    <w:rsid w:val="003B2826"/>
    <w:rsid w:val="003B3353"/>
    <w:rsid w:val="003B716B"/>
    <w:rsid w:val="003C0254"/>
    <w:rsid w:val="003C0B6A"/>
    <w:rsid w:val="003C4849"/>
    <w:rsid w:val="003C5FAA"/>
    <w:rsid w:val="003C6ED4"/>
    <w:rsid w:val="003D0D9B"/>
    <w:rsid w:val="003D38EC"/>
    <w:rsid w:val="003D3B9B"/>
    <w:rsid w:val="003D4AEA"/>
    <w:rsid w:val="003D560B"/>
    <w:rsid w:val="003D5F47"/>
    <w:rsid w:val="003E1605"/>
    <w:rsid w:val="003E1BD6"/>
    <w:rsid w:val="003E3108"/>
    <w:rsid w:val="003E3330"/>
    <w:rsid w:val="003E4D9B"/>
    <w:rsid w:val="003E599E"/>
    <w:rsid w:val="003E7DAA"/>
    <w:rsid w:val="003F02F7"/>
    <w:rsid w:val="003F26E4"/>
    <w:rsid w:val="003F2F7F"/>
    <w:rsid w:val="003F53F5"/>
    <w:rsid w:val="003F6142"/>
    <w:rsid w:val="003F6A7F"/>
    <w:rsid w:val="003F6B49"/>
    <w:rsid w:val="003F725A"/>
    <w:rsid w:val="0040054F"/>
    <w:rsid w:val="00402719"/>
    <w:rsid w:val="00403C34"/>
    <w:rsid w:val="004058E2"/>
    <w:rsid w:val="004065C7"/>
    <w:rsid w:val="00406F54"/>
    <w:rsid w:val="00407158"/>
    <w:rsid w:val="00411749"/>
    <w:rsid w:val="00411DE4"/>
    <w:rsid w:val="0041207F"/>
    <w:rsid w:val="00413253"/>
    <w:rsid w:val="00415FF4"/>
    <w:rsid w:val="004160AD"/>
    <w:rsid w:val="00417B4F"/>
    <w:rsid w:val="0042015C"/>
    <w:rsid w:val="00421C19"/>
    <w:rsid w:val="00422030"/>
    <w:rsid w:val="004246D8"/>
    <w:rsid w:val="004254E9"/>
    <w:rsid w:val="004300AC"/>
    <w:rsid w:val="004306AD"/>
    <w:rsid w:val="00430A06"/>
    <w:rsid w:val="00431153"/>
    <w:rsid w:val="00431791"/>
    <w:rsid w:val="0043313B"/>
    <w:rsid w:val="00433223"/>
    <w:rsid w:val="00433A9C"/>
    <w:rsid w:val="00434AD8"/>
    <w:rsid w:val="00435FAA"/>
    <w:rsid w:val="00436967"/>
    <w:rsid w:val="00440D3B"/>
    <w:rsid w:val="004418D0"/>
    <w:rsid w:val="00441F97"/>
    <w:rsid w:val="0044358A"/>
    <w:rsid w:val="00445593"/>
    <w:rsid w:val="00446EC5"/>
    <w:rsid w:val="004473A9"/>
    <w:rsid w:val="00447A69"/>
    <w:rsid w:val="004511C8"/>
    <w:rsid w:val="00451B9E"/>
    <w:rsid w:val="004523CD"/>
    <w:rsid w:val="004553DD"/>
    <w:rsid w:val="00455C42"/>
    <w:rsid w:val="00457B36"/>
    <w:rsid w:val="0046109A"/>
    <w:rsid w:val="0046251A"/>
    <w:rsid w:val="00462E0A"/>
    <w:rsid w:val="00463711"/>
    <w:rsid w:val="00464697"/>
    <w:rsid w:val="00465B37"/>
    <w:rsid w:val="004714B5"/>
    <w:rsid w:val="00473D77"/>
    <w:rsid w:val="00474FA7"/>
    <w:rsid w:val="0048055B"/>
    <w:rsid w:val="00480B34"/>
    <w:rsid w:val="0048198B"/>
    <w:rsid w:val="0048563B"/>
    <w:rsid w:val="00486383"/>
    <w:rsid w:val="004909D5"/>
    <w:rsid w:val="00490E5C"/>
    <w:rsid w:val="00490F7E"/>
    <w:rsid w:val="004A0A1D"/>
    <w:rsid w:val="004A1D69"/>
    <w:rsid w:val="004A3097"/>
    <w:rsid w:val="004A3417"/>
    <w:rsid w:val="004A3CE9"/>
    <w:rsid w:val="004A42D3"/>
    <w:rsid w:val="004A4CC0"/>
    <w:rsid w:val="004A5A29"/>
    <w:rsid w:val="004A7060"/>
    <w:rsid w:val="004A73AD"/>
    <w:rsid w:val="004A7C80"/>
    <w:rsid w:val="004A7FA1"/>
    <w:rsid w:val="004B2829"/>
    <w:rsid w:val="004B320D"/>
    <w:rsid w:val="004B32BE"/>
    <w:rsid w:val="004B36FB"/>
    <w:rsid w:val="004B4525"/>
    <w:rsid w:val="004B47F4"/>
    <w:rsid w:val="004B49A5"/>
    <w:rsid w:val="004B652B"/>
    <w:rsid w:val="004B7F0C"/>
    <w:rsid w:val="004C0055"/>
    <w:rsid w:val="004C1C09"/>
    <w:rsid w:val="004C20BC"/>
    <w:rsid w:val="004C22D2"/>
    <w:rsid w:val="004C4BA2"/>
    <w:rsid w:val="004C6D51"/>
    <w:rsid w:val="004C73C1"/>
    <w:rsid w:val="004D15A3"/>
    <w:rsid w:val="004D2CCE"/>
    <w:rsid w:val="004D493B"/>
    <w:rsid w:val="004D4E87"/>
    <w:rsid w:val="004D5B56"/>
    <w:rsid w:val="004D702B"/>
    <w:rsid w:val="004D7B31"/>
    <w:rsid w:val="004E446A"/>
    <w:rsid w:val="004E5D91"/>
    <w:rsid w:val="004E60C6"/>
    <w:rsid w:val="004F04EE"/>
    <w:rsid w:val="004F0F8E"/>
    <w:rsid w:val="004F1320"/>
    <w:rsid w:val="004F237C"/>
    <w:rsid w:val="004F4BF4"/>
    <w:rsid w:val="004F500C"/>
    <w:rsid w:val="004F6B96"/>
    <w:rsid w:val="004F6C6D"/>
    <w:rsid w:val="004F7A29"/>
    <w:rsid w:val="004F7CB0"/>
    <w:rsid w:val="00500E35"/>
    <w:rsid w:val="00500E89"/>
    <w:rsid w:val="00501CAF"/>
    <w:rsid w:val="005026D9"/>
    <w:rsid w:val="00503D75"/>
    <w:rsid w:val="00504A8F"/>
    <w:rsid w:val="00505755"/>
    <w:rsid w:val="005062B8"/>
    <w:rsid w:val="005065B7"/>
    <w:rsid w:val="00507F63"/>
    <w:rsid w:val="0051059E"/>
    <w:rsid w:val="00511FC4"/>
    <w:rsid w:val="00513630"/>
    <w:rsid w:val="005158FD"/>
    <w:rsid w:val="00515D3F"/>
    <w:rsid w:val="00516CBE"/>
    <w:rsid w:val="005171D6"/>
    <w:rsid w:val="00517620"/>
    <w:rsid w:val="0052262C"/>
    <w:rsid w:val="005229AB"/>
    <w:rsid w:val="00523777"/>
    <w:rsid w:val="00525461"/>
    <w:rsid w:val="0052581F"/>
    <w:rsid w:val="00527471"/>
    <w:rsid w:val="00533C0D"/>
    <w:rsid w:val="00535E22"/>
    <w:rsid w:val="00537B71"/>
    <w:rsid w:val="0054046E"/>
    <w:rsid w:val="005414F1"/>
    <w:rsid w:val="00542206"/>
    <w:rsid w:val="00542340"/>
    <w:rsid w:val="00542999"/>
    <w:rsid w:val="0054326B"/>
    <w:rsid w:val="00544092"/>
    <w:rsid w:val="005463C1"/>
    <w:rsid w:val="00547398"/>
    <w:rsid w:val="00553A98"/>
    <w:rsid w:val="00554802"/>
    <w:rsid w:val="00555F52"/>
    <w:rsid w:val="00556DDB"/>
    <w:rsid w:val="005574E6"/>
    <w:rsid w:val="00557F47"/>
    <w:rsid w:val="00560257"/>
    <w:rsid w:val="0056044E"/>
    <w:rsid w:val="00562434"/>
    <w:rsid w:val="00562D5A"/>
    <w:rsid w:val="0056543B"/>
    <w:rsid w:val="005662D2"/>
    <w:rsid w:val="005665FB"/>
    <w:rsid w:val="00567D5E"/>
    <w:rsid w:val="005724C0"/>
    <w:rsid w:val="005743C7"/>
    <w:rsid w:val="00575EB7"/>
    <w:rsid w:val="005770A9"/>
    <w:rsid w:val="00580488"/>
    <w:rsid w:val="0058051B"/>
    <w:rsid w:val="00580BC4"/>
    <w:rsid w:val="00582832"/>
    <w:rsid w:val="005837C4"/>
    <w:rsid w:val="0058552F"/>
    <w:rsid w:val="005861AA"/>
    <w:rsid w:val="005861F4"/>
    <w:rsid w:val="00590FB0"/>
    <w:rsid w:val="005915DB"/>
    <w:rsid w:val="005926B0"/>
    <w:rsid w:val="005929EF"/>
    <w:rsid w:val="0059307A"/>
    <w:rsid w:val="00596669"/>
    <w:rsid w:val="005A143A"/>
    <w:rsid w:val="005A1816"/>
    <w:rsid w:val="005A1891"/>
    <w:rsid w:val="005A30AC"/>
    <w:rsid w:val="005A344B"/>
    <w:rsid w:val="005A3C14"/>
    <w:rsid w:val="005A43AE"/>
    <w:rsid w:val="005A4536"/>
    <w:rsid w:val="005A5545"/>
    <w:rsid w:val="005A716B"/>
    <w:rsid w:val="005A7F7F"/>
    <w:rsid w:val="005B0279"/>
    <w:rsid w:val="005B0486"/>
    <w:rsid w:val="005B0B35"/>
    <w:rsid w:val="005B4FE0"/>
    <w:rsid w:val="005B5B83"/>
    <w:rsid w:val="005C1231"/>
    <w:rsid w:val="005C168E"/>
    <w:rsid w:val="005C1805"/>
    <w:rsid w:val="005C2F05"/>
    <w:rsid w:val="005C470A"/>
    <w:rsid w:val="005C5D73"/>
    <w:rsid w:val="005D0063"/>
    <w:rsid w:val="005D1FCA"/>
    <w:rsid w:val="005D261E"/>
    <w:rsid w:val="005D3014"/>
    <w:rsid w:val="005D3091"/>
    <w:rsid w:val="005D3DBE"/>
    <w:rsid w:val="005D4196"/>
    <w:rsid w:val="005D7B04"/>
    <w:rsid w:val="005E3B73"/>
    <w:rsid w:val="005E6B9E"/>
    <w:rsid w:val="005E7B5F"/>
    <w:rsid w:val="005E7CB4"/>
    <w:rsid w:val="005F3C7D"/>
    <w:rsid w:val="005F4FB0"/>
    <w:rsid w:val="005F528B"/>
    <w:rsid w:val="00607638"/>
    <w:rsid w:val="00610DE9"/>
    <w:rsid w:val="00611B06"/>
    <w:rsid w:val="00611F83"/>
    <w:rsid w:val="00613165"/>
    <w:rsid w:val="0061395C"/>
    <w:rsid w:val="00617604"/>
    <w:rsid w:val="00621746"/>
    <w:rsid w:val="00621DE1"/>
    <w:rsid w:val="00625765"/>
    <w:rsid w:val="0062604E"/>
    <w:rsid w:val="00626B21"/>
    <w:rsid w:val="00627EAA"/>
    <w:rsid w:val="00630AD1"/>
    <w:rsid w:val="006314B7"/>
    <w:rsid w:val="00631A39"/>
    <w:rsid w:val="006333AC"/>
    <w:rsid w:val="00635191"/>
    <w:rsid w:val="00635E52"/>
    <w:rsid w:val="006374F4"/>
    <w:rsid w:val="00640966"/>
    <w:rsid w:val="00641BDB"/>
    <w:rsid w:val="00641C24"/>
    <w:rsid w:val="00642CCE"/>
    <w:rsid w:val="00645BFC"/>
    <w:rsid w:val="0064626A"/>
    <w:rsid w:val="00647300"/>
    <w:rsid w:val="006501F4"/>
    <w:rsid w:val="00654A2F"/>
    <w:rsid w:val="00656022"/>
    <w:rsid w:val="006560DF"/>
    <w:rsid w:val="0065652E"/>
    <w:rsid w:val="0066127A"/>
    <w:rsid w:val="00662490"/>
    <w:rsid w:val="00663E3B"/>
    <w:rsid w:val="00665A29"/>
    <w:rsid w:val="00665B36"/>
    <w:rsid w:val="00666573"/>
    <w:rsid w:val="0066678D"/>
    <w:rsid w:val="00667ADB"/>
    <w:rsid w:val="00671859"/>
    <w:rsid w:val="00674C14"/>
    <w:rsid w:val="006768B5"/>
    <w:rsid w:val="00677F47"/>
    <w:rsid w:val="00681463"/>
    <w:rsid w:val="00687114"/>
    <w:rsid w:val="0068747C"/>
    <w:rsid w:val="006900D7"/>
    <w:rsid w:val="006912AE"/>
    <w:rsid w:val="006939F3"/>
    <w:rsid w:val="0069657B"/>
    <w:rsid w:val="006A040B"/>
    <w:rsid w:val="006A3EC5"/>
    <w:rsid w:val="006A4E3A"/>
    <w:rsid w:val="006A611E"/>
    <w:rsid w:val="006A74F1"/>
    <w:rsid w:val="006B3A87"/>
    <w:rsid w:val="006B3BF6"/>
    <w:rsid w:val="006B3E25"/>
    <w:rsid w:val="006B5480"/>
    <w:rsid w:val="006B55F3"/>
    <w:rsid w:val="006C07F9"/>
    <w:rsid w:val="006C0DF5"/>
    <w:rsid w:val="006C174F"/>
    <w:rsid w:val="006C1C87"/>
    <w:rsid w:val="006C5628"/>
    <w:rsid w:val="006C5F26"/>
    <w:rsid w:val="006C63CA"/>
    <w:rsid w:val="006D12EB"/>
    <w:rsid w:val="006D27FB"/>
    <w:rsid w:val="006D380E"/>
    <w:rsid w:val="006D3F46"/>
    <w:rsid w:val="006D41AE"/>
    <w:rsid w:val="006D643E"/>
    <w:rsid w:val="006D75D9"/>
    <w:rsid w:val="006E17B9"/>
    <w:rsid w:val="006E2593"/>
    <w:rsid w:val="006E29B0"/>
    <w:rsid w:val="006E3D88"/>
    <w:rsid w:val="006E52A7"/>
    <w:rsid w:val="006E5BF9"/>
    <w:rsid w:val="006E6057"/>
    <w:rsid w:val="006F1765"/>
    <w:rsid w:val="006F26AD"/>
    <w:rsid w:val="006F2E64"/>
    <w:rsid w:val="006F3CD9"/>
    <w:rsid w:val="006F68BB"/>
    <w:rsid w:val="006F68CD"/>
    <w:rsid w:val="006F6E22"/>
    <w:rsid w:val="00702450"/>
    <w:rsid w:val="00702668"/>
    <w:rsid w:val="0070385B"/>
    <w:rsid w:val="00703913"/>
    <w:rsid w:val="00703B26"/>
    <w:rsid w:val="00705BA2"/>
    <w:rsid w:val="00710D3B"/>
    <w:rsid w:val="0071217B"/>
    <w:rsid w:val="007142A2"/>
    <w:rsid w:val="00714E74"/>
    <w:rsid w:val="007166DD"/>
    <w:rsid w:val="00717339"/>
    <w:rsid w:val="00721D35"/>
    <w:rsid w:val="00723C93"/>
    <w:rsid w:val="0072425A"/>
    <w:rsid w:val="00724877"/>
    <w:rsid w:val="00725C72"/>
    <w:rsid w:val="00725CA7"/>
    <w:rsid w:val="00726C3A"/>
    <w:rsid w:val="0073204C"/>
    <w:rsid w:val="007326DB"/>
    <w:rsid w:val="00732C7E"/>
    <w:rsid w:val="00732E92"/>
    <w:rsid w:val="00733B2A"/>
    <w:rsid w:val="00736267"/>
    <w:rsid w:val="00741ACD"/>
    <w:rsid w:val="00741E9D"/>
    <w:rsid w:val="0074438C"/>
    <w:rsid w:val="00744909"/>
    <w:rsid w:val="0074598A"/>
    <w:rsid w:val="00746F2C"/>
    <w:rsid w:val="00750E5B"/>
    <w:rsid w:val="00751525"/>
    <w:rsid w:val="007515AD"/>
    <w:rsid w:val="00752266"/>
    <w:rsid w:val="00752CBF"/>
    <w:rsid w:val="0075338C"/>
    <w:rsid w:val="007546D6"/>
    <w:rsid w:val="0075654A"/>
    <w:rsid w:val="00756BC1"/>
    <w:rsid w:val="00760D93"/>
    <w:rsid w:val="007624CE"/>
    <w:rsid w:val="007625D6"/>
    <w:rsid w:val="00764900"/>
    <w:rsid w:val="00764E84"/>
    <w:rsid w:val="007677A3"/>
    <w:rsid w:val="00771039"/>
    <w:rsid w:val="007725B6"/>
    <w:rsid w:val="00772B80"/>
    <w:rsid w:val="00773FC0"/>
    <w:rsid w:val="00775E19"/>
    <w:rsid w:val="00775E87"/>
    <w:rsid w:val="0077659B"/>
    <w:rsid w:val="007774F4"/>
    <w:rsid w:val="00780590"/>
    <w:rsid w:val="0078377A"/>
    <w:rsid w:val="00785243"/>
    <w:rsid w:val="007864E9"/>
    <w:rsid w:val="00787692"/>
    <w:rsid w:val="00790580"/>
    <w:rsid w:val="007908A5"/>
    <w:rsid w:val="00792464"/>
    <w:rsid w:val="007956C4"/>
    <w:rsid w:val="00796962"/>
    <w:rsid w:val="00796DD2"/>
    <w:rsid w:val="007A0680"/>
    <w:rsid w:val="007A18E0"/>
    <w:rsid w:val="007A512E"/>
    <w:rsid w:val="007B18AD"/>
    <w:rsid w:val="007B2672"/>
    <w:rsid w:val="007B3136"/>
    <w:rsid w:val="007B4A9D"/>
    <w:rsid w:val="007B5298"/>
    <w:rsid w:val="007B7A65"/>
    <w:rsid w:val="007B7D83"/>
    <w:rsid w:val="007B7DF3"/>
    <w:rsid w:val="007C0503"/>
    <w:rsid w:val="007C051A"/>
    <w:rsid w:val="007C10A4"/>
    <w:rsid w:val="007C17D5"/>
    <w:rsid w:val="007C25C7"/>
    <w:rsid w:val="007C2FBD"/>
    <w:rsid w:val="007C435F"/>
    <w:rsid w:val="007C64E1"/>
    <w:rsid w:val="007C6859"/>
    <w:rsid w:val="007C7A2C"/>
    <w:rsid w:val="007D0731"/>
    <w:rsid w:val="007D11BB"/>
    <w:rsid w:val="007D29E3"/>
    <w:rsid w:val="007D4074"/>
    <w:rsid w:val="007D432A"/>
    <w:rsid w:val="007D5B36"/>
    <w:rsid w:val="007D663A"/>
    <w:rsid w:val="007D7F38"/>
    <w:rsid w:val="007D7FF4"/>
    <w:rsid w:val="007E015B"/>
    <w:rsid w:val="007E0318"/>
    <w:rsid w:val="007E1A53"/>
    <w:rsid w:val="007E6422"/>
    <w:rsid w:val="007E6C7C"/>
    <w:rsid w:val="007F020A"/>
    <w:rsid w:val="007F1836"/>
    <w:rsid w:val="007F1A56"/>
    <w:rsid w:val="007F5A4C"/>
    <w:rsid w:val="0080031D"/>
    <w:rsid w:val="008016AA"/>
    <w:rsid w:val="00802712"/>
    <w:rsid w:val="00807B13"/>
    <w:rsid w:val="0081185A"/>
    <w:rsid w:val="00811ABD"/>
    <w:rsid w:val="00812035"/>
    <w:rsid w:val="00812B91"/>
    <w:rsid w:val="00812C67"/>
    <w:rsid w:val="00815174"/>
    <w:rsid w:val="008155D0"/>
    <w:rsid w:val="008168C1"/>
    <w:rsid w:val="008175AB"/>
    <w:rsid w:val="00825582"/>
    <w:rsid w:val="00831D82"/>
    <w:rsid w:val="0083242D"/>
    <w:rsid w:val="008326C4"/>
    <w:rsid w:val="00841413"/>
    <w:rsid w:val="00841928"/>
    <w:rsid w:val="00843F7A"/>
    <w:rsid w:val="008454F5"/>
    <w:rsid w:val="008463F8"/>
    <w:rsid w:val="008500BF"/>
    <w:rsid w:val="0085057A"/>
    <w:rsid w:val="00853356"/>
    <w:rsid w:val="00853E75"/>
    <w:rsid w:val="00856F37"/>
    <w:rsid w:val="00857F48"/>
    <w:rsid w:val="0086249D"/>
    <w:rsid w:val="0086314C"/>
    <w:rsid w:val="00863CCD"/>
    <w:rsid w:val="00870B76"/>
    <w:rsid w:val="00872A45"/>
    <w:rsid w:val="00874212"/>
    <w:rsid w:val="00874286"/>
    <w:rsid w:val="0087452F"/>
    <w:rsid w:val="0087509E"/>
    <w:rsid w:val="008761DD"/>
    <w:rsid w:val="00876BF0"/>
    <w:rsid w:val="008775EF"/>
    <w:rsid w:val="008829EB"/>
    <w:rsid w:val="008859FC"/>
    <w:rsid w:val="00885E7D"/>
    <w:rsid w:val="00890A7C"/>
    <w:rsid w:val="00893C64"/>
    <w:rsid w:val="00894443"/>
    <w:rsid w:val="00894B0E"/>
    <w:rsid w:val="00895389"/>
    <w:rsid w:val="00895689"/>
    <w:rsid w:val="00896284"/>
    <w:rsid w:val="00897F9B"/>
    <w:rsid w:val="008A197C"/>
    <w:rsid w:val="008A22B7"/>
    <w:rsid w:val="008A2610"/>
    <w:rsid w:val="008A441D"/>
    <w:rsid w:val="008A5695"/>
    <w:rsid w:val="008B6784"/>
    <w:rsid w:val="008B6988"/>
    <w:rsid w:val="008B69CB"/>
    <w:rsid w:val="008B7885"/>
    <w:rsid w:val="008C0962"/>
    <w:rsid w:val="008C239E"/>
    <w:rsid w:val="008C2F3F"/>
    <w:rsid w:val="008C325A"/>
    <w:rsid w:val="008C3A1B"/>
    <w:rsid w:val="008C40B6"/>
    <w:rsid w:val="008C4CD4"/>
    <w:rsid w:val="008C6C78"/>
    <w:rsid w:val="008C6E4C"/>
    <w:rsid w:val="008D18A6"/>
    <w:rsid w:val="008D2DD8"/>
    <w:rsid w:val="008D36D5"/>
    <w:rsid w:val="008D4254"/>
    <w:rsid w:val="008D6CEE"/>
    <w:rsid w:val="008D76B1"/>
    <w:rsid w:val="008D7EC6"/>
    <w:rsid w:val="008E29D1"/>
    <w:rsid w:val="008E40D3"/>
    <w:rsid w:val="008E4666"/>
    <w:rsid w:val="008E6B41"/>
    <w:rsid w:val="008E6C20"/>
    <w:rsid w:val="008F1277"/>
    <w:rsid w:val="008F1491"/>
    <w:rsid w:val="008F3047"/>
    <w:rsid w:val="008F3674"/>
    <w:rsid w:val="008F38F8"/>
    <w:rsid w:val="008F5441"/>
    <w:rsid w:val="008F54CF"/>
    <w:rsid w:val="0090768C"/>
    <w:rsid w:val="00907B06"/>
    <w:rsid w:val="00911C60"/>
    <w:rsid w:val="00917973"/>
    <w:rsid w:val="00917EE1"/>
    <w:rsid w:val="00921D08"/>
    <w:rsid w:val="00922552"/>
    <w:rsid w:val="0092434E"/>
    <w:rsid w:val="0092540C"/>
    <w:rsid w:val="009257BF"/>
    <w:rsid w:val="009266A0"/>
    <w:rsid w:val="00927ED8"/>
    <w:rsid w:val="00930304"/>
    <w:rsid w:val="00934054"/>
    <w:rsid w:val="00936080"/>
    <w:rsid w:val="00936861"/>
    <w:rsid w:val="00937C65"/>
    <w:rsid w:val="00942BA3"/>
    <w:rsid w:val="0094348C"/>
    <w:rsid w:val="009463C5"/>
    <w:rsid w:val="009463DC"/>
    <w:rsid w:val="009479BD"/>
    <w:rsid w:val="00951138"/>
    <w:rsid w:val="009522A1"/>
    <w:rsid w:val="00955595"/>
    <w:rsid w:val="00956361"/>
    <w:rsid w:val="009573A5"/>
    <w:rsid w:val="00957750"/>
    <w:rsid w:val="00960B3E"/>
    <w:rsid w:val="0096517C"/>
    <w:rsid w:val="0097042F"/>
    <w:rsid w:val="00970CFD"/>
    <w:rsid w:val="00970F2B"/>
    <w:rsid w:val="00970F50"/>
    <w:rsid w:val="00970FC8"/>
    <w:rsid w:val="009715A0"/>
    <w:rsid w:val="009733E2"/>
    <w:rsid w:val="00973A53"/>
    <w:rsid w:val="009761A0"/>
    <w:rsid w:val="00977A91"/>
    <w:rsid w:val="0098098B"/>
    <w:rsid w:val="0098284B"/>
    <w:rsid w:val="00983840"/>
    <w:rsid w:val="00983E0E"/>
    <w:rsid w:val="00984D74"/>
    <w:rsid w:val="00986F8C"/>
    <w:rsid w:val="00987C83"/>
    <w:rsid w:val="00990641"/>
    <w:rsid w:val="00992416"/>
    <w:rsid w:val="00994D3D"/>
    <w:rsid w:val="0099669C"/>
    <w:rsid w:val="009A014E"/>
    <w:rsid w:val="009A1556"/>
    <w:rsid w:val="009A2C61"/>
    <w:rsid w:val="009A32D1"/>
    <w:rsid w:val="009A3C4F"/>
    <w:rsid w:val="009A48AC"/>
    <w:rsid w:val="009A4B39"/>
    <w:rsid w:val="009A4E49"/>
    <w:rsid w:val="009A681F"/>
    <w:rsid w:val="009A6CC3"/>
    <w:rsid w:val="009B1737"/>
    <w:rsid w:val="009B228A"/>
    <w:rsid w:val="009B2582"/>
    <w:rsid w:val="009B2609"/>
    <w:rsid w:val="009B2812"/>
    <w:rsid w:val="009B312C"/>
    <w:rsid w:val="009B4667"/>
    <w:rsid w:val="009B4D1F"/>
    <w:rsid w:val="009B581C"/>
    <w:rsid w:val="009B5898"/>
    <w:rsid w:val="009B6D4D"/>
    <w:rsid w:val="009B7BF5"/>
    <w:rsid w:val="009B7CE7"/>
    <w:rsid w:val="009C283F"/>
    <w:rsid w:val="009C3D8F"/>
    <w:rsid w:val="009C4CE5"/>
    <w:rsid w:val="009C6C5C"/>
    <w:rsid w:val="009C70DE"/>
    <w:rsid w:val="009C7773"/>
    <w:rsid w:val="009D1328"/>
    <w:rsid w:val="009D3692"/>
    <w:rsid w:val="009D3DDC"/>
    <w:rsid w:val="009E2064"/>
    <w:rsid w:val="009E362D"/>
    <w:rsid w:val="009E38A8"/>
    <w:rsid w:val="009E460B"/>
    <w:rsid w:val="009E7F11"/>
    <w:rsid w:val="009F2810"/>
    <w:rsid w:val="009F3467"/>
    <w:rsid w:val="009F3719"/>
    <w:rsid w:val="009F3781"/>
    <w:rsid w:val="009F43F9"/>
    <w:rsid w:val="009F73C4"/>
    <w:rsid w:val="00A0029F"/>
    <w:rsid w:val="00A026CB"/>
    <w:rsid w:val="00A0325B"/>
    <w:rsid w:val="00A03F3B"/>
    <w:rsid w:val="00A06391"/>
    <w:rsid w:val="00A068F6"/>
    <w:rsid w:val="00A11A6A"/>
    <w:rsid w:val="00A1449A"/>
    <w:rsid w:val="00A162E9"/>
    <w:rsid w:val="00A17F80"/>
    <w:rsid w:val="00A202AA"/>
    <w:rsid w:val="00A2270F"/>
    <w:rsid w:val="00A237D6"/>
    <w:rsid w:val="00A23C83"/>
    <w:rsid w:val="00A26089"/>
    <w:rsid w:val="00A26AB7"/>
    <w:rsid w:val="00A273BE"/>
    <w:rsid w:val="00A30B25"/>
    <w:rsid w:val="00A30F44"/>
    <w:rsid w:val="00A32C61"/>
    <w:rsid w:val="00A35A24"/>
    <w:rsid w:val="00A35E1D"/>
    <w:rsid w:val="00A378AD"/>
    <w:rsid w:val="00A41185"/>
    <w:rsid w:val="00A42504"/>
    <w:rsid w:val="00A42D06"/>
    <w:rsid w:val="00A43130"/>
    <w:rsid w:val="00A44085"/>
    <w:rsid w:val="00A468DE"/>
    <w:rsid w:val="00A46DE0"/>
    <w:rsid w:val="00A50653"/>
    <w:rsid w:val="00A55C42"/>
    <w:rsid w:val="00A56CC0"/>
    <w:rsid w:val="00A57BD1"/>
    <w:rsid w:val="00A60665"/>
    <w:rsid w:val="00A60B86"/>
    <w:rsid w:val="00A6199A"/>
    <w:rsid w:val="00A62FB6"/>
    <w:rsid w:val="00A655F3"/>
    <w:rsid w:val="00A663EE"/>
    <w:rsid w:val="00A671F7"/>
    <w:rsid w:val="00A67975"/>
    <w:rsid w:val="00A71D25"/>
    <w:rsid w:val="00A71FBF"/>
    <w:rsid w:val="00A7433C"/>
    <w:rsid w:val="00A75CA5"/>
    <w:rsid w:val="00A76AAD"/>
    <w:rsid w:val="00A7797C"/>
    <w:rsid w:val="00A808EB"/>
    <w:rsid w:val="00A8094E"/>
    <w:rsid w:val="00A8133D"/>
    <w:rsid w:val="00A821D9"/>
    <w:rsid w:val="00A82E5E"/>
    <w:rsid w:val="00A838EB"/>
    <w:rsid w:val="00A84318"/>
    <w:rsid w:val="00A85DB3"/>
    <w:rsid w:val="00A86810"/>
    <w:rsid w:val="00A86F11"/>
    <w:rsid w:val="00A91256"/>
    <w:rsid w:val="00A927B2"/>
    <w:rsid w:val="00A93120"/>
    <w:rsid w:val="00A94A2B"/>
    <w:rsid w:val="00A94DDA"/>
    <w:rsid w:val="00A96A28"/>
    <w:rsid w:val="00A975A3"/>
    <w:rsid w:val="00AA6D82"/>
    <w:rsid w:val="00AB0975"/>
    <w:rsid w:val="00AB169C"/>
    <w:rsid w:val="00AB2644"/>
    <w:rsid w:val="00AB2901"/>
    <w:rsid w:val="00AB305F"/>
    <w:rsid w:val="00AB3CB0"/>
    <w:rsid w:val="00AB5607"/>
    <w:rsid w:val="00AB7C44"/>
    <w:rsid w:val="00AC4A09"/>
    <w:rsid w:val="00AC6625"/>
    <w:rsid w:val="00AC7118"/>
    <w:rsid w:val="00AC7A30"/>
    <w:rsid w:val="00AD02AE"/>
    <w:rsid w:val="00AD0943"/>
    <w:rsid w:val="00AD33A3"/>
    <w:rsid w:val="00AD3478"/>
    <w:rsid w:val="00AD48D1"/>
    <w:rsid w:val="00AD5C34"/>
    <w:rsid w:val="00AD62CB"/>
    <w:rsid w:val="00AD79AF"/>
    <w:rsid w:val="00AE0EF5"/>
    <w:rsid w:val="00AE14D9"/>
    <w:rsid w:val="00AE296A"/>
    <w:rsid w:val="00AE7BF3"/>
    <w:rsid w:val="00AF1EC3"/>
    <w:rsid w:val="00AF333C"/>
    <w:rsid w:val="00B00E41"/>
    <w:rsid w:val="00B016F1"/>
    <w:rsid w:val="00B0191A"/>
    <w:rsid w:val="00B01C94"/>
    <w:rsid w:val="00B02715"/>
    <w:rsid w:val="00B04FBB"/>
    <w:rsid w:val="00B06B88"/>
    <w:rsid w:val="00B12D49"/>
    <w:rsid w:val="00B1406C"/>
    <w:rsid w:val="00B14AA2"/>
    <w:rsid w:val="00B1739A"/>
    <w:rsid w:val="00B203DF"/>
    <w:rsid w:val="00B22784"/>
    <w:rsid w:val="00B22FE4"/>
    <w:rsid w:val="00B23CED"/>
    <w:rsid w:val="00B2447E"/>
    <w:rsid w:val="00B25F76"/>
    <w:rsid w:val="00B26049"/>
    <w:rsid w:val="00B268BF"/>
    <w:rsid w:val="00B278B6"/>
    <w:rsid w:val="00B319C3"/>
    <w:rsid w:val="00B31BD4"/>
    <w:rsid w:val="00B33B73"/>
    <w:rsid w:val="00B37669"/>
    <w:rsid w:val="00B42DF5"/>
    <w:rsid w:val="00B44345"/>
    <w:rsid w:val="00B44A13"/>
    <w:rsid w:val="00B468BF"/>
    <w:rsid w:val="00B51212"/>
    <w:rsid w:val="00B561A9"/>
    <w:rsid w:val="00B56475"/>
    <w:rsid w:val="00B61208"/>
    <w:rsid w:val="00B61FF1"/>
    <w:rsid w:val="00B64794"/>
    <w:rsid w:val="00B64FCC"/>
    <w:rsid w:val="00B655C2"/>
    <w:rsid w:val="00B66EB0"/>
    <w:rsid w:val="00B70CFC"/>
    <w:rsid w:val="00B719CC"/>
    <w:rsid w:val="00B72309"/>
    <w:rsid w:val="00B74261"/>
    <w:rsid w:val="00B74FFA"/>
    <w:rsid w:val="00B80008"/>
    <w:rsid w:val="00B810A7"/>
    <w:rsid w:val="00B81242"/>
    <w:rsid w:val="00B81C5D"/>
    <w:rsid w:val="00B81DA0"/>
    <w:rsid w:val="00B82514"/>
    <w:rsid w:val="00B847BB"/>
    <w:rsid w:val="00B84B8E"/>
    <w:rsid w:val="00B87E08"/>
    <w:rsid w:val="00B90FF7"/>
    <w:rsid w:val="00B91C39"/>
    <w:rsid w:val="00B91F02"/>
    <w:rsid w:val="00B92806"/>
    <w:rsid w:val="00B92E94"/>
    <w:rsid w:val="00B93B05"/>
    <w:rsid w:val="00B94BA2"/>
    <w:rsid w:val="00B94D30"/>
    <w:rsid w:val="00B96B3B"/>
    <w:rsid w:val="00BA1094"/>
    <w:rsid w:val="00BA205B"/>
    <w:rsid w:val="00BA3025"/>
    <w:rsid w:val="00BA3E4C"/>
    <w:rsid w:val="00BA594A"/>
    <w:rsid w:val="00BA61CD"/>
    <w:rsid w:val="00BA7BF9"/>
    <w:rsid w:val="00BA7D0D"/>
    <w:rsid w:val="00BB0548"/>
    <w:rsid w:val="00BB2678"/>
    <w:rsid w:val="00BB2B7C"/>
    <w:rsid w:val="00BB39E2"/>
    <w:rsid w:val="00BB6629"/>
    <w:rsid w:val="00BC0D4F"/>
    <w:rsid w:val="00BC124A"/>
    <w:rsid w:val="00BC1688"/>
    <w:rsid w:val="00BC1CD0"/>
    <w:rsid w:val="00BC2B3A"/>
    <w:rsid w:val="00BC2D20"/>
    <w:rsid w:val="00BC3338"/>
    <w:rsid w:val="00BC3ACA"/>
    <w:rsid w:val="00BC3BED"/>
    <w:rsid w:val="00BC7A4A"/>
    <w:rsid w:val="00BD153B"/>
    <w:rsid w:val="00BD2B41"/>
    <w:rsid w:val="00BD3109"/>
    <w:rsid w:val="00BD358B"/>
    <w:rsid w:val="00BD44AA"/>
    <w:rsid w:val="00BD4762"/>
    <w:rsid w:val="00BD7D1E"/>
    <w:rsid w:val="00BE0A97"/>
    <w:rsid w:val="00BE28B5"/>
    <w:rsid w:val="00BE31D4"/>
    <w:rsid w:val="00BE5825"/>
    <w:rsid w:val="00BE6648"/>
    <w:rsid w:val="00BF06C6"/>
    <w:rsid w:val="00BF0C07"/>
    <w:rsid w:val="00BF2A84"/>
    <w:rsid w:val="00BF6471"/>
    <w:rsid w:val="00C00717"/>
    <w:rsid w:val="00C00E02"/>
    <w:rsid w:val="00C02FC2"/>
    <w:rsid w:val="00C03082"/>
    <w:rsid w:val="00C045A6"/>
    <w:rsid w:val="00C048DA"/>
    <w:rsid w:val="00C0560A"/>
    <w:rsid w:val="00C05D8C"/>
    <w:rsid w:val="00C11726"/>
    <w:rsid w:val="00C14FB9"/>
    <w:rsid w:val="00C1587A"/>
    <w:rsid w:val="00C16D2A"/>
    <w:rsid w:val="00C1717F"/>
    <w:rsid w:val="00C17C7F"/>
    <w:rsid w:val="00C253AE"/>
    <w:rsid w:val="00C25F94"/>
    <w:rsid w:val="00C30435"/>
    <w:rsid w:val="00C325D1"/>
    <w:rsid w:val="00C3372C"/>
    <w:rsid w:val="00C34C62"/>
    <w:rsid w:val="00C35AC9"/>
    <w:rsid w:val="00C3704E"/>
    <w:rsid w:val="00C4183C"/>
    <w:rsid w:val="00C44388"/>
    <w:rsid w:val="00C46761"/>
    <w:rsid w:val="00C50833"/>
    <w:rsid w:val="00C50868"/>
    <w:rsid w:val="00C51232"/>
    <w:rsid w:val="00C520FE"/>
    <w:rsid w:val="00C52A64"/>
    <w:rsid w:val="00C52E40"/>
    <w:rsid w:val="00C61CC2"/>
    <w:rsid w:val="00C62186"/>
    <w:rsid w:val="00C6265D"/>
    <w:rsid w:val="00C63BBA"/>
    <w:rsid w:val="00C64407"/>
    <w:rsid w:val="00C64679"/>
    <w:rsid w:val="00C656F1"/>
    <w:rsid w:val="00C659F7"/>
    <w:rsid w:val="00C66D42"/>
    <w:rsid w:val="00C701F8"/>
    <w:rsid w:val="00C70FC5"/>
    <w:rsid w:val="00C7189B"/>
    <w:rsid w:val="00C72321"/>
    <w:rsid w:val="00C72AB0"/>
    <w:rsid w:val="00C75D66"/>
    <w:rsid w:val="00C762BC"/>
    <w:rsid w:val="00C7684D"/>
    <w:rsid w:val="00C77357"/>
    <w:rsid w:val="00C779B0"/>
    <w:rsid w:val="00C8091E"/>
    <w:rsid w:val="00C80E8A"/>
    <w:rsid w:val="00C827B2"/>
    <w:rsid w:val="00C82C4E"/>
    <w:rsid w:val="00C84243"/>
    <w:rsid w:val="00C8455E"/>
    <w:rsid w:val="00C847B7"/>
    <w:rsid w:val="00C85056"/>
    <w:rsid w:val="00C85588"/>
    <w:rsid w:val="00C87261"/>
    <w:rsid w:val="00C87E61"/>
    <w:rsid w:val="00C90856"/>
    <w:rsid w:val="00C922B7"/>
    <w:rsid w:val="00C932DE"/>
    <w:rsid w:val="00C94D13"/>
    <w:rsid w:val="00C95B79"/>
    <w:rsid w:val="00C968B4"/>
    <w:rsid w:val="00CA00B5"/>
    <w:rsid w:val="00CA290B"/>
    <w:rsid w:val="00CA2A70"/>
    <w:rsid w:val="00CA36FD"/>
    <w:rsid w:val="00CA3865"/>
    <w:rsid w:val="00CA45F6"/>
    <w:rsid w:val="00CA6A32"/>
    <w:rsid w:val="00CA6D38"/>
    <w:rsid w:val="00CA721B"/>
    <w:rsid w:val="00CA732A"/>
    <w:rsid w:val="00CB0BCD"/>
    <w:rsid w:val="00CB1FBD"/>
    <w:rsid w:val="00CB2F8B"/>
    <w:rsid w:val="00CB3E77"/>
    <w:rsid w:val="00CB411C"/>
    <w:rsid w:val="00CB57CB"/>
    <w:rsid w:val="00CB5C9C"/>
    <w:rsid w:val="00CB6A43"/>
    <w:rsid w:val="00CB7071"/>
    <w:rsid w:val="00CB71C7"/>
    <w:rsid w:val="00CB76EC"/>
    <w:rsid w:val="00CC032D"/>
    <w:rsid w:val="00CC1509"/>
    <w:rsid w:val="00CC2ADF"/>
    <w:rsid w:val="00CC3B9D"/>
    <w:rsid w:val="00CC3F91"/>
    <w:rsid w:val="00CC7568"/>
    <w:rsid w:val="00CC7BED"/>
    <w:rsid w:val="00CD1DD0"/>
    <w:rsid w:val="00CD31B7"/>
    <w:rsid w:val="00CD61F3"/>
    <w:rsid w:val="00CE06AB"/>
    <w:rsid w:val="00CE13C6"/>
    <w:rsid w:val="00CE1EF8"/>
    <w:rsid w:val="00CE222F"/>
    <w:rsid w:val="00CE2A2E"/>
    <w:rsid w:val="00CE2BD9"/>
    <w:rsid w:val="00CE3E96"/>
    <w:rsid w:val="00CE6065"/>
    <w:rsid w:val="00CE6CCE"/>
    <w:rsid w:val="00CE6D9E"/>
    <w:rsid w:val="00CF0AED"/>
    <w:rsid w:val="00CF161D"/>
    <w:rsid w:val="00CF2B51"/>
    <w:rsid w:val="00CF303A"/>
    <w:rsid w:val="00CF39DB"/>
    <w:rsid w:val="00CF4677"/>
    <w:rsid w:val="00CF60A2"/>
    <w:rsid w:val="00CF6939"/>
    <w:rsid w:val="00D00695"/>
    <w:rsid w:val="00D04411"/>
    <w:rsid w:val="00D04808"/>
    <w:rsid w:val="00D107E5"/>
    <w:rsid w:val="00D110E7"/>
    <w:rsid w:val="00D1160C"/>
    <w:rsid w:val="00D11F3F"/>
    <w:rsid w:val="00D12490"/>
    <w:rsid w:val="00D140C1"/>
    <w:rsid w:val="00D14339"/>
    <w:rsid w:val="00D14E4D"/>
    <w:rsid w:val="00D16A72"/>
    <w:rsid w:val="00D17212"/>
    <w:rsid w:val="00D21C4C"/>
    <w:rsid w:val="00D22323"/>
    <w:rsid w:val="00D26261"/>
    <w:rsid w:val="00D26CF6"/>
    <w:rsid w:val="00D27DE0"/>
    <w:rsid w:val="00D30F11"/>
    <w:rsid w:val="00D31505"/>
    <w:rsid w:val="00D32FD4"/>
    <w:rsid w:val="00D33D9E"/>
    <w:rsid w:val="00D36215"/>
    <w:rsid w:val="00D37BD7"/>
    <w:rsid w:val="00D40558"/>
    <w:rsid w:val="00D44564"/>
    <w:rsid w:val="00D44C05"/>
    <w:rsid w:val="00D475B2"/>
    <w:rsid w:val="00D5098A"/>
    <w:rsid w:val="00D51910"/>
    <w:rsid w:val="00D51F96"/>
    <w:rsid w:val="00D60E05"/>
    <w:rsid w:val="00D611EF"/>
    <w:rsid w:val="00D648D4"/>
    <w:rsid w:val="00D658A9"/>
    <w:rsid w:val="00D65D4B"/>
    <w:rsid w:val="00D67160"/>
    <w:rsid w:val="00D67758"/>
    <w:rsid w:val="00D74F95"/>
    <w:rsid w:val="00D755B9"/>
    <w:rsid w:val="00D768FE"/>
    <w:rsid w:val="00D7743A"/>
    <w:rsid w:val="00D8172A"/>
    <w:rsid w:val="00D818AE"/>
    <w:rsid w:val="00D852EE"/>
    <w:rsid w:val="00D85521"/>
    <w:rsid w:val="00D87F23"/>
    <w:rsid w:val="00D91592"/>
    <w:rsid w:val="00D94CC7"/>
    <w:rsid w:val="00D965D4"/>
    <w:rsid w:val="00D96F6C"/>
    <w:rsid w:val="00D971A1"/>
    <w:rsid w:val="00DA0586"/>
    <w:rsid w:val="00DA1E14"/>
    <w:rsid w:val="00DA2110"/>
    <w:rsid w:val="00DA3470"/>
    <w:rsid w:val="00DB4A7D"/>
    <w:rsid w:val="00DB62A6"/>
    <w:rsid w:val="00DB6C7D"/>
    <w:rsid w:val="00DC0FCA"/>
    <w:rsid w:val="00DC135F"/>
    <w:rsid w:val="00DC37DC"/>
    <w:rsid w:val="00DC3E92"/>
    <w:rsid w:val="00DC4426"/>
    <w:rsid w:val="00DC58F0"/>
    <w:rsid w:val="00DC730A"/>
    <w:rsid w:val="00DC7BE0"/>
    <w:rsid w:val="00DD2221"/>
    <w:rsid w:val="00DD3498"/>
    <w:rsid w:val="00DD4C2D"/>
    <w:rsid w:val="00DD5753"/>
    <w:rsid w:val="00DD666D"/>
    <w:rsid w:val="00DD6A3C"/>
    <w:rsid w:val="00DD6C41"/>
    <w:rsid w:val="00DD75E9"/>
    <w:rsid w:val="00DD7BB2"/>
    <w:rsid w:val="00DE056A"/>
    <w:rsid w:val="00DE18AE"/>
    <w:rsid w:val="00DE19A5"/>
    <w:rsid w:val="00DE1B26"/>
    <w:rsid w:val="00DE209B"/>
    <w:rsid w:val="00DE2BC3"/>
    <w:rsid w:val="00DE31A1"/>
    <w:rsid w:val="00DE3F3E"/>
    <w:rsid w:val="00DF1EC6"/>
    <w:rsid w:val="00DF22DA"/>
    <w:rsid w:val="00DF29E6"/>
    <w:rsid w:val="00DF2F01"/>
    <w:rsid w:val="00DF395F"/>
    <w:rsid w:val="00DF5E39"/>
    <w:rsid w:val="00DF6E98"/>
    <w:rsid w:val="00DF76CF"/>
    <w:rsid w:val="00E0250C"/>
    <w:rsid w:val="00E03BF4"/>
    <w:rsid w:val="00E03FEA"/>
    <w:rsid w:val="00E048EC"/>
    <w:rsid w:val="00E04D0C"/>
    <w:rsid w:val="00E07DBC"/>
    <w:rsid w:val="00E10CC2"/>
    <w:rsid w:val="00E11330"/>
    <w:rsid w:val="00E12308"/>
    <w:rsid w:val="00E1586E"/>
    <w:rsid w:val="00E15E8D"/>
    <w:rsid w:val="00E206AC"/>
    <w:rsid w:val="00E20A27"/>
    <w:rsid w:val="00E2168B"/>
    <w:rsid w:val="00E21B78"/>
    <w:rsid w:val="00E2275C"/>
    <w:rsid w:val="00E228F3"/>
    <w:rsid w:val="00E23264"/>
    <w:rsid w:val="00E243E0"/>
    <w:rsid w:val="00E26DF5"/>
    <w:rsid w:val="00E27416"/>
    <w:rsid w:val="00E30F1C"/>
    <w:rsid w:val="00E31BA6"/>
    <w:rsid w:val="00E3238F"/>
    <w:rsid w:val="00E32640"/>
    <w:rsid w:val="00E3598A"/>
    <w:rsid w:val="00E37300"/>
    <w:rsid w:val="00E412E8"/>
    <w:rsid w:val="00E41B27"/>
    <w:rsid w:val="00E439CB"/>
    <w:rsid w:val="00E44932"/>
    <w:rsid w:val="00E44D5E"/>
    <w:rsid w:val="00E471A0"/>
    <w:rsid w:val="00E47BE4"/>
    <w:rsid w:val="00E5037A"/>
    <w:rsid w:val="00E54158"/>
    <w:rsid w:val="00E54E0C"/>
    <w:rsid w:val="00E55B77"/>
    <w:rsid w:val="00E61C6D"/>
    <w:rsid w:val="00E62A57"/>
    <w:rsid w:val="00E643DC"/>
    <w:rsid w:val="00E651E1"/>
    <w:rsid w:val="00E6602E"/>
    <w:rsid w:val="00E67FC1"/>
    <w:rsid w:val="00E70E2C"/>
    <w:rsid w:val="00E71082"/>
    <w:rsid w:val="00E726B4"/>
    <w:rsid w:val="00E72B1F"/>
    <w:rsid w:val="00E72F25"/>
    <w:rsid w:val="00E73325"/>
    <w:rsid w:val="00E73680"/>
    <w:rsid w:val="00E75973"/>
    <w:rsid w:val="00E772F0"/>
    <w:rsid w:val="00E8048D"/>
    <w:rsid w:val="00E80653"/>
    <w:rsid w:val="00E80B73"/>
    <w:rsid w:val="00E8171A"/>
    <w:rsid w:val="00E8194E"/>
    <w:rsid w:val="00E839A9"/>
    <w:rsid w:val="00E855C4"/>
    <w:rsid w:val="00E8621D"/>
    <w:rsid w:val="00E86E31"/>
    <w:rsid w:val="00E87717"/>
    <w:rsid w:val="00E8799E"/>
    <w:rsid w:val="00E90B3B"/>
    <w:rsid w:val="00E933C2"/>
    <w:rsid w:val="00E937C1"/>
    <w:rsid w:val="00E93F99"/>
    <w:rsid w:val="00E94777"/>
    <w:rsid w:val="00E94BFC"/>
    <w:rsid w:val="00E96E4A"/>
    <w:rsid w:val="00E97A8D"/>
    <w:rsid w:val="00EA1C76"/>
    <w:rsid w:val="00EA21F1"/>
    <w:rsid w:val="00EA2E66"/>
    <w:rsid w:val="00EA4FD4"/>
    <w:rsid w:val="00EB0C88"/>
    <w:rsid w:val="00EB1A59"/>
    <w:rsid w:val="00EB1D7B"/>
    <w:rsid w:val="00EB260F"/>
    <w:rsid w:val="00EB2E12"/>
    <w:rsid w:val="00EB36C4"/>
    <w:rsid w:val="00EB5B28"/>
    <w:rsid w:val="00EB5BDE"/>
    <w:rsid w:val="00EB66C8"/>
    <w:rsid w:val="00EB7068"/>
    <w:rsid w:val="00EC0B43"/>
    <w:rsid w:val="00EC1279"/>
    <w:rsid w:val="00EC4DA7"/>
    <w:rsid w:val="00EC711D"/>
    <w:rsid w:val="00EC7538"/>
    <w:rsid w:val="00EC7C2C"/>
    <w:rsid w:val="00EC7CD6"/>
    <w:rsid w:val="00ED1A80"/>
    <w:rsid w:val="00ED2AD3"/>
    <w:rsid w:val="00ED2E5F"/>
    <w:rsid w:val="00ED3E33"/>
    <w:rsid w:val="00ED4FE3"/>
    <w:rsid w:val="00ED5D65"/>
    <w:rsid w:val="00ED68E4"/>
    <w:rsid w:val="00EE19FA"/>
    <w:rsid w:val="00EE1B17"/>
    <w:rsid w:val="00EE2507"/>
    <w:rsid w:val="00EE492C"/>
    <w:rsid w:val="00EE4B36"/>
    <w:rsid w:val="00EE54C7"/>
    <w:rsid w:val="00EE5654"/>
    <w:rsid w:val="00EE584C"/>
    <w:rsid w:val="00EE6A36"/>
    <w:rsid w:val="00EE72D9"/>
    <w:rsid w:val="00EF01AE"/>
    <w:rsid w:val="00EF022F"/>
    <w:rsid w:val="00EF1DCC"/>
    <w:rsid w:val="00EF31A4"/>
    <w:rsid w:val="00EF75F8"/>
    <w:rsid w:val="00F0019E"/>
    <w:rsid w:val="00F0269F"/>
    <w:rsid w:val="00F0281E"/>
    <w:rsid w:val="00F02E79"/>
    <w:rsid w:val="00F0610D"/>
    <w:rsid w:val="00F06714"/>
    <w:rsid w:val="00F06F8E"/>
    <w:rsid w:val="00F07823"/>
    <w:rsid w:val="00F07973"/>
    <w:rsid w:val="00F12EC9"/>
    <w:rsid w:val="00F167FA"/>
    <w:rsid w:val="00F17330"/>
    <w:rsid w:val="00F178AB"/>
    <w:rsid w:val="00F2251A"/>
    <w:rsid w:val="00F22D22"/>
    <w:rsid w:val="00F2474E"/>
    <w:rsid w:val="00F2709D"/>
    <w:rsid w:val="00F27980"/>
    <w:rsid w:val="00F30B19"/>
    <w:rsid w:val="00F3130F"/>
    <w:rsid w:val="00F31AD0"/>
    <w:rsid w:val="00F3296B"/>
    <w:rsid w:val="00F35A51"/>
    <w:rsid w:val="00F3780E"/>
    <w:rsid w:val="00F37A10"/>
    <w:rsid w:val="00F42594"/>
    <w:rsid w:val="00F42994"/>
    <w:rsid w:val="00F430CA"/>
    <w:rsid w:val="00F4424C"/>
    <w:rsid w:val="00F45A78"/>
    <w:rsid w:val="00F503CE"/>
    <w:rsid w:val="00F50433"/>
    <w:rsid w:val="00F52D51"/>
    <w:rsid w:val="00F561A9"/>
    <w:rsid w:val="00F60576"/>
    <w:rsid w:val="00F63D05"/>
    <w:rsid w:val="00F6422C"/>
    <w:rsid w:val="00F646E8"/>
    <w:rsid w:val="00F64D26"/>
    <w:rsid w:val="00F6660D"/>
    <w:rsid w:val="00F70421"/>
    <w:rsid w:val="00F70A1E"/>
    <w:rsid w:val="00F720D0"/>
    <w:rsid w:val="00F742E7"/>
    <w:rsid w:val="00F7562A"/>
    <w:rsid w:val="00F7572C"/>
    <w:rsid w:val="00F8065D"/>
    <w:rsid w:val="00F808EF"/>
    <w:rsid w:val="00F81B39"/>
    <w:rsid w:val="00F825E9"/>
    <w:rsid w:val="00F83AB9"/>
    <w:rsid w:val="00F83F65"/>
    <w:rsid w:val="00F8444D"/>
    <w:rsid w:val="00F84A72"/>
    <w:rsid w:val="00F854CD"/>
    <w:rsid w:val="00F85645"/>
    <w:rsid w:val="00F901D6"/>
    <w:rsid w:val="00F919AE"/>
    <w:rsid w:val="00FA1110"/>
    <w:rsid w:val="00FA1261"/>
    <w:rsid w:val="00FA2730"/>
    <w:rsid w:val="00FA2758"/>
    <w:rsid w:val="00FA2A63"/>
    <w:rsid w:val="00FA3155"/>
    <w:rsid w:val="00FA50CA"/>
    <w:rsid w:val="00FA72A2"/>
    <w:rsid w:val="00FA78F6"/>
    <w:rsid w:val="00FB0787"/>
    <w:rsid w:val="00FB155C"/>
    <w:rsid w:val="00FB44CD"/>
    <w:rsid w:val="00FB4A83"/>
    <w:rsid w:val="00FB53D5"/>
    <w:rsid w:val="00FB62E2"/>
    <w:rsid w:val="00FB65BF"/>
    <w:rsid w:val="00FB7087"/>
    <w:rsid w:val="00FC0FD7"/>
    <w:rsid w:val="00FC24BD"/>
    <w:rsid w:val="00FC2B5E"/>
    <w:rsid w:val="00FC2DAD"/>
    <w:rsid w:val="00FC2E29"/>
    <w:rsid w:val="00FC3EBF"/>
    <w:rsid w:val="00FD065F"/>
    <w:rsid w:val="00FD0DD7"/>
    <w:rsid w:val="00FD2053"/>
    <w:rsid w:val="00FD6839"/>
    <w:rsid w:val="00FE02AB"/>
    <w:rsid w:val="00FE0C4E"/>
    <w:rsid w:val="00FE3180"/>
    <w:rsid w:val="00FE4C15"/>
    <w:rsid w:val="00FE5B2D"/>
    <w:rsid w:val="00FE6844"/>
    <w:rsid w:val="00FF143D"/>
    <w:rsid w:val="00FF159E"/>
    <w:rsid w:val="00FF2B19"/>
    <w:rsid w:val="00FF3743"/>
    <w:rsid w:val="00FF468F"/>
    <w:rsid w:val="00FF61EF"/>
    <w:rsid w:val="00FF6647"/>
    <w:rsid w:val="00FF6C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9D14C3F"/>
  <w14:defaultImageDpi w14:val="32767"/>
  <w15:chartTrackingRefBased/>
  <w15:docId w15:val="{30E43B84-6360-4D09-9DC7-E59B5601A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7D1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319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64E9F"/>
    <w:pPr>
      <w:tabs>
        <w:tab w:val="center" w:pos="4252"/>
        <w:tab w:val="right" w:pos="8504"/>
      </w:tabs>
      <w:snapToGrid w:val="0"/>
    </w:pPr>
  </w:style>
  <w:style w:type="character" w:customStyle="1" w:styleId="a5">
    <w:name w:val="ヘッダー (文字)"/>
    <w:basedOn w:val="a0"/>
    <w:link w:val="a4"/>
    <w:uiPriority w:val="99"/>
    <w:rsid w:val="00364E9F"/>
  </w:style>
  <w:style w:type="paragraph" w:styleId="a6">
    <w:name w:val="footer"/>
    <w:basedOn w:val="a"/>
    <w:link w:val="a7"/>
    <w:uiPriority w:val="99"/>
    <w:unhideWhenUsed/>
    <w:rsid w:val="00364E9F"/>
    <w:pPr>
      <w:tabs>
        <w:tab w:val="center" w:pos="4252"/>
        <w:tab w:val="right" w:pos="8504"/>
      </w:tabs>
      <w:snapToGrid w:val="0"/>
    </w:pPr>
  </w:style>
  <w:style w:type="character" w:customStyle="1" w:styleId="a7">
    <w:name w:val="フッター (文字)"/>
    <w:basedOn w:val="a0"/>
    <w:link w:val="a6"/>
    <w:uiPriority w:val="99"/>
    <w:rsid w:val="00364E9F"/>
  </w:style>
  <w:style w:type="paragraph" w:styleId="a8">
    <w:name w:val="Revision"/>
    <w:hidden/>
    <w:uiPriority w:val="99"/>
    <w:semiHidden/>
    <w:rsid w:val="00F8444D"/>
  </w:style>
  <w:style w:type="character" w:styleId="a9">
    <w:name w:val="annotation reference"/>
    <w:basedOn w:val="a0"/>
    <w:uiPriority w:val="99"/>
    <w:semiHidden/>
    <w:unhideWhenUsed/>
    <w:rsid w:val="0006082E"/>
    <w:rPr>
      <w:sz w:val="18"/>
      <w:szCs w:val="18"/>
    </w:rPr>
  </w:style>
  <w:style w:type="paragraph" w:styleId="aa">
    <w:name w:val="annotation text"/>
    <w:basedOn w:val="a"/>
    <w:link w:val="ab"/>
    <w:uiPriority w:val="99"/>
    <w:unhideWhenUsed/>
    <w:rsid w:val="0006082E"/>
    <w:pPr>
      <w:jc w:val="left"/>
    </w:pPr>
  </w:style>
  <w:style w:type="character" w:customStyle="1" w:styleId="ab">
    <w:name w:val="コメント文字列 (文字)"/>
    <w:basedOn w:val="a0"/>
    <w:link w:val="aa"/>
    <w:uiPriority w:val="99"/>
    <w:rsid w:val="0006082E"/>
  </w:style>
  <w:style w:type="paragraph" w:styleId="ac">
    <w:name w:val="annotation subject"/>
    <w:basedOn w:val="aa"/>
    <w:next w:val="aa"/>
    <w:link w:val="ad"/>
    <w:uiPriority w:val="99"/>
    <w:semiHidden/>
    <w:unhideWhenUsed/>
    <w:rsid w:val="0006082E"/>
    <w:rPr>
      <w:b/>
      <w:bCs/>
    </w:rPr>
  </w:style>
  <w:style w:type="character" w:customStyle="1" w:styleId="ad">
    <w:name w:val="コメント内容 (文字)"/>
    <w:basedOn w:val="ab"/>
    <w:link w:val="ac"/>
    <w:uiPriority w:val="99"/>
    <w:semiHidden/>
    <w:rsid w:val="0006082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362A90-EAF5-4D75-A14F-22BD4A7FC8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11616</TotalTime>
  <Pages>50</Pages>
  <Words>13082</Words>
  <Characters>74572</Characters>
  <Application>Microsoft Office Word</Application>
  <DocSecurity>0</DocSecurity>
  <Lines>621</Lines>
  <Paragraphs>174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87480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onchiken</dc:creator>
  <cp:keywords/>
  <dc:description/>
  <cp:lastModifiedBy>kobayashi</cp:lastModifiedBy>
  <cp:revision>1547</cp:revision>
  <cp:lastPrinted>2026-03-31T07:51:00Z</cp:lastPrinted>
  <dcterms:created xsi:type="dcterms:W3CDTF">2026-03-31T04:32:00Z</dcterms:created>
  <dcterms:modified xsi:type="dcterms:W3CDTF">2026-08-14T09:28:00Z</dcterms:modified>
</cp:coreProperties>
</file>