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F77D6D" w14:textId="77777777" w:rsidR="001322A3" w:rsidRPr="0027370A" w:rsidRDefault="001322A3" w:rsidP="00206C81">
      <w:pPr>
        <w:pStyle w:val="Heading1"/>
        <w:rPr>
          <w:rFonts w:eastAsia="Arial"/>
          <w:b/>
        </w:rPr>
      </w:pPr>
      <w:r w:rsidRPr="0027370A">
        <w:rPr>
          <w:rFonts w:eastAsia="Arial"/>
          <w:b/>
        </w:rPr>
        <w:t xml:space="preserve">Title: </w:t>
      </w:r>
      <w:r w:rsidRPr="0027370A">
        <w:rPr>
          <w:rFonts w:eastAsia="Arial"/>
        </w:rPr>
        <w:t>The economic impact of the arts on the health and wellbeing of children and young people: A systematic review.</w:t>
      </w:r>
    </w:p>
    <w:p w14:paraId="2A1E4EC7" w14:textId="5BC4AD5B" w:rsidR="003F57BA" w:rsidRPr="0027370A" w:rsidRDefault="001322A3" w:rsidP="0027370A">
      <w:pPr>
        <w:spacing w:after="0"/>
        <w:rPr>
          <w:rFonts w:eastAsia="Arial" w:cs="Arial"/>
          <w:b/>
        </w:rPr>
      </w:pPr>
      <w:r w:rsidRPr="0027370A">
        <w:rPr>
          <w:rFonts w:eastAsia="Arial" w:cs="Arial"/>
          <w:b/>
        </w:rPr>
        <w:t xml:space="preserve">Supplementary File 5: </w:t>
      </w:r>
      <w:r w:rsidR="0048026B" w:rsidRPr="0027370A">
        <w:rPr>
          <w:rFonts w:eastAsia="Arial" w:cs="Arial"/>
          <w:bCs/>
        </w:rPr>
        <w:t>R</w:t>
      </w:r>
      <w:r w:rsidR="00EE6D05" w:rsidRPr="0027370A">
        <w:rPr>
          <w:rFonts w:eastAsia="Arial" w:cs="Arial"/>
          <w:bCs/>
        </w:rPr>
        <w:t xml:space="preserve">eporting quality </w:t>
      </w:r>
      <w:r w:rsidR="0048026B" w:rsidRPr="0027370A">
        <w:rPr>
          <w:rFonts w:eastAsia="Arial" w:cs="Arial"/>
          <w:bCs/>
        </w:rPr>
        <w:t xml:space="preserve">completed </w:t>
      </w:r>
      <w:r w:rsidR="00EE6D05" w:rsidRPr="0027370A">
        <w:rPr>
          <w:rFonts w:eastAsia="Arial" w:cs="Arial"/>
          <w:bCs/>
        </w:rPr>
        <w:t>checklists</w:t>
      </w:r>
    </w:p>
    <w:p w14:paraId="33EBD914" w14:textId="2B7DC86B" w:rsidR="002137B8" w:rsidRDefault="00D30839">
      <w:pPr>
        <w:rPr>
          <w:rFonts w:ascii="Arial" w:eastAsia="Arial" w:hAnsi="Arial" w:cs="Arial"/>
          <w:b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br w:type="page"/>
      </w:r>
      <w:r w:rsidR="008E032B" w:rsidRPr="00E20767">
        <w:rPr>
          <w:rFonts w:ascii="Arial" w:eastAsia="Arial" w:hAnsi="Arial" w:cs="Arial"/>
          <w:b/>
          <w:sz w:val="20"/>
          <w:szCs w:val="20"/>
        </w:rPr>
        <w:lastRenderedPageBreak/>
        <w:t xml:space="preserve">CHEERS 2022 </w:t>
      </w:r>
      <w:r w:rsidR="0016103C" w:rsidRPr="00E20767">
        <w:rPr>
          <w:rFonts w:ascii="Arial" w:eastAsia="Arial" w:hAnsi="Arial" w:cs="Arial"/>
          <w:b/>
          <w:sz w:val="20"/>
          <w:szCs w:val="20"/>
        </w:rPr>
        <w:t xml:space="preserve">checklist </w:t>
      </w:r>
      <w:r w:rsidR="0016103C" w:rsidRPr="0016103C">
        <w:rPr>
          <w:rFonts w:ascii="Arial" w:eastAsia="Arial" w:hAnsi="Arial" w:cs="Arial"/>
          <w:b/>
          <w:sz w:val="20"/>
          <w:szCs w:val="20"/>
        </w:rPr>
        <w:t xml:space="preserve">to </w:t>
      </w:r>
      <w:r w:rsidR="0016103C">
        <w:rPr>
          <w:rFonts w:ascii="Arial" w:eastAsia="Arial" w:hAnsi="Arial" w:cs="Arial"/>
          <w:b/>
          <w:sz w:val="20"/>
          <w:szCs w:val="20"/>
        </w:rPr>
        <w:t>assess the quality of reporting</w:t>
      </w:r>
      <w:r w:rsidR="00D16F99">
        <w:rPr>
          <w:rFonts w:ascii="Arial" w:eastAsia="Arial" w:hAnsi="Arial" w:cs="Arial"/>
          <w:b/>
          <w:sz w:val="20"/>
          <w:szCs w:val="20"/>
        </w:rPr>
        <w:t xml:space="preserve"> in health economic evaluations</w:t>
      </w:r>
      <w:r w:rsidR="00041F3A">
        <w:rPr>
          <w:rFonts w:ascii="Arial" w:eastAsia="Arial" w:hAnsi="Arial" w:cs="Arial"/>
          <w:b/>
          <w:sz w:val="20"/>
          <w:szCs w:val="20"/>
        </w:rPr>
        <w:t xml:space="preserve"> </w:t>
      </w:r>
      <w:r w:rsidR="00050293" w:rsidRPr="00050293">
        <w:rPr>
          <w:rFonts w:ascii="Arial" w:eastAsia="Arial" w:hAnsi="Arial" w:cs="Arial"/>
          <w:b/>
          <w:sz w:val="20"/>
          <w:szCs w:val="20"/>
        </w:rPr>
        <w:t>(Husereau et al, 2022)</w:t>
      </w:r>
      <w:r w:rsidR="001446A5" w:rsidRPr="00050293">
        <w:rPr>
          <w:b/>
          <w:noProof/>
        </w:rPr>
        <w:drawing>
          <wp:inline distT="0" distB="0" distL="0" distR="0" wp14:anchorId="54B24E0F" wp14:editId="2AFA3269">
            <wp:extent cx="6324600" cy="9049388"/>
            <wp:effectExtent l="0" t="0" r="0" b="0"/>
            <wp:docPr id="1501578618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9118" cy="9070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137B8">
        <w:rPr>
          <w:rFonts w:ascii="Arial" w:eastAsia="Arial" w:hAnsi="Arial" w:cs="Arial"/>
          <w:b/>
          <w:sz w:val="20"/>
          <w:szCs w:val="20"/>
        </w:rPr>
        <w:br w:type="page"/>
      </w:r>
    </w:p>
    <w:p w14:paraId="71091616" w14:textId="4803747F" w:rsidR="005F5AC8" w:rsidRPr="00D16F99" w:rsidRDefault="00E20767" w:rsidP="00051828">
      <w:pPr>
        <w:rPr>
          <w:rFonts w:ascii="Arial" w:hAnsi="Arial" w:cs="Arial"/>
        </w:rPr>
      </w:pPr>
      <w:r>
        <w:rPr>
          <w:rFonts w:ascii="Arial" w:eastAsia="Arial" w:hAnsi="Arial" w:cs="Arial"/>
          <w:b/>
          <w:sz w:val="20"/>
          <w:szCs w:val="20"/>
        </w:rPr>
        <w:lastRenderedPageBreak/>
        <w:t>SROI</w:t>
      </w:r>
      <w:r w:rsidR="00D16F99" w:rsidRPr="0016103C">
        <w:rPr>
          <w:rFonts w:ascii="Arial" w:eastAsia="Arial" w:hAnsi="Arial" w:cs="Arial"/>
          <w:b/>
          <w:sz w:val="20"/>
          <w:szCs w:val="20"/>
        </w:rPr>
        <w:t xml:space="preserve"> </w:t>
      </w:r>
      <w:r w:rsidR="0054711D">
        <w:rPr>
          <w:rFonts w:ascii="Arial" w:eastAsia="Arial" w:hAnsi="Arial" w:cs="Arial"/>
          <w:b/>
          <w:sz w:val="20"/>
          <w:szCs w:val="20"/>
        </w:rPr>
        <w:t>Quality Framework</w:t>
      </w:r>
      <w:r w:rsidR="00D16F99" w:rsidRPr="0016103C">
        <w:rPr>
          <w:rFonts w:ascii="Arial" w:eastAsia="Arial" w:hAnsi="Arial" w:cs="Arial"/>
          <w:b/>
          <w:sz w:val="20"/>
          <w:szCs w:val="20"/>
        </w:rPr>
        <w:t xml:space="preserve"> to </w:t>
      </w:r>
      <w:r w:rsidR="00D16F99">
        <w:rPr>
          <w:rFonts w:ascii="Arial" w:eastAsia="Arial" w:hAnsi="Arial" w:cs="Arial"/>
          <w:b/>
          <w:sz w:val="20"/>
          <w:szCs w:val="20"/>
        </w:rPr>
        <w:t xml:space="preserve">assess the quality of reporting </w:t>
      </w:r>
      <w:r w:rsidR="0054711D">
        <w:rPr>
          <w:rFonts w:ascii="Arial" w:eastAsia="Arial" w:hAnsi="Arial" w:cs="Arial"/>
          <w:b/>
          <w:sz w:val="20"/>
          <w:szCs w:val="20"/>
        </w:rPr>
        <w:t>in</w:t>
      </w:r>
      <w:r>
        <w:rPr>
          <w:rFonts w:ascii="Arial" w:eastAsia="Arial" w:hAnsi="Arial" w:cs="Arial"/>
          <w:b/>
          <w:sz w:val="20"/>
          <w:szCs w:val="20"/>
        </w:rPr>
        <w:t xml:space="preserve"> SROI studies</w:t>
      </w:r>
      <w:r w:rsidR="00041F3A">
        <w:rPr>
          <w:rFonts w:ascii="Arial" w:eastAsia="Arial" w:hAnsi="Arial" w:cs="Arial"/>
          <w:b/>
          <w:sz w:val="20"/>
          <w:szCs w:val="20"/>
        </w:rPr>
        <w:t xml:space="preserve"> (</w:t>
      </w:r>
      <w:r w:rsidR="00041F3A" w:rsidRPr="00041F3A">
        <w:rPr>
          <w:rFonts w:ascii="Arial" w:eastAsia="Arial" w:hAnsi="Arial" w:cs="Arial"/>
          <w:b/>
          <w:bCs/>
          <w:sz w:val="20"/>
          <w:szCs w:val="20"/>
        </w:rPr>
        <w:t>Hutchinson et al, 2018)</w:t>
      </w:r>
    </w:p>
    <w:p w14:paraId="7A77C1D8" w14:textId="1A8B6279" w:rsidR="00CD068C" w:rsidRDefault="004E2EE5">
      <w:r w:rsidRPr="004E2EE5">
        <w:rPr>
          <w:noProof/>
        </w:rPr>
        <w:drawing>
          <wp:inline distT="0" distB="0" distL="0" distR="0" wp14:anchorId="4FD206A6" wp14:editId="1C5C621F">
            <wp:extent cx="6645910" cy="8818880"/>
            <wp:effectExtent l="0" t="0" r="2540" b="1270"/>
            <wp:docPr id="45656713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8818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517F3A" w14:textId="17568C2B" w:rsidR="00015F3E" w:rsidRDefault="00015F3E">
      <w:r>
        <w:br w:type="page"/>
      </w:r>
    </w:p>
    <w:p w14:paraId="46AEEC17" w14:textId="59523343" w:rsidR="00CD068C" w:rsidRPr="00B31B27" w:rsidRDefault="00086608" w:rsidP="00051828">
      <w:pPr>
        <w:rPr>
          <w:rFonts w:ascii="Arial" w:hAnsi="Arial" w:cs="Arial"/>
          <w:b/>
        </w:rPr>
      </w:pPr>
      <w:r w:rsidRPr="00B31B27">
        <w:rPr>
          <w:rFonts w:ascii="Arial" w:eastAsia="Arial" w:hAnsi="Arial" w:cs="Arial"/>
          <w:b/>
          <w:sz w:val="20"/>
          <w:szCs w:val="20"/>
        </w:rPr>
        <w:lastRenderedPageBreak/>
        <w:t xml:space="preserve">AACODS </w:t>
      </w:r>
      <w:r w:rsidR="00C803E5" w:rsidRPr="00B31B27">
        <w:rPr>
          <w:rFonts w:ascii="Arial" w:eastAsia="Arial" w:hAnsi="Arial" w:cs="Arial"/>
          <w:b/>
          <w:sz w:val="20"/>
          <w:szCs w:val="20"/>
        </w:rPr>
        <w:t>checklist</w:t>
      </w:r>
      <w:r w:rsidRPr="00B31B27">
        <w:rPr>
          <w:rFonts w:ascii="Arial" w:eastAsia="Arial" w:hAnsi="Arial" w:cs="Arial"/>
          <w:b/>
          <w:sz w:val="20"/>
          <w:szCs w:val="20"/>
        </w:rPr>
        <w:t xml:space="preserve"> to assess the quality of reporting in grey literature</w:t>
      </w:r>
      <w:r w:rsidR="00B31B27" w:rsidRPr="00B31B27">
        <w:rPr>
          <w:rFonts w:ascii="Arial" w:eastAsia="Arial" w:hAnsi="Arial" w:cs="Arial"/>
          <w:b/>
          <w:sz w:val="20"/>
          <w:szCs w:val="20"/>
        </w:rPr>
        <w:t xml:space="preserve"> (</w:t>
      </w:r>
      <w:r w:rsidR="00B31B27" w:rsidRPr="00B31B27">
        <w:rPr>
          <w:rFonts w:ascii="Arial" w:hAnsi="Arial" w:cs="Arial"/>
          <w:b/>
          <w:sz w:val="20"/>
          <w:szCs w:val="20"/>
        </w:rPr>
        <w:t>Tyndall, 2008 &amp; 2010)</w:t>
      </w:r>
      <w:r w:rsidR="006958D6">
        <w:rPr>
          <w:rFonts w:ascii="Arial" w:hAnsi="Arial" w:cs="Arial"/>
          <w:b/>
          <w:sz w:val="20"/>
          <w:szCs w:val="20"/>
        </w:rPr>
        <w:t xml:space="preserve"> 1 of 2</w:t>
      </w:r>
    </w:p>
    <w:p w14:paraId="14BB423E" w14:textId="010F756E" w:rsidR="00CD068C" w:rsidRDefault="00FC42F8" w:rsidP="00051828">
      <w:r w:rsidRPr="00FC42F8">
        <w:rPr>
          <w:noProof/>
        </w:rPr>
        <w:drawing>
          <wp:inline distT="0" distB="0" distL="0" distR="0" wp14:anchorId="0885A105" wp14:editId="2E2A635C">
            <wp:extent cx="6105525" cy="9213335"/>
            <wp:effectExtent l="0" t="0" r="0" b="6985"/>
            <wp:docPr id="180343862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6624" cy="92300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EB0089" w14:textId="51200FED" w:rsidR="00B655E3" w:rsidRDefault="00B655E3" w:rsidP="00051828">
      <w:r w:rsidRPr="00B31B27">
        <w:rPr>
          <w:rFonts w:ascii="Arial" w:eastAsia="Arial" w:hAnsi="Arial" w:cs="Arial"/>
          <w:b/>
          <w:sz w:val="20"/>
          <w:szCs w:val="20"/>
        </w:rPr>
        <w:lastRenderedPageBreak/>
        <w:t>AACODS checklist to assess the quality of reporting in grey literature (</w:t>
      </w:r>
      <w:r w:rsidRPr="00B31B27">
        <w:rPr>
          <w:rFonts w:ascii="Arial" w:hAnsi="Arial" w:cs="Arial"/>
          <w:b/>
          <w:sz w:val="20"/>
          <w:szCs w:val="20"/>
        </w:rPr>
        <w:t>Tyndall, 2008 &amp; 2010)</w:t>
      </w:r>
      <w:r w:rsidR="006958D6">
        <w:rPr>
          <w:rFonts w:ascii="Arial" w:hAnsi="Arial" w:cs="Arial"/>
          <w:b/>
          <w:sz w:val="20"/>
          <w:szCs w:val="20"/>
        </w:rPr>
        <w:t xml:space="preserve"> 2 of 2</w:t>
      </w:r>
    </w:p>
    <w:p w14:paraId="34690A5B" w14:textId="227367C3" w:rsidR="00005059" w:rsidRDefault="00FC42F8" w:rsidP="00051828">
      <w:pPr>
        <w:rPr>
          <w:rFonts w:ascii="Arial" w:hAnsi="Arial" w:cs="Arial"/>
          <w:b/>
        </w:rPr>
      </w:pPr>
      <w:r w:rsidRPr="00FC42F8">
        <w:rPr>
          <w:noProof/>
        </w:rPr>
        <w:drawing>
          <wp:inline distT="0" distB="0" distL="0" distR="0" wp14:anchorId="589F3941" wp14:editId="57D32D16">
            <wp:extent cx="6116386" cy="9229725"/>
            <wp:effectExtent l="0" t="0" r="0" b="0"/>
            <wp:docPr id="887553621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3423" cy="92403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491E94" w14:textId="525EC722" w:rsidR="00E82232" w:rsidRDefault="0045288F" w:rsidP="00051828">
      <w:pPr>
        <w:rPr>
          <w:rFonts w:ascii="Arial" w:eastAsia="Arial" w:hAnsi="Arial" w:cs="Arial"/>
          <w:b/>
          <w:bCs/>
          <w:sz w:val="20"/>
          <w:szCs w:val="20"/>
        </w:rPr>
      </w:pPr>
      <w:r w:rsidRPr="0045288F">
        <w:rPr>
          <w:rFonts w:ascii="Arial" w:eastAsia="Arial" w:hAnsi="Arial" w:cs="Arial"/>
          <w:b/>
          <w:sz w:val="20"/>
          <w:szCs w:val="20"/>
        </w:rPr>
        <w:lastRenderedPageBreak/>
        <w:t xml:space="preserve">The revised JBI critical appraisal tool for the assessment of risk of bias for randomized controlled trials </w:t>
      </w:r>
      <w:r w:rsidR="00E372D8">
        <w:rPr>
          <w:rFonts w:ascii="Arial" w:eastAsia="Arial" w:hAnsi="Arial" w:cs="Arial"/>
          <w:b/>
          <w:sz w:val="20"/>
          <w:szCs w:val="20"/>
        </w:rPr>
        <w:t>(</w:t>
      </w:r>
      <w:r>
        <w:rPr>
          <w:rFonts w:ascii="Arial" w:eastAsia="Arial" w:hAnsi="Arial" w:cs="Arial"/>
          <w:b/>
          <w:bCs/>
          <w:sz w:val="20"/>
          <w:szCs w:val="20"/>
        </w:rPr>
        <w:t>Barker</w:t>
      </w:r>
      <w:r w:rsidR="00E372D8" w:rsidRPr="00041F3A">
        <w:rPr>
          <w:rFonts w:ascii="Arial" w:eastAsia="Arial" w:hAnsi="Arial" w:cs="Arial"/>
          <w:b/>
          <w:bCs/>
          <w:sz w:val="20"/>
          <w:szCs w:val="20"/>
        </w:rPr>
        <w:t xml:space="preserve"> et al, 20</w:t>
      </w:r>
      <w:r>
        <w:rPr>
          <w:rFonts w:ascii="Arial" w:eastAsia="Arial" w:hAnsi="Arial" w:cs="Arial"/>
          <w:b/>
          <w:bCs/>
          <w:sz w:val="20"/>
          <w:szCs w:val="20"/>
        </w:rPr>
        <w:t>23</w:t>
      </w:r>
      <w:r w:rsidR="00E372D8" w:rsidRPr="00041F3A">
        <w:rPr>
          <w:rFonts w:ascii="Arial" w:eastAsia="Arial" w:hAnsi="Arial" w:cs="Arial"/>
          <w:b/>
          <w:bCs/>
          <w:sz w:val="20"/>
          <w:szCs w:val="20"/>
        </w:rPr>
        <w:t>)</w:t>
      </w:r>
    </w:p>
    <w:p w14:paraId="1BF8E15A" w14:textId="6F0DAE11" w:rsidR="00036965" w:rsidRDefault="00532A2D" w:rsidP="00051828">
      <w:pPr>
        <w:rPr>
          <w:rFonts w:ascii="Arial" w:eastAsia="Arial" w:hAnsi="Arial" w:cs="Arial"/>
          <w:b/>
          <w:bCs/>
          <w:sz w:val="20"/>
          <w:szCs w:val="20"/>
        </w:rPr>
      </w:pPr>
      <w:r w:rsidRPr="00532A2D">
        <w:rPr>
          <w:noProof/>
        </w:rPr>
        <w:drawing>
          <wp:inline distT="0" distB="0" distL="0" distR="0" wp14:anchorId="0FD72764" wp14:editId="024B71C6">
            <wp:extent cx="6645910" cy="6941820"/>
            <wp:effectExtent l="0" t="0" r="2540" b="0"/>
            <wp:docPr id="740011488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6941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B712AB" w14:textId="7F64725A" w:rsidR="008C5DB1" w:rsidRDefault="008C5DB1">
      <w:pPr>
        <w:rPr>
          <w:rFonts w:ascii="Arial" w:eastAsia="Arial" w:hAnsi="Arial" w:cs="Arial"/>
          <w:b/>
          <w:bCs/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br w:type="page"/>
      </w:r>
    </w:p>
    <w:p w14:paraId="7142F071" w14:textId="190A52EC" w:rsidR="008C5DB1" w:rsidRDefault="001406A2" w:rsidP="008C5DB1">
      <w:pPr>
        <w:rPr>
          <w:rFonts w:ascii="Arial" w:eastAsia="Arial" w:hAnsi="Arial" w:cs="Arial"/>
          <w:b/>
          <w:bCs/>
          <w:sz w:val="20"/>
          <w:szCs w:val="20"/>
        </w:rPr>
      </w:pPr>
      <w:r w:rsidRPr="001406A2">
        <w:rPr>
          <w:rFonts w:ascii="Arial" w:eastAsia="Arial" w:hAnsi="Arial" w:cs="Arial"/>
          <w:b/>
          <w:sz w:val="20"/>
          <w:szCs w:val="20"/>
        </w:rPr>
        <w:lastRenderedPageBreak/>
        <w:t xml:space="preserve">The revised JBI critical appraisal tool for the assessment of risk of bias quasi-experimental studies </w:t>
      </w:r>
      <w:r w:rsidR="008C5DB1">
        <w:rPr>
          <w:rFonts w:ascii="Arial" w:eastAsia="Arial" w:hAnsi="Arial" w:cs="Arial"/>
          <w:b/>
          <w:sz w:val="20"/>
          <w:szCs w:val="20"/>
        </w:rPr>
        <w:t>(</w:t>
      </w:r>
      <w:r w:rsidR="008C5DB1">
        <w:rPr>
          <w:rFonts w:ascii="Arial" w:eastAsia="Arial" w:hAnsi="Arial" w:cs="Arial"/>
          <w:b/>
          <w:bCs/>
          <w:sz w:val="20"/>
          <w:szCs w:val="20"/>
        </w:rPr>
        <w:t>Barker</w:t>
      </w:r>
      <w:r w:rsidR="008C5DB1" w:rsidRPr="00041F3A">
        <w:rPr>
          <w:rFonts w:ascii="Arial" w:eastAsia="Arial" w:hAnsi="Arial" w:cs="Arial"/>
          <w:b/>
          <w:bCs/>
          <w:sz w:val="20"/>
          <w:szCs w:val="20"/>
        </w:rPr>
        <w:t xml:space="preserve"> et al, 20</w:t>
      </w:r>
      <w:r w:rsidR="008C5DB1">
        <w:rPr>
          <w:rFonts w:ascii="Arial" w:eastAsia="Arial" w:hAnsi="Arial" w:cs="Arial"/>
          <w:b/>
          <w:bCs/>
          <w:sz w:val="20"/>
          <w:szCs w:val="20"/>
        </w:rPr>
        <w:t>2</w:t>
      </w:r>
      <w:r w:rsidR="00DA0E38">
        <w:rPr>
          <w:rFonts w:ascii="Arial" w:eastAsia="Arial" w:hAnsi="Arial" w:cs="Arial"/>
          <w:b/>
          <w:bCs/>
          <w:sz w:val="20"/>
          <w:szCs w:val="20"/>
        </w:rPr>
        <w:t>4</w:t>
      </w:r>
      <w:r w:rsidR="008C5DB1" w:rsidRPr="00041F3A">
        <w:rPr>
          <w:rFonts w:ascii="Arial" w:eastAsia="Arial" w:hAnsi="Arial" w:cs="Arial"/>
          <w:b/>
          <w:bCs/>
          <w:sz w:val="20"/>
          <w:szCs w:val="20"/>
        </w:rPr>
        <w:t>)</w:t>
      </w:r>
    </w:p>
    <w:p w14:paraId="4B83D451" w14:textId="07DFCD20" w:rsidR="008C5DB1" w:rsidRPr="00036965" w:rsidRDefault="002A6962" w:rsidP="00051828">
      <w:pPr>
        <w:rPr>
          <w:rFonts w:ascii="Arial" w:eastAsia="Arial" w:hAnsi="Arial" w:cs="Arial"/>
          <w:b/>
          <w:bCs/>
          <w:sz w:val="20"/>
          <w:szCs w:val="20"/>
        </w:rPr>
      </w:pPr>
      <w:r w:rsidRPr="002A6962">
        <w:rPr>
          <w:noProof/>
        </w:rPr>
        <w:drawing>
          <wp:inline distT="0" distB="0" distL="0" distR="0" wp14:anchorId="4549CB55" wp14:editId="6AA64632">
            <wp:extent cx="5326380" cy="5996940"/>
            <wp:effectExtent l="0" t="0" r="7620" b="3810"/>
            <wp:docPr id="1691962851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6380" cy="5996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C5DB1" w:rsidRPr="00036965" w:rsidSect="00D30839">
      <w:footerReference w:type="default" r:id="rId13"/>
      <w:pgSz w:w="11906" w:h="16838"/>
      <w:pgMar w:top="720" w:right="720" w:bottom="720" w:left="720" w:header="283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954D38" w14:textId="77777777" w:rsidR="00EB1F61" w:rsidRDefault="00EB1F61" w:rsidP="00EB1F61">
      <w:pPr>
        <w:spacing w:after="0" w:line="240" w:lineRule="auto"/>
      </w:pPr>
      <w:r>
        <w:separator/>
      </w:r>
    </w:p>
  </w:endnote>
  <w:endnote w:type="continuationSeparator" w:id="0">
    <w:p w14:paraId="7B3CD6DA" w14:textId="77777777" w:rsidR="00EB1F61" w:rsidRDefault="00EB1F61" w:rsidP="00EB1F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88329E" w14:textId="77777777" w:rsidR="00022755" w:rsidRDefault="00022755" w:rsidP="00022755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jc w:val="right"/>
      <w:rPr>
        <w:color w:val="000000"/>
        <w:sz w:val="20"/>
        <w:szCs w:val="20"/>
      </w:rPr>
    </w:pPr>
    <w:r>
      <w:rPr>
        <w:color w:val="000000"/>
        <w:sz w:val="20"/>
        <w:szCs w:val="20"/>
      </w:rPr>
      <w:t xml:space="preserve">Page </w:t>
    </w:r>
    <w:r>
      <w:rPr>
        <w:b/>
        <w:bCs/>
        <w:color w:val="000000"/>
        <w:sz w:val="20"/>
        <w:szCs w:val="20"/>
      </w:rPr>
      <w:fldChar w:fldCharType="begin"/>
    </w:r>
    <w:r>
      <w:rPr>
        <w:b/>
        <w:bCs/>
        <w:color w:val="000000"/>
        <w:sz w:val="20"/>
        <w:szCs w:val="20"/>
      </w:rPr>
      <w:instrText>PAGE</w:instrText>
    </w:r>
    <w:r>
      <w:rPr>
        <w:b/>
        <w:bCs/>
        <w:color w:val="000000"/>
        <w:sz w:val="20"/>
        <w:szCs w:val="20"/>
      </w:rPr>
      <w:fldChar w:fldCharType="separate"/>
    </w:r>
    <w:r>
      <w:rPr>
        <w:b/>
        <w:bCs/>
        <w:color w:val="000000"/>
        <w:sz w:val="20"/>
        <w:szCs w:val="20"/>
      </w:rPr>
      <w:t>1</w:t>
    </w:r>
    <w:r>
      <w:rPr>
        <w:b/>
        <w:bCs/>
        <w:color w:val="000000"/>
        <w:sz w:val="20"/>
        <w:szCs w:val="20"/>
      </w:rPr>
      <w:fldChar w:fldCharType="end"/>
    </w:r>
    <w:r>
      <w:rPr>
        <w:color w:val="000000"/>
        <w:sz w:val="20"/>
        <w:szCs w:val="20"/>
      </w:rPr>
      <w:t xml:space="preserve"> of </w:t>
    </w:r>
    <w:r>
      <w:rPr>
        <w:b/>
        <w:bCs/>
        <w:color w:val="000000"/>
        <w:sz w:val="20"/>
        <w:szCs w:val="20"/>
      </w:rPr>
      <w:fldChar w:fldCharType="begin"/>
    </w:r>
    <w:r>
      <w:rPr>
        <w:b/>
        <w:bCs/>
        <w:color w:val="000000"/>
        <w:sz w:val="20"/>
        <w:szCs w:val="20"/>
      </w:rPr>
      <w:instrText>NUMPAGES</w:instrText>
    </w:r>
    <w:r>
      <w:rPr>
        <w:b/>
        <w:bCs/>
        <w:color w:val="000000"/>
        <w:sz w:val="20"/>
        <w:szCs w:val="20"/>
      </w:rPr>
      <w:fldChar w:fldCharType="separate"/>
    </w:r>
    <w:r>
      <w:rPr>
        <w:b/>
        <w:bCs/>
        <w:color w:val="000000"/>
        <w:sz w:val="20"/>
        <w:szCs w:val="20"/>
      </w:rPr>
      <w:t>4</w:t>
    </w:r>
    <w:r>
      <w:rPr>
        <w:b/>
        <w:bCs/>
        <w:color w:val="000000"/>
        <w:sz w:val="20"/>
        <w:szCs w:val="20"/>
      </w:rPr>
      <w:fldChar w:fldCharType="end"/>
    </w:r>
  </w:p>
  <w:p w14:paraId="7A01302E" w14:textId="6B2D787B" w:rsidR="00EB1F61" w:rsidRPr="00022755" w:rsidRDefault="00022755" w:rsidP="00022755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  <w:sz w:val="20"/>
        <w:szCs w:val="20"/>
      </w:rPr>
    </w:pPr>
    <w:r>
      <w:rPr>
        <w:color w:val="000000"/>
        <w:sz w:val="20"/>
        <w:szCs w:val="20"/>
      </w:rPr>
      <w:t xml:space="preserve">Arts Economic Impact Systematic Review Supplementary File </w:t>
    </w:r>
    <w:r w:rsidR="001322A3">
      <w:rPr>
        <w:color w:val="000000"/>
        <w:sz w:val="20"/>
        <w:szCs w:val="20"/>
      </w:rPr>
      <w:t>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F138A4" w14:textId="77777777" w:rsidR="00EB1F61" w:rsidRDefault="00EB1F61" w:rsidP="00EB1F61">
      <w:pPr>
        <w:spacing w:after="0" w:line="240" w:lineRule="auto"/>
      </w:pPr>
      <w:r>
        <w:separator/>
      </w:r>
    </w:p>
  </w:footnote>
  <w:footnote w:type="continuationSeparator" w:id="0">
    <w:p w14:paraId="29EBF13C" w14:textId="77777777" w:rsidR="00EB1F61" w:rsidRDefault="00EB1F61" w:rsidP="00EB1F6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7184"/>
    <w:rsid w:val="00005059"/>
    <w:rsid w:val="00015F3E"/>
    <w:rsid w:val="00022755"/>
    <w:rsid w:val="00036965"/>
    <w:rsid w:val="00041F3A"/>
    <w:rsid w:val="00050293"/>
    <w:rsid w:val="00051828"/>
    <w:rsid w:val="00086015"/>
    <w:rsid w:val="00086608"/>
    <w:rsid w:val="000D1A08"/>
    <w:rsid w:val="001322A3"/>
    <w:rsid w:val="001406A2"/>
    <w:rsid w:val="00143967"/>
    <w:rsid w:val="0014422F"/>
    <w:rsid w:val="001446A5"/>
    <w:rsid w:val="0016103C"/>
    <w:rsid w:val="001733A6"/>
    <w:rsid w:val="0017620A"/>
    <w:rsid w:val="00204A4C"/>
    <w:rsid w:val="00206C81"/>
    <w:rsid w:val="002137B8"/>
    <w:rsid w:val="00214147"/>
    <w:rsid w:val="002265E4"/>
    <w:rsid w:val="00270C79"/>
    <w:rsid w:val="0027370A"/>
    <w:rsid w:val="00276BBE"/>
    <w:rsid w:val="002A6962"/>
    <w:rsid w:val="00310A90"/>
    <w:rsid w:val="0032339F"/>
    <w:rsid w:val="00354B10"/>
    <w:rsid w:val="003902C6"/>
    <w:rsid w:val="003F57BA"/>
    <w:rsid w:val="0041575D"/>
    <w:rsid w:val="00436F09"/>
    <w:rsid w:val="0045288F"/>
    <w:rsid w:val="0046736F"/>
    <w:rsid w:val="0048026B"/>
    <w:rsid w:val="004C1A82"/>
    <w:rsid w:val="004E2EE5"/>
    <w:rsid w:val="00500014"/>
    <w:rsid w:val="005016BF"/>
    <w:rsid w:val="00512E47"/>
    <w:rsid w:val="00532A2D"/>
    <w:rsid w:val="00542289"/>
    <w:rsid w:val="0054711D"/>
    <w:rsid w:val="00562B73"/>
    <w:rsid w:val="005632DB"/>
    <w:rsid w:val="00564B1C"/>
    <w:rsid w:val="00567B70"/>
    <w:rsid w:val="00584F26"/>
    <w:rsid w:val="005D1E06"/>
    <w:rsid w:val="005F5AC8"/>
    <w:rsid w:val="006956F6"/>
    <w:rsid w:val="006958D6"/>
    <w:rsid w:val="006C3C34"/>
    <w:rsid w:val="006D1AD4"/>
    <w:rsid w:val="006E6897"/>
    <w:rsid w:val="006F1DF7"/>
    <w:rsid w:val="00705CCA"/>
    <w:rsid w:val="00710883"/>
    <w:rsid w:val="0073089F"/>
    <w:rsid w:val="007569CB"/>
    <w:rsid w:val="00757CAA"/>
    <w:rsid w:val="007641EE"/>
    <w:rsid w:val="007F7184"/>
    <w:rsid w:val="00803493"/>
    <w:rsid w:val="00854FA7"/>
    <w:rsid w:val="008666B7"/>
    <w:rsid w:val="00890BBD"/>
    <w:rsid w:val="008A3B24"/>
    <w:rsid w:val="008C5DB1"/>
    <w:rsid w:val="008E032B"/>
    <w:rsid w:val="00936137"/>
    <w:rsid w:val="009851C7"/>
    <w:rsid w:val="00997011"/>
    <w:rsid w:val="009C44F6"/>
    <w:rsid w:val="00A35EEE"/>
    <w:rsid w:val="00A87A60"/>
    <w:rsid w:val="00A90E81"/>
    <w:rsid w:val="00AF1265"/>
    <w:rsid w:val="00B03B36"/>
    <w:rsid w:val="00B0721B"/>
    <w:rsid w:val="00B31B27"/>
    <w:rsid w:val="00B36BEA"/>
    <w:rsid w:val="00B532B0"/>
    <w:rsid w:val="00B625CF"/>
    <w:rsid w:val="00B655E3"/>
    <w:rsid w:val="00B768B3"/>
    <w:rsid w:val="00B90F29"/>
    <w:rsid w:val="00B97730"/>
    <w:rsid w:val="00BA288D"/>
    <w:rsid w:val="00BB56FF"/>
    <w:rsid w:val="00C03E21"/>
    <w:rsid w:val="00C20B32"/>
    <w:rsid w:val="00C40D4C"/>
    <w:rsid w:val="00C611B6"/>
    <w:rsid w:val="00C803E5"/>
    <w:rsid w:val="00C94310"/>
    <w:rsid w:val="00C9764D"/>
    <w:rsid w:val="00CA0104"/>
    <w:rsid w:val="00CD068C"/>
    <w:rsid w:val="00CE6781"/>
    <w:rsid w:val="00CF4F25"/>
    <w:rsid w:val="00D16F99"/>
    <w:rsid w:val="00D30839"/>
    <w:rsid w:val="00D5528D"/>
    <w:rsid w:val="00D80D21"/>
    <w:rsid w:val="00DA0E38"/>
    <w:rsid w:val="00DC77EA"/>
    <w:rsid w:val="00DD47A8"/>
    <w:rsid w:val="00DE2785"/>
    <w:rsid w:val="00E20767"/>
    <w:rsid w:val="00E26A10"/>
    <w:rsid w:val="00E372D8"/>
    <w:rsid w:val="00E37A5B"/>
    <w:rsid w:val="00E66D33"/>
    <w:rsid w:val="00E720D1"/>
    <w:rsid w:val="00E82232"/>
    <w:rsid w:val="00E906E6"/>
    <w:rsid w:val="00EA4418"/>
    <w:rsid w:val="00EB05FC"/>
    <w:rsid w:val="00EB1F61"/>
    <w:rsid w:val="00EE6D05"/>
    <w:rsid w:val="00F07C4C"/>
    <w:rsid w:val="00F3148A"/>
    <w:rsid w:val="00F853F9"/>
    <w:rsid w:val="00FB1DD5"/>
    <w:rsid w:val="00FB44D1"/>
    <w:rsid w:val="00FC142A"/>
    <w:rsid w:val="00FC42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21962802"/>
  <w15:chartTrackingRefBased/>
  <w15:docId w15:val="{42FE6B3C-D1C0-4246-900E-7371B8DF5A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5DB1"/>
  </w:style>
  <w:style w:type="paragraph" w:styleId="Heading1">
    <w:name w:val="heading 1"/>
    <w:basedOn w:val="Normal"/>
    <w:next w:val="Normal"/>
    <w:link w:val="Heading1Char"/>
    <w:uiPriority w:val="9"/>
    <w:qFormat/>
    <w:rsid w:val="00206C81"/>
    <w:pPr>
      <w:keepNext/>
      <w:keepLines/>
      <w:spacing w:before="360" w:after="80"/>
      <w:outlineLvl w:val="0"/>
    </w:pPr>
    <w:rPr>
      <w:rFonts w:ascii="Aptos" w:eastAsiaTheme="majorEastAsia" w:hAnsi="Aptos" w:cstheme="majorBidi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F718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F718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F718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F718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F718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F718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F718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F718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06C81"/>
    <w:rPr>
      <w:rFonts w:ascii="Aptos" w:eastAsiaTheme="majorEastAsia" w:hAnsi="Aptos" w:cstheme="majorBidi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F718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F718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F718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F718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F718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F718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F718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F718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F718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F71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F718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F718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F718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F718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F718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F718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718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718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F7184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7F71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B1F6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B1F61"/>
  </w:style>
  <w:style w:type="paragraph" w:styleId="Footer">
    <w:name w:val="footer"/>
    <w:basedOn w:val="Normal"/>
    <w:link w:val="FooterChar"/>
    <w:uiPriority w:val="99"/>
    <w:unhideWhenUsed/>
    <w:rsid w:val="00EB1F6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B1F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41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10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8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18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14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3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96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2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3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83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71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footer" Target="footer1.xml"/><Relationship Id="rId18" Type="http://schemas.openxmlformats.org/officeDocument/2006/relationships/customXml" Target="../customXml/item4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image" Target="media/image6.emf"/><Relationship Id="rId17" Type="http://schemas.openxmlformats.org/officeDocument/2006/relationships/customXml" Target="../customXml/item3.xml"/><Relationship Id="rId2" Type="http://schemas.openxmlformats.org/officeDocument/2006/relationships/styles" Target="styles.xml"/><Relationship Id="rId16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emf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emf"/><Relationship Id="rId4" Type="http://schemas.openxmlformats.org/officeDocument/2006/relationships/webSettings" Target="webSettings.xml"/><Relationship Id="rId9" Type="http://schemas.openxmlformats.org/officeDocument/2006/relationships/image" Target="media/image3.em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ED75661373CA142B06ED64B77FECB25" ma:contentTypeVersion="10" ma:contentTypeDescription="Create a new document." ma:contentTypeScope="" ma:versionID="e047709e33ece03af1dd1c3b8b5080db">
  <xsd:schema xmlns:xsd="http://www.w3.org/2001/XMLSchema" xmlns:xs="http://www.w3.org/2001/XMLSchema" xmlns:p="http://schemas.microsoft.com/office/2006/metadata/properties" xmlns:ns2="356c290c-f20c-41bd-aea5-713090b151d5" xmlns:ns3="b3eaeac3-dabd-4d39-9683-79b7c2ed0fbd" targetNamespace="http://schemas.microsoft.com/office/2006/metadata/properties" ma:root="true" ma:fieldsID="23725d315d3060e080d30cd3aee49e4d" ns2:_="" ns3:_="">
    <xsd:import namespace="356c290c-f20c-41bd-aea5-713090b151d5"/>
    <xsd:import namespace="b3eaeac3-dabd-4d39-9683-79b7c2ed0fb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6c290c-f20c-41bd-aea5-713090b151d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ff57f2e8-ceef-47a9-9ac7-74acf3aa48f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eaeac3-dabd-4d39-9683-79b7c2ed0fb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6f9e2e83-908e-44c3-9264-5f59813783c3}" ma:internalName="TaxCatchAll" ma:showField="CatchAllData" ma:web="b3eaeac3-dabd-4d39-9683-79b7c2ed0fb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56c290c-f20c-41bd-aea5-713090b151d5">
      <Terms xmlns="http://schemas.microsoft.com/office/infopath/2007/PartnerControls"/>
    </lcf76f155ced4ddcb4097134ff3c332f>
    <TaxCatchAll xmlns="b3eaeac3-dabd-4d39-9683-79b7c2ed0fbd" xsi:nil="true"/>
  </documentManagement>
</p:properties>
</file>

<file path=customXml/itemProps1.xml><?xml version="1.0" encoding="utf-8"?>
<ds:datastoreItem xmlns:ds="http://schemas.openxmlformats.org/officeDocument/2006/customXml" ds:itemID="{C94AAE40-6E0B-4F64-BE69-BA50C40F55C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A5AA737-F032-4B02-91F4-3323F3971070}"/>
</file>

<file path=customXml/itemProps3.xml><?xml version="1.0" encoding="utf-8"?>
<ds:datastoreItem xmlns:ds="http://schemas.openxmlformats.org/officeDocument/2006/customXml" ds:itemID="{10C16C06-AC40-4643-9B7D-E77F83C71AD8}"/>
</file>

<file path=customXml/itemProps4.xml><?xml version="1.0" encoding="utf-8"?>
<ds:datastoreItem xmlns:ds="http://schemas.openxmlformats.org/officeDocument/2006/customXml" ds:itemID="{61959550-0E39-4632-AC72-35A3A6908168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1105</TotalTime>
  <Pages>7</Pages>
  <Words>128</Words>
  <Characters>732</Characters>
  <Application>Microsoft Office Word</Application>
  <DocSecurity>0</DocSecurity>
  <Lines>6</Lines>
  <Paragraphs>1</Paragraphs>
  <ScaleCrop>false</ScaleCrop>
  <Company>Prifysgol Bangor University</Company>
  <LinksUpToDate>false</LinksUpToDate>
  <CharactersWithSpaces>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Greg Flynn (Staff)</dc:creator>
  <cp:keywords/>
  <dc:description/>
  <cp:lastModifiedBy>Greg Flynn (Staff)</cp:lastModifiedBy>
  <cp:revision>61</cp:revision>
  <cp:lastPrinted>2025-10-21T08:05:00Z</cp:lastPrinted>
  <dcterms:created xsi:type="dcterms:W3CDTF">2025-12-01T16:46:00Z</dcterms:created>
  <dcterms:modified xsi:type="dcterms:W3CDTF">2026-07-16T11:24:00Z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0x010100BED75661373CA142B06ED64B77FECB25</vt:lpwstr>
  </property>
</Properties>
</file>