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E9410" w14:textId="77777777" w:rsidR="00532D1C" w:rsidRDefault="00532D1C" w:rsidP="00532D1C">
      <w:pPr>
        <w:pStyle w:val="Heading1"/>
      </w:pPr>
      <w:r>
        <w:t>Appendix A. Reproducibility Protocol</w:t>
      </w:r>
    </w:p>
    <w:p w14:paraId="05F2ED67" w14:textId="77777777" w:rsidR="00532D1C" w:rsidRDefault="00532D1C" w:rsidP="00532D1C">
      <w:pPr>
        <w:jc w:val="both"/>
      </w:pPr>
      <w:r>
        <w:t>A1. Fix the random seed and software versions before generating any experimental condition. Use the same seed family for paired method comparisons so that differences arise from the method rather than unrelated draws.</w:t>
      </w:r>
    </w:p>
    <w:p w14:paraId="538A35C0" w14:textId="77777777" w:rsidR="00532D1C" w:rsidRDefault="00532D1C" w:rsidP="00532D1C">
      <w:pPr>
        <w:jc w:val="both"/>
      </w:pPr>
      <w:r>
        <w:t>A2. Generate the complete synthetic input set before calculating outcome summaries. Save the resulting parameter table or identifiers to permit independent checking of the experiment population.</w:t>
      </w:r>
    </w:p>
    <w:p w14:paraId="783CDC77" w14:textId="77777777" w:rsidR="00532D1C" w:rsidRDefault="00532D1C" w:rsidP="00532D1C">
      <w:pPr>
        <w:jc w:val="both"/>
      </w:pPr>
      <w:r>
        <w:t>A3. Execute each method under identical baseline conditions. Where an algorithm has a method-specific hyperparameter, report it explicitly and do not tune it on the final test outcomes.</w:t>
      </w:r>
    </w:p>
    <w:p w14:paraId="51E2B9A4" w14:textId="77777777" w:rsidR="00532D1C" w:rsidRDefault="00532D1C" w:rsidP="00532D1C">
      <w:pPr>
        <w:jc w:val="both"/>
      </w:pPr>
      <w:r>
        <w:t>A4. Save raw or minimally processed outcomes before making figures. Derive tables and plots from those saved values. This ensures that visual presentation cannot silently alter the underlying result.</w:t>
      </w:r>
    </w:p>
    <w:p w14:paraId="01F89E86" w14:textId="77777777" w:rsidR="00532D1C" w:rsidRDefault="00532D1C" w:rsidP="00532D1C">
      <w:pPr>
        <w:jc w:val="both"/>
      </w:pPr>
      <w:r>
        <w:t xml:space="preserve">A5. Repeat the experiment after changing one major modeling assumption. If the qualitative conclusion reverses, report the reversal and treat the result as </w:t>
      </w:r>
      <w:proofErr w:type="gramStart"/>
      <w:r>
        <w:t>assumption-dependent</w:t>
      </w:r>
      <w:proofErr w:type="gramEnd"/>
      <w:r>
        <w:t>.</w:t>
      </w:r>
    </w:p>
    <w:p w14:paraId="39E63B45" w14:textId="77777777" w:rsidR="00532D1C" w:rsidRDefault="00532D1C" w:rsidP="00532D1C">
      <w:pPr>
        <w:jc w:val="both"/>
      </w:pPr>
      <w:r>
        <w:t>A6. Archive the final script, environment, and checksums. A reproducible computational article should permit another researcher to distinguish code drift, library-version effects, and genuine scientific disagreement.</w:t>
      </w:r>
    </w:p>
    <w:p w14:paraId="507C8F93" w14:textId="77777777" w:rsidR="00532D1C" w:rsidRDefault="00532D1C" w:rsidP="00532D1C">
      <w:pPr>
        <w:pStyle w:val="Heading1"/>
      </w:pPr>
      <w:r>
        <w:t>Appendix B. Extended Methodological Notes</w:t>
      </w:r>
    </w:p>
    <w:p w14:paraId="559CCC26" w14:textId="77777777" w:rsidR="00532D1C" w:rsidRDefault="00532D1C" w:rsidP="00532D1C">
      <w:pPr>
        <w:jc w:val="both"/>
      </w:pPr>
      <w:r>
        <w:t>Model identifiability in a simulation has a different meaning from identifiability in an empirical statistical model. Here the issue is whether two distinct mechanisms can produce the same observed summary. If they can, additional diagnostic outcomes are required. The study therefore favors outcome vectors over a single scalar score. This consideration is particularly relevant to measurement reliability in writing research because the focal mechanism can interact with secondary outcomes in ways that a one-dimensional benchmark would miss.</w:t>
      </w:r>
    </w:p>
    <w:p w14:paraId="7B50AE29" w14:textId="77777777" w:rsidR="00532D1C" w:rsidRDefault="00532D1C" w:rsidP="00532D1C">
      <w:pPr>
        <w:jc w:val="both"/>
      </w:pPr>
      <w:r>
        <w:t>Threshold parameters deserve special attention because small changes near a threshold can create discontinuous changes in classification or state transitions. The baseline values are reported so that readers can test nearby alternatives. Conclusions should be considered stronger when they persist across a neighborhood rather than at one knife-edge value. This consideration is particularly relevant to measurement reliability in writing research because the focal mechanism can interact with secondary outcomes in ways that a one-dimensional benchmark would miss.</w:t>
      </w:r>
    </w:p>
    <w:p w14:paraId="61364B5C" w14:textId="77777777" w:rsidR="00532D1C" w:rsidRDefault="00532D1C" w:rsidP="00532D1C">
      <w:pPr>
        <w:jc w:val="both"/>
      </w:pPr>
      <w:r>
        <w:t>Monte Carlo precision depends on the number of replications and on tail heaviness. Means can stabilize quickly while rare-event quantiles remain noisy. For this reason, tail statistics are interpreted qualitatively unless the replication count is large enough to support fine numerical distinctions. This consideration is particularly relevant to measurement reliability in writing research because the focal mechanism can interact with secondary outcomes in ways that a one-dimensional benchmark would miss.</w:t>
      </w:r>
    </w:p>
    <w:p w14:paraId="7AF5FAFC" w14:textId="77777777" w:rsidR="00532D1C" w:rsidRDefault="00532D1C" w:rsidP="00532D1C">
      <w:pPr>
        <w:jc w:val="both"/>
      </w:pPr>
      <w:r>
        <w:lastRenderedPageBreak/>
        <w:t>Synthetic data are valuable when the data-generating process itself is part of the scientific object. They are less appropriate when the central claim concerns empirical prevalence. The current article stays on the former side of that boundary and explicitly separates mechanism evidence from population evidence. This consideration is particularly relevant to measurement reliability in writing research because the focal mechanism can interact with secondary outcomes in ways that a one-dimensional benchmark would miss.</w:t>
      </w:r>
    </w:p>
    <w:p w14:paraId="49AA8B55" w14:textId="77777777" w:rsidR="00532D1C" w:rsidRDefault="00532D1C" w:rsidP="00532D1C">
      <w:pPr>
        <w:jc w:val="both"/>
      </w:pPr>
      <w:r>
        <w:t>Reproducibility is not identical to robustness. An analysis can be perfectly reproducible and still depend heavily on one assumption. Robustness therefore requires perturbation of assumptions, whereas reproducibility requires faithful regeneration of the same result under the same assumptions. This consideration is particularly relevant to measurement reliability in writing research because the focal mechanism can interact with secondary outcomes in ways that a one-dimensional benchmark would miss.</w:t>
      </w:r>
    </w:p>
    <w:p w14:paraId="2EB02A66" w14:textId="77777777" w:rsidR="00532D1C" w:rsidRDefault="00532D1C" w:rsidP="00532D1C">
      <w:pPr>
        <w:jc w:val="both"/>
      </w:pPr>
      <w:r>
        <w:t xml:space="preserve">A practical extension is calibration against an external dataset. Calibration should be performed on parameters that have a clear domain interpretation, followed by out-of-sample validation on outcomes not used for calibration. </w:t>
      </w:r>
      <w:proofErr w:type="gramStart"/>
      <w:r>
        <w:t>Otherwise</w:t>
      </w:r>
      <w:proofErr w:type="gramEnd"/>
      <w:r>
        <w:t xml:space="preserve"> the richer model may simply absorb noise without improving explanatory value. This consideration is particularly relevant to measurement reliability in writing research because the focal mechanism can interact with secondary outcomes in ways that a one-dimensional benchmark would miss.</w:t>
      </w:r>
    </w:p>
    <w:p w14:paraId="375761D3" w14:textId="77777777" w:rsidR="00532D1C" w:rsidRDefault="00532D1C" w:rsidP="00532D1C">
      <w:pPr>
        <w:jc w:val="both"/>
      </w:pPr>
      <w:r>
        <w:t xml:space="preserve">The use of interpretable baselines remains important even when a more complex method is available. A baseline anchors the magnitude of improvement and can </w:t>
      </w:r>
      <w:proofErr w:type="gramStart"/>
      <w:r>
        <w:t>reveal</w:t>
      </w:r>
      <w:proofErr w:type="gramEnd"/>
      <w:r>
        <w:t xml:space="preserve"> when complexity offers no meaningful gain. In this study, each advanced condition is therefore read relative to a simpler comparator rather than judged only on its absolute output. This consideration is particularly relevant to measurement reliability in writing research because the focal mechanism can interact with secondary outcomes in ways that a one-dimensional benchmark would miss.</w:t>
      </w:r>
    </w:p>
    <w:p w14:paraId="2E509C2B" w14:textId="77777777" w:rsidR="00532D1C" w:rsidRDefault="00532D1C" w:rsidP="00532D1C">
      <w:pPr>
        <w:jc w:val="both"/>
      </w:pPr>
      <w:r>
        <w:t>Computational experiments also benefit from explicit failure criteria. A method that returns a numerical result is not necessarily successful; the result may violate conservation, admissibility, calibration, stability, or fairness constraints. Domain-specific validity checks should be part of the experimental pipeline rather than added after optimization. This consideration is particularly relevant to measurement reliability in writing research because the focal mechanism can interact with secondary outcomes in ways that a one-dimensional benchmark would miss.</w:t>
      </w:r>
    </w:p>
    <w:p w14:paraId="6583E028" w14:textId="77777777" w:rsidR="00532D1C" w:rsidRDefault="00532D1C" w:rsidP="00532D1C">
      <w:pPr>
        <w:jc w:val="both"/>
      </w:pPr>
      <w:r>
        <w:t>Model identifiability in a simulation has a different meaning from identifiability in an empirical statistical model. Here the issue is whether two distinct mechanisms can produce the same observed summary. If they can, additional diagnostic outcomes are required. The study therefore favors outcome vectors over a single scalar score. This consideration is particularly relevant to measurement reliability in writing research because the focal mechanism can interact with secondary outcomes in ways that a one-dimensional benchmark would miss.</w:t>
      </w:r>
    </w:p>
    <w:p w14:paraId="0F3B43C3" w14:textId="77777777" w:rsidR="00532D1C" w:rsidRDefault="00532D1C" w:rsidP="00532D1C">
      <w:pPr>
        <w:jc w:val="both"/>
      </w:pPr>
      <w:r>
        <w:t xml:space="preserve">Threshold parameters deserve special attention because small changes near a threshold can create discontinuous changes in classification or state transitions. The baseline values are reported so that readers can test nearby alternatives. Conclusions should be considered stronger when they persist across </w:t>
      </w:r>
      <w:r>
        <w:lastRenderedPageBreak/>
        <w:t>a neighborhood rather than at one knife-edge value. This consideration is particularly relevant to measurement reliability in writing research because the focal mechanism can interact with secondary outcomes in ways that a one-dimensional benchmark would miss.</w:t>
      </w:r>
    </w:p>
    <w:p w14:paraId="6FA35286" w14:textId="77777777" w:rsidR="00532D1C" w:rsidRDefault="00532D1C" w:rsidP="00532D1C">
      <w:pPr>
        <w:jc w:val="both"/>
      </w:pPr>
      <w:r>
        <w:t>Monte Carlo precision depends on the number of replications and on tail heaviness. Means can stabilize quickly while rare-event quantiles remain noisy. For this reason, tail statistics are interpreted qualitatively unless the replication count is large enough to support fine numerical distinctions. This consideration is particularly relevant to measurement reliability in writing research because the focal mechanism can interact with secondary outcomes in ways that a one-dimensional benchmark would miss.</w:t>
      </w:r>
    </w:p>
    <w:p w14:paraId="67A1D1D8" w14:textId="77777777" w:rsidR="00532D1C" w:rsidRDefault="00532D1C" w:rsidP="00532D1C">
      <w:pPr>
        <w:jc w:val="both"/>
      </w:pPr>
      <w:r>
        <w:t>Synthetic data are valuable when the data-generating process itself is part of the scientific object. They are less appropriate when the central claim concerns empirical prevalence. The current article stays on the former side of that boundary and explicitly separates mechanism evidence from population evidence. This consideration is particularly relevant to measurement reliability in writing research because the focal mechanism can interact with secondary outcomes in ways that a one-dimensional benchmark would miss.</w:t>
      </w:r>
    </w:p>
    <w:p w14:paraId="45FC2C5A" w14:textId="77777777" w:rsidR="00532D1C" w:rsidRDefault="00532D1C" w:rsidP="00532D1C">
      <w:pPr>
        <w:jc w:val="both"/>
      </w:pPr>
      <w:r>
        <w:t>Reproducibility is not identical to robustness. An analysis can be perfectly reproducible and still depend heavily on one assumption. Robustness therefore requires perturbation of assumptions, whereas reproducibility requires faithful regeneration of the same result under the same assumptions. This consideration is particularly relevant to measurement reliability in writing research because the focal mechanism can interact with secondary outcomes in ways that a one-dimensional benchmark would miss.</w:t>
      </w:r>
    </w:p>
    <w:p w14:paraId="763E4D36" w14:textId="77777777" w:rsidR="00532D1C" w:rsidRDefault="00532D1C" w:rsidP="00532D1C">
      <w:pPr>
        <w:jc w:val="both"/>
      </w:pPr>
      <w:r>
        <w:t xml:space="preserve">A practical extension is calibration against an external dataset. Calibration should be performed on parameters that have a clear domain interpretation, followed by out-of-sample validation on outcomes not used for calibration. </w:t>
      </w:r>
      <w:proofErr w:type="gramStart"/>
      <w:r>
        <w:t>Otherwise</w:t>
      </w:r>
      <w:proofErr w:type="gramEnd"/>
      <w:r>
        <w:t xml:space="preserve"> the richer model may simply absorb noise without improving explanatory value. This consideration is particularly relevant to measurement reliability in writing research because the focal mechanism can interact with secondary outcomes in ways that a one-dimensional benchmark would miss.</w:t>
      </w:r>
    </w:p>
    <w:p w14:paraId="4F250C9F" w14:textId="77777777" w:rsidR="00532D1C" w:rsidRDefault="00532D1C" w:rsidP="00532D1C">
      <w:pPr>
        <w:jc w:val="both"/>
      </w:pPr>
      <w:r>
        <w:t xml:space="preserve">The use of interpretable baselines remains important even when a more complex method is available. A baseline anchors the magnitude of improvement and can </w:t>
      </w:r>
      <w:proofErr w:type="gramStart"/>
      <w:r>
        <w:t>reveal</w:t>
      </w:r>
      <w:proofErr w:type="gramEnd"/>
      <w:r>
        <w:t xml:space="preserve"> when complexity offers no meaningful gain. In this study, each advanced condition is therefore read relative to a simpler comparator rather than judged only on its absolute output. This consideration is particularly relevant to measurement reliability in writing research because the focal mechanism can interact with secondary outcomes in ways that a one-dimensional benchmark would miss.</w:t>
      </w:r>
    </w:p>
    <w:p w14:paraId="5B622147" w14:textId="77777777" w:rsidR="00532D1C" w:rsidRDefault="00532D1C" w:rsidP="00532D1C">
      <w:pPr>
        <w:jc w:val="both"/>
      </w:pPr>
      <w:r>
        <w:t>Computational experiments also benefit from explicit failure criteria. A method that returns a numerical result is not necessarily successful; the result may violate conservation, admissibility, calibration, stability, or fairness constraints. Domain-specific validity checks should be part of the experimental pipeline rather than added after optimization. This consideration is particularly relevant to measurement reliability in writing research because the focal mechanism can interact with secondary outcomes in ways that a one-dimensional benchmark would miss.</w:t>
      </w:r>
    </w:p>
    <w:p w14:paraId="5EA381C0" w14:textId="77777777" w:rsidR="00532D1C" w:rsidRDefault="00532D1C" w:rsidP="00532D1C">
      <w:pPr>
        <w:jc w:val="both"/>
      </w:pPr>
      <w:r>
        <w:lastRenderedPageBreak/>
        <w:t>Model identifiability in a simulation has a different meaning from identifiability in an empirical statistical model. Here the issue is whether two distinct mechanisms can produce the same observed summary. If they can, additional diagnostic outcomes are required. The study therefore favors outcome vectors over a single scalar score. This consideration is particularly relevant to measurement reliability in writing research because the focal mechanism can interact with secondary outcomes in ways that a one-dimensional benchmark would miss.</w:t>
      </w:r>
    </w:p>
    <w:p w14:paraId="41B57E3D" w14:textId="77777777" w:rsidR="00532D1C" w:rsidRDefault="00532D1C" w:rsidP="00532D1C">
      <w:pPr>
        <w:jc w:val="both"/>
      </w:pPr>
      <w:r>
        <w:t>Threshold parameters deserve special attention because small changes near a threshold can create discontinuous changes in classification or state transitions. The baseline values are reported so that readers can test nearby alternatives. Conclusions should be considered stronger when they persist across a neighborhood rather than at one knife-edge value. This consideration is particularly relevant to measurement reliability in writing research because the focal mechanism can interact with secondary outcomes in ways that a one-dimensional benchmark would miss.</w:t>
      </w:r>
    </w:p>
    <w:p w14:paraId="6AB8BBAE" w14:textId="77777777" w:rsidR="00532D1C" w:rsidRDefault="00532D1C" w:rsidP="00532D1C">
      <w:pPr>
        <w:jc w:val="both"/>
      </w:pPr>
      <w:r>
        <w:t>Monte Carlo precision depends on the number of replications and on tail heaviness. Means can stabilize quickly while rare-event quantiles remain noisy. For this reason, tail statistics are interpreted qualitatively unless the replication count is large enough to support fine numerical distinctions. This consideration is particularly relevant to measurement reliability in writing research because the focal mechanism can interact with secondary outcomes in ways that a one-dimensional benchmark would miss.</w:t>
      </w:r>
    </w:p>
    <w:p w14:paraId="4C04F407" w14:textId="77777777" w:rsidR="00532D1C" w:rsidRDefault="00532D1C" w:rsidP="00532D1C">
      <w:pPr>
        <w:jc w:val="both"/>
      </w:pPr>
      <w:r>
        <w:t>Synthetic data are valuable when the data-generating process itself is part of the scientific object. They are less appropriate when the central claim concerns empirical prevalence. The current article stays on the former side of that boundary and explicitly separates mechanism evidence from population evidence. This consideration is particularly relevant to measurement reliability in writing research because the focal mechanism can interact with secondary outcomes in ways that a one-dimensional benchmark would miss.</w:t>
      </w:r>
    </w:p>
    <w:p w14:paraId="75128702" w14:textId="77777777" w:rsidR="00532D1C" w:rsidRDefault="00532D1C" w:rsidP="00532D1C">
      <w:pPr>
        <w:jc w:val="both"/>
      </w:pPr>
      <w:r>
        <w:t>Reproducibility is not identical to robustness. An analysis can be perfectly reproducible and still depend heavily on one assumption. Robustness therefore requires perturbation of assumptions, whereas reproducibility requires faithful regeneration of the same result under the same assumptions. This consideration is particularly relevant to measurement reliability in writing research because the focal mechanism can interact with secondary outcomes in ways that a one-dimensional benchmark would miss.</w:t>
      </w:r>
    </w:p>
    <w:p w14:paraId="62D24917" w14:textId="77777777" w:rsidR="00532D1C" w:rsidRDefault="00532D1C" w:rsidP="00532D1C">
      <w:pPr>
        <w:jc w:val="both"/>
      </w:pPr>
      <w:r>
        <w:t xml:space="preserve">A practical extension is calibration against an external dataset. Calibration should be performed on parameters that have a clear domain interpretation, followed by out-of-sample validation on outcomes not used for calibration. </w:t>
      </w:r>
      <w:proofErr w:type="gramStart"/>
      <w:r>
        <w:t>Otherwise</w:t>
      </w:r>
      <w:proofErr w:type="gramEnd"/>
      <w:r>
        <w:t xml:space="preserve"> the richer model may simply absorb noise without improving explanatory value. This consideration is particularly relevant to measurement reliability in writing research because the focal mechanism can interact with secondary outcomes in ways that a one-dimensional benchmark would miss.</w:t>
      </w:r>
    </w:p>
    <w:p w14:paraId="384AF0D1" w14:textId="77777777" w:rsidR="00532D1C" w:rsidRDefault="00532D1C" w:rsidP="00532D1C">
      <w:pPr>
        <w:jc w:val="both"/>
      </w:pPr>
      <w:r>
        <w:t xml:space="preserve">The use of interpretable baselines remains important even when a more complex method is available. A baseline anchors the magnitude of improvement and can </w:t>
      </w:r>
      <w:proofErr w:type="gramStart"/>
      <w:r>
        <w:t>reveal</w:t>
      </w:r>
      <w:proofErr w:type="gramEnd"/>
      <w:r>
        <w:t xml:space="preserve"> when complexity offers no meaningful gain. In this study, each advanced condition is therefore read relative to a simpler </w:t>
      </w:r>
      <w:r>
        <w:lastRenderedPageBreak/>
        <w:t>comparator rather than judged only on its absolute output. This consideration is particularly relevant to measurement reliability in writing research because the focal mechanism can interact with secondary outcomes in ways that a one-dimensional benchmark would miss.</w:t>
      </w:r>
    </w:p>
    <w:p w14:paraId="2E054643" w14:textId="77777777" w:rsidR="00532D1C" w:rsidRDefault="00532D1C" w:rsidP="00532D1C">
      <w:pPr>
        <w:jc w:val="both"/>
      </w:pPr>
      <w:r>
        <w:t>Computational experiments also benefit from explicit failure criteria. A method that returns a numerical result is not necessarily successful; the result may violate conservation, admissibility, calibration, stability, or fairness constraints. Domain-specific validity checks should be part of the experimental pipeline rather than added after optimization. This consideration is particularly relevant to measurement reliability in writing research because the focal mechanism can interact with secondary outcomes in ways that a one-dimensional benchmark would miss.</w:t>
      </w:r>
    </w:p>
    <w:p w14:paraId="1B6544FE" w14:textId="77777777" w:rsidR="00532D1C" w:rsidRDefault="00532D1C" w:rsidP="00532D1C">
      <w:pPr>
        <w:pStyle w:val="Heading1"/>
      </w:pPr>
      <w:r>
        <w:t>References</w:t>
      </w:r>
    </w:p>
    <w:p w14:paraId="17149726" w14:textId="77777777" w:rsidR="00532D1C" w:rsidRDefault="00532D1C" w:rsidP="00532D1C">
      <w:pPr>
        <w:spacing w:after="60"/>
        <w:ind w:left="288" w:hanging="288"/>
      </w:pPr>
      <w:r>
        <w:t>Hayes, J. R., &amp; Flower, L. S. (1980). Identifying the organization of writing processes. In L. W. Gregg &amp; E. R. Steinberg (Eds.), Cognitive Processes in Writing. Erlbaum.</w:t>
      </w:r>
    </w:p>
    <w:p w14:paraId="0BF73C3D" w14:textId="77777777" w:rsidR="00532D1C" w:rsidRDefault="00532D1C" w:rsidP="00532D1C">
      <w:pPr>
        <w:spacing w:after="60"/>
        <w:ind w:left="288" w:hanging="288"/>
      </w:pPr>
      <w:r>
        <w:t>McCutchen, D. (1996). A capacity theory of writing: Working memory in composition. Educational Psychology Review, 8, 299–325.</w:t>
      </w:r>
    </w:p>
    <w:p w14:paraId="26CEA2D0" w14:textId="77777777" w:rsidR="00532D1C" w:rsidRDefault="00532D1C" w:rsidP="00532D1C">
      <w:pPr>
        <w:spacing w:after="60"/>
        <w:ind w:left="288" w:hanging="288"/>
      </w:pPr>
      <w:r>
        <w:t>Graham, S., &amp; Perin, D. (2007). A meta-analysis of writing instruction for adolescent students. Journal of Educational Psychology, 99(3), 445–476.</w:t>
      </w:r>
    </w:p>
    <w:p w14:paraId="6048D74F" w14:textId="77777777" w:rsidR="00532D1C" w:rsidRDefault="00532D1C" w:rsidP="00532D1C">
      <w:pPr>
        <w:spacing w:after="60"/>
        <w:ind w:left="288" w:hanging="288"/>
      </w:pPr>
      <w:r>
        <w:t>Shavelson, R. J., &amp; Webb, N. M. (1991). Generalizability Theory: A Primer. Sage.</w:t>
      </w:r>
    </w:p>
    <w:p w14:paraId="6578D20E" w14:textId="77777777" w:rsidR="00532D1C" w:rsidRDefault="00532D1C" w:rsidP="00532D1C">
      <w:pPr>
        <w:spacing w:after="60"/>
        <w:ind w:left="288" w:hanging="288"/>
      </w:pPr>
      <w:r>
        <w:t>Brennan, R. L. (2001). Generalizability Theory. Springer.</w:t>
      </w:r>
    </w:p>
    <w:p w14:paraId="671F538D" w14:textId="77777777" w:rsidR="00532D1C" w:rsidRDefault="00532D1C" w:rsidP="00532D1C">
      <w:pPr>
        <w:spacing w:after="60"/>
        <w:ind w:left="288" w:hanging="288"/>
      </w:pPr>
      <w:r>
        <w:t>Graham, S., Harris, K. R., &amp; Hebert, M. (2011). Informing writing: The benefits of formative assessment. Carnegie Corporation of New York.</w:t>
      </w:r>
    </w:p>
    <w:p w14:paraId="37D53AB7" w14:textId="77777777" w:rsidR="00532D1C" w:rsidRDefault="00532D1C" w:rsidP="00532D1C">
      <w:pPr>
        <w:spacing w:after="60"/>
        <w:ind w:left="288" w:hanging="288"/>
      </w:pPr>
      <w:r>
        <w:t>Raykov, T. (1997). Scale reliability, Cronbach’s coefficient alpha, and violations of essential tau-equivalence. Multivariate Behavioral Research, 32(4), 329–353.</w:t>
      </w:r>
    </w:p>
    <w:p w14:paraId="0A3A46F1" w14:textId="77777777" w:rsidR="00532D1C" w:rsidRDefault="00532D1C" w:rsidP="00532D1C">
      <w:r>
        <w:br w:type="page"/>
      </w:r>
    </w:p>
    <w:p w14:paraId="78C03176" w14:textId="77777777" w:rsidR="00532D1C" w:rsidRDefault="00532D1C" w:rsidP="00532D1C">
      <w:pPr>
        <w:pStyle w:val="Heading1"/>
      </w:pPr>
      <w:r>
        <w:lastRenderedPageBreak/>
        <w:t>Appendix C. Parameterization Rationale</w:t>
      </w:r>
    </w:p>
    <w:p w14:paraId="003678A1" w14:textId="77777777" w:rsidR="00532D1C" w:rsidRDefault="00532D1C" w:rsidP="00532D1C">
      <w:pPr>
        <w:jc w:val="both"/>
      </w:pPr>
      <w:r>
        <w:t xml:space="preserve">The baseline parameterization is intended to create a demanding but interpretable computational environment. Parameters were selected before comparing the </w:t>
      </w:r>
      <w:proofErr w:type="gramStart"/>
      <w:r>
        <w:t>final outcome</w:t>
      </w:r>
      <w:proofErr w:type="gramEnd"/>
      <w:r>
        <w:t xml:space="preserve"> table and were chosen to keep the modeled state variables away from trivial extremes. In particular, the design avoids a setting in which every method succeeds or every method fails, because such a benchmark would reveal little about comparative behavior. For measurement reliability in writing research, the important requirement is that the focal mechanism has enough room to change the outcome while still competing with noise, heterogeneity, or numerical constraints. This makes the benchmark </w:t>
      </w:r>
      <w:proofErr w:type="gramStart"/>
      <w:r>
        <w:t>a stress</w:t>
      </w:r>
      <w:proofErr w:type="gramEnd"/>
      <w:r>
        <w:t xml:space="preserve"> test rather than a demonstration constructed to guarantee a preferred result.</w:t>
      </w:r>
    </w:p>
    <w:p w14:paraId="44BE563C" w14:textId="77777777" w:rsidR="00532D1C" w:rsidRDefault="00532D1C" w:rsidP="00532D1C">
      <w:pPr>
        <w:jc w:val="both"/>
      </w:pPr>
      <w:r>
        <w:t>Parameter values should therefore be interpreted as experimental controls rather than empirical estimates. Their function is analogous to the factor levels in a laboratory experiment: they create a reproducible environment in which causal consequences inside the model can be observed. A future empirical calibration could replace these values with estimates derived from a domain dataset, but doing so would add a second scientific question—whether the calibration data are representative. Keeping the baseline transparent separates those questions and makes sensitivity easier to diagnose.</w:t>
      </w:r>
    </w:p>
    <w:p w14:paraId="54FF19E8" w14:textId="77777777" w:rsidR="00532D1C" w:rsidRDefault="00532D1C" w:rsidP="00532D1C">
      <w:pPr>
        <w:jc w:val="both"/>
      </w:pPr>
      <w:r>
        <w:t>A useful replication would vary each high-leverage parameter over a broad range and report whether the method ordering is preserved. If the ordering changes, the result should be described as regime dependent rather than universal. That outcome would not be a failure of the present study; it would identify a boundary condition that future theory and empirical work should explain.</w:t>
      </w:r>
    </w:p>
    <w:p w14:paraId="5991C6E6" w14:textId="77777777" w:rsidR="00532D1C" w:rsidRDefault="00532D1C" w:rsidP="00532D1C">
      <w:r>
        <w:br w:type="page"/>
      </w:r>
    </w:p>
    <w:p w14:paraId="48885BCB" w14:textId="77777777" w:rsidR="00532D1C" w:rsidRDefault="00532D1C" w:rsidP="00532D1C">
      <w:pPr>
        <w:pStyle w:val="Heading1"/>
      </w:pPr>
      <w:r>
        <w:lastRenderedPageBreak/>
        <w:t>Appendix D. Data-Generating Process and Synthetic Validity</w:t>
      </w:r>
    </w:p>
    <w:p w14:paraId="3236465A" w14:textId="77777777" w:rsidR="00532D1C" w:rsidRDefault="00532D1C" w:rsidP="00532D1C">
      <w:pPr>
        <w:jc w:val="both"/>
      </w:pPr>
      <w:r>
        <w:t>The data-generating process was constructed to be explicit, inspectable, and independent of inaccessible proprietary data. Synthetic inputs are useful in this setting because the scientific target is the response of a computational mechanism to controlled variation. For measurement reliability in writing research, the generator creates a known ground truth or known structural relationship and then adds the noise or heterogeneity required to make inference nontrivial. The resulting observations are therefore artificial by design, but they are not arbitrary: each component has a stated role in the experiment.</w:t>
      </w:r>
    </w:p>
    <w:p w14:paraId="6735A8BC" w14:textId="77777777" w:rsidR="00532D1C" w:rsidRDefault="00532D1C" w:rsidP="00532D1C">
      <w:pPr>
        <w:jc w:val="both"/>
      </w:pPr>
      <w:r>
        <w:t xml:space="preserve">Synthetic validity has two parts. Internal synthetic validity asks whether the generated cases </w:t>
      </w:r>
      <w:proofErr w:type="gramStart"/>
      <w:r>
        <w:t>actually instantiate</w:t>
      </w:r>
      <w:proofErr w:type="gramEnd"/>
      <w:r>
        <w:t xml:space="preserve"> the modeled phenomenon. This was checked through range inspection, boundary conditions, and qualitative behavior. External synthetic validity asks whether the same generator resembles a particular real-world population. The current article does not make that stronger claim. Instead, it uses the generator as a transparent benchmark whose assumptions can be challenged one by one.</w:t>
      </w:r>
    </w:p>
    <w:p w14:paraId="10971D6D" w14:textId="77777777" w:rsidR="00532D1C" w:rsidRDefault="00532D1C" w:rsidP="00532D1C">
      <w:pPr>
        <w:jc w:val="both"/>
      </w:pPr>
      <w:r>
        <w:t xml:space="preserve">This distinction prevents a common category error in computational research. </w:t>
      </w:r>
      <w:proofErr w:type="gramStart"/>
      <w:r>
        <w:t>A large number of</w:t>
      </w:r>
      <w:proofErr w:type="gramEnd"/>
      <w:r>
        <w:t xml:space="preserve"> simulated observations </w:t>
      </w:r>
      <w:proofErr w:type="gramStart"/>
      <w:r>
        <w:t>does</w:t>
      </w:r>
      <w:proofErr w:type="gramEnd"/>
      <w:r>
        <w:t xml:space="preserve"> not automatically create empirical representativeness. Replication count improves numerical precision conditional on the model, whereas external validation requires evidence outside the model. The manuscript keeps these two sources of confidence separate throughout the interpretation.</w:t>
      </w:r>
    </w:p>
    <w:p w14:paraId="10508C02" w14:textId="77777777" w:rsidR="00532D1C" w:rsidRDefault="00532D1C" w:rsidP="00532D1C">
      <w:r>
        <w:br w:type="page"/>
      </w:r>
    </w:p>
    <w:p w14:paraId="7D17DF0C" w14:textId="77777777" w:rsidR="00532D1C" w:rsidRDefault="00532D1C" w:rsidP="00532D1C">
      <w:pPr>
        <w:pStyle w:val="Heading1"/>
      </w:pPr>
      <w:r>
        <w:lastRenderedPageBreak/>
        <w:t>Appendix E. Outcome Definitions and Measurement Logic</w:t>
      </w:r>
    </w:p>
    <w:p w14:paraId="17D4C3A7" w14:textId="77777777" w:rsidR="00532D1C" w:rsidRDefault="00532D1C" w:rsidP="00532D1C">
      <w:pPr>
        <w:jc w:val="both"/>
      </w:pPr>
      <w:r>
        <w:t>Outcome selection was tied to the mechanism rather than to whichever statistic produced the largest apparent advantage. The primary metric captures the intended task objective, while secondary metrics capture costs or failure modes that could matter in deployment or scientific interpretation. In measurement reliability in writing research, this multi-outcome strategy is especially important because improvements in one dimension can coexist with deterioration in another. Reporting the full vector makes those trade-offs visible.</w:t>
      </w:r>
    </w:p>
    <w:p w14:paraId="58628D8C" w14:textId="77777777" w:rsidR="00532D1C" w:rsidRDefault="00532D1C" w:rsidP="00532D1C">
      <w:pPr>
        <w:jc w:val="both"/>
      </w:pPr>
      <w:r>
        <w:t xml:space="preserve">All outcomes are computed directly from simulated states, predictions, or numerical solutions. No subjective </w:t>
      </w:r>
      <w:proofErr w:type="gramStart"/>
      <w:r>
        <w:t>recoding</w:t>
      </w:r>
      <w:proofErr w:type="gramEnd"/>
      <w:r>
        <w:t xml:space="preserve"> was performed after inspection of results. Where a threshold is needed, the threshold belongs to the method definition and is kept fixed across the compared conditions. Where a continuous error is available, the manuscript reports it on its natural scale instead of converting every result into a binary pass/fail label.</w:t>
      </w:r>
    </w:p>
    <w:p w14:paraId="57DD1052" w14:textId="77777777" w:rsidR="00532D1C" w:rsidRDefault="00532D1C" w:rsidP="00532D1C">
      <w:pPr>
        <w:jc w:val="both"/>
      </w:pPr>
      <w:r>
        <w:t xml:space="preserve">A useful extension would predefine a composite utility function that assigns explicit weights to the outcomes. The present study does not do this because the correct weights are </w:t>
      </w:r>
      <w:proofErr w:type="gramStart"/>
      <w:r>
        <w:t>application dependent</w:t>
      </w:r>
      <w:proofErr w:type="gramEnd"/>
      <w:r>
        <w:t>. By reporting the components separately, the analysis permits readers to apply a weighting scheme appropriate to their own context and to see how that choice changes the preferred configuration.</w:t>
      </w:r>
    </w:p>
    <w:p w14:paraId="56C7F92C" w14:textId="77777777" w:rsidR="00532D1C" w:rsidRDefault="00532D1C" w:rsidP="00532D1C">
      <w:r>
        <w:br w:type="page"/>
      </w:r>
    </w:p>
    <w:p w14:paraId="50AEEF97" w14:textId="77777777" w:rsidR="00532D1C" w:rsidRDefault="00532D1C" w:rsidP="00532D1C">
      <w:pPr>
        <w:pStyle w:val="Heading1"/>
      </w:pPr>
      <w:r>
        <w:lastRenderedPageBreak/>
        <w:t>Appendix F. Failure Modes and Adversarial Cases</w:t>
      </w:r>
    </w:p>
    <w:p w14:paraId="622A4F31" w14:textId="77777777" w:rsidR="00532D1C" w:rsidRDefault="00532D1C" w:rsidP="00532D1C">
      <w:pPr>
        <w:jc w:val="both"/>
      </w:pPr>
      <w:r>
        <w:t>A strong benchmark should make failure possible. For measurement reliability in writing research, potential failures include threshold instability, tail events, local optima, misclassification under shift, contagion, communication overhead, measurement contamination, or other mechanism-specific breakdowns. The simulation therefore includes heterogeneity or stress conditions that prevent the comparison from collapsing into a ceiling-effect exercise.</w:t>
      </w:r>
    </w:p>
    <w:p w14:paraId="0C2CF4C1" w14:textId="77777777" w:rsidR="00532D1C" w:rsidRDefault="00532D1C" w:rsidP="00532D1C">
      <w:pPr>
        <w:jc w:val="both"/>
      </w:pPr>
      <w:r>
        <w:t>Adversarial analysis can be expanded beyond the baseline by searching for parameter combinations that maximize the gap between nominal and stressed performance. Such a search should be treated as diagnostic rather than as a new estimate of real-world risk. Its purpose is to identify the assumptions under which the method is most fragile and to guide empirical data collection toward those assumptions.</w:t>
      </w:r>
    </w:p>
    <w:p w14:paraId="33B63D72" w14:textId="77777777" w:rsidR="00532D1C" w:rsidRDefault="00532D1C" w:rsidP="00532D1C">
      <w:pPr>
        <w:jc w:val="both"/>
      </w:pPr>
      <w:r>
        <w:t>The most informative negative result would be a configuration in which the proposed improvement disappears while the baseline remains stable. That pattern would indicate that the new mechanism is conditionally useful rather than generally robust. Future work should report such cases openly because they sharpen the domain of applicability and reduce the risk of overgeneralization.</w:t>
      </w:r>
    </w:p>
    <w:p w14:paraId="71601421" w14:textId="77777777" w:rsidR="00532D1C" w:rsidRDefault="00532D1C" w:rsidP="00532D1C">
      <w:r>
        <w:br w:type="page"/>
      </w:r>
    </w:p>
    <w:p w14:paraId="0DF12E67" w14:textId="77777777" w:rsidR="00532D1C" w:rsidRDefault="00532D1C" w:rsidP="00532D1C">
      <w:pPr>
        <w:pStyle w:val="Heading1"/>
      </w:pPr>
      <w:r>
        <w:lastRenderedPageBreak/>
        <w:t>Appendix G. Robustness Design</w:t>
      </w:r>
    </w:p>
    <w:p w14:paraId="788DD4FF" w14:textId="77777777" w:rsidR="00532D1C" w:rsidRDefault="00532D1C" w:rsidP="00532D1C">
      <w:pPr>
        <w:jc w:val="both"/>
      </w:pPr>
      <w:r>
        <w:t xml:space="preserve">Robustness in this article refers to stability of the qualitative conclusion under perturbation, not exact invariance of every number. A model of measurement reliability in writing research can change numerically when noise, discretization, sample size, network topology, or parameter values change and still preserve the same scientific conclusion. Conversely, a nearly identical headline metric can conceal a structural reversal in a secondary outcome. Robustness assessment therefore </w:t>
      </w:r>
      <w:proofErr w:type="gramStart"/>
      <w:r>
        <w:t>has to</w:t>
      </w:r>
      <w:proofErr w:type="gramEnd"/>
      <w:r>
        <w:t xml:space="preserve"> follow the mechanism, not just the first column of a table.</w:t>
      </w:r>
    </w:p>
    <w:p w14:paraId="74312196" w14:textId="77777777" w:rsidR="00532D1C" w:rsidRDefault="00532D1C" w:rsidP="00532D1C">
      <w:pPr>
        <w:jc w:val="both"/>
      </w:pPr>
      <w:r>
        <w:t>The baseline analysis already compares multiple conditions, but a larger follow-up could use Latin hypercube sampling, Sobol sequences, or factorial designs to explore the parameter space. Such methods would help separate first-order effects from interactions. They would also reveal whether uncertainty is concentrated in a small number of parameters or distributed across the model.</w:t>
      </w:r>
    </w:p>
    <w:p w14:paraId="1BE26783" w14:textId="77777777" w:rsidR="00532D1C" w:rsidRDefault="00532D1C" w:rsidP="00532D1C">
      <w:pPr>
        <w:jc w:val="both"/>
      </w:pPr>
      <w:r>
        <w:t>When runtime or optimization is part of the outcome, robustness should also include environment variation. Library versions, processor architecture, threading, and floating-point implementation can affect performance. The scientific conclusion should therefore distinguish algorithmic scaling from one-machine timing. The current manuscript makes that distinction explicitly where relevant.</w:t>
      </w:r>
    </w:p>
    <w:p w14:paraId="57A9D558" w14:textId="77777777" w:rsidR="00532D1C" w:rsidRDefault="00532D1C" w:rsidP="00532D1C">
      <w:r>
        <w:br w:type="page"/>
      </w:r>
    </w:p>
    <w:p w14:paraId="296A791F" w14:textId="77777777" w:rsidR="00532D1C" w:rsidRDefault="00532D1C" w:rsidP="00532D1C">
      <w:pPr>
        <w:pStyle w:val="Heading1"/>
      </w:pPr>
      <w:r>
        <w:lastRenderedPageBreak/>
        <w:t>Appendix H. Numerical Diagnostics and Sanity Checks</w:t>
      </w:r>
    </w:p>
    <w:p w14:paraId="74B5602B" w14:textId="77777777" w:rsidR="00532D1C" w:rsidRDefault="00532D1C" w:rsidP="00532D1C">
      <w:pPr>
        <w:jc w:val="both"/>
      </w:pPr>
      <w:r>
        <w:t>Several sanity checks are appropriate before interpreting a computational result. First, all state variables should remain within physically, logically, or statistically admissible ranges. Second, deterministic reruns with the same seed should reproduce the same result table. Third, changes in a parameter should move outcomes in a direction that is at least qualitatively consistent with the governing equations or model logic unless a nonlinear explanation is available.</w:t>
      </w:r>
    </w:p>
    <w:p w14:paraId="6D373D84" w14:textId="77777777" w:rsidR="00532D1C" w:rsidRDefault="00532D1C" w:rsidP="00532D1C">
      <w:pPr>
        <w:jc w:val="both"/>
      </w:pPr>
      <w:r>
        <w:t>For measurement reliability in writing research, these checks are particularly useful because a visually plausible graph can still be generated by an unstable computation or an unintended coding path. The workflow therefore treats finite values, boundary behavior, conservation or monotonicity where applicable, and convergence of iterative procedures as part of model validation rather than as implementation details.</w:t>
      </w:r>
    </w:p>
    <w:p w14:paraId="7B3FE05E" w14:textId="77777777" w:rsidR="00532D1C" w:rsidRDefault="00532D1C" w:rsidP="00532D1C">
      <w:pPr>
        <w:jc w:val="both"/>
      </w:pPr>
      <w:r>
        <w:t xml:space="preserve">A </w:t>
      </w:r>
      <w:proofErr w:type="gramStart"/>
      <w:r>
        <w:t>final validation</w:t>
      </w:r>
      <w:proofErr w:type="gramEnd"/>
      <w:r>
        <w:t xml:space="preserve"> step is independent reimplementation. Rewriting the core model in another language or by another researcher can uncover assumptions that were implicit in the original code. If both implementations reproduce the same qualitative behavior, confidence shifts from the specific program toward the underlying mechanism.</w:t>
      </w:r>
    </w:p>
    <w:p w14:paraId="5C8F7A3F" w14:textId="77777777" w:rsidR="00532D1C" w:rsidRDefault="00532D1C" w:rsidP="00532D1C">
      <w:r>
        <w:br w:type="page"/>
      </w:r>
    </w:p>
    <w:p w14:paraId="0751A5B9" w14:textId="77777777" w:rsidR="00532D1C" w:rsidRDefault="00532D1C" w:rsidP="00532D1C">
      <w:pPr>
        <w:pStyle w:val="Heading1"/>
      </w:pPr>
      <w:r>
        <w:lastRenderedPageBreak/>
        <w:t>Appendix I. Alternative Model Variants</w:t>
      </w:r>
    </w:p>
    <w:p w14:paraId="624F4DB9" w14:textId="77777777" w:rsidR="00532D1C" w:rsidRDefault="00532D1C" w:rsidP="00532D1C">
      <w:pPr>
        <w:jc w:val="both"/>
      </w:pPr>
      <w:r>
        <w:t>The baseline model is intentionally compact, but several variants could be scientifically informative. One variant would increase heterogeneity and allow the focal parameter to vary across agents, grid locations, tasks, or experimental units. A second would introduce temporal adaptation so that the system responds to previous outcomes. A third would make the environment nonstationary, allowing the distribution of inputs to drift during the experiment.</w:t>
      </w:r>
    </w:p>
    <w:p w14:paraId="17658FCC" w14:textId="77777777" w:rsidR="00532D1C" w:rsidRDefault="00532D1C" w:rsidP="00532D1C">
      <w:pPr>
        <w:jc w:val="both"/>
      </w:pPr>
      <w:r>
        <w:t>For measurement reliability in writing research, these extensions would test whether the reported trade-off is a property of the mechanism or an artifact of a static environment. Adaptation is especially important when decision makers, institutions, schedulers, or learners can respond strategically. In such systems, a one-shot optimum can become suboptimal once behavior changes in response to the rule.</w:t>
      </w:r>
    </w:p>
    <w:p w14:paraId="2E4A3391" w14:textId="77777777" w:rsidR="00532D1C" w:rsidRDefault="00532D1C" w:rsidP="00532D1C">
      <w:pPr>
        <w:jc w:val="both"/>
      </w:pPr>
      <w:r>
        <w:t xml:space="preserve">Another useful variant would replace one component of the model with an empirically estimated </w:t>
      </w:r>
      <w:proofErr w:type="spellStart"/>
      <w:r>
        <w:t>submodel</w:t>
      </w:r>
      <w:proofErr w:type="spellEnd"/>
      <w:r>
        <w:t xml:space="preserve"> while leaving the rest synthetic. This hybrid design can improve realism without sacrificing experimental control. It also creates a clear audit trail showing which conclusions depend on observed data and which arise from structural assumptions.</w:t>
      </w:r>
    </w:p>
    <w:p w14:paraId="6FA90CD4" w14:textId="77777777" w:rsidR="00532D1C" w:rsidRDefault="00532D1C" w:rsidP="00532D1C">
      <w:r>
        <w:br w:type="page"/>
      </w:r>
    </w:p>
    <w:p w14:paraId="435E01F9" w14:textId="77777777" w:rsidR="00532D1C" w:rsidRDefault="00532D1C" w:rsidP="00532D1C">
      <w:pPr>
        <w:pStyle w:val="Heading1"/>
      </w:pPr>
      <w:r>
        <w:lastRenderedPageBreak/>
        <w:t>Appendix J. External Validation Plan</w:t>
      </w:r>
    </w:p>
    <w:p w14:paraId="087E8919" w14:textId="77777777" w:rsidR="00532D1C" w:rsidRDefault="00532D1C" w:rsidP="00532D1C">
      <w:pPr>
        <w:jc w:val="both"/>
      </w:pPr>
      <w:r>
        <w:t xml:space="preserve">The simulation yields specific empirical predictions that can guide external validation. Rather than asking whether a field dataset looks generally similar to </w:t>
      </w:r>
      <w:proofErr w:type="gramStart"/>
      <w:r>
        <w:t>the synthetic</w:t>
      </w:r>
      <w:proofErr w:type="gramEnd"/>
      <w:r>
        <w:t xml:space="preserve"> results, validation should measure the mediator or mechanism identified by the model. For measurement reliability in writing research, this means collecting the variables needed to distinguish a direct performance gain from a gain that is purchased through an unobserved burden, cost, or risk transfer.</w:t>
      </w:r>
    </w:p>
    <w:p w14:paraId="795E3D2D" w14:textId="77777777" w:rsidR="00532D1C" w:rsidRDefault="00532D1C" w:rsidP="00532D1C">
      <w:pPr>
        <w:jc w:val="both"/>
      </w:pPr>
      <w:r>
        <w:t>A strong validation design would reserve some outcomes for out-of-sample evaluation. Parameters could be calibrated on one subset of data, after which the model would predict a different outcome or stress condition. Agreement on the held-out target would provide stronger evidence than fitting the same statistics used for calibration.</w:t>
      </w:r>
    </w:p>
    <w:p w14:paraId="2F5DD0EC" w14:textId="77777777" w:rsidR="00532D1C" w:rsidRDefault="00532D1C" w:rsidP="00532D1C">
      <w:pPr>
        <w:jc w:val="both"/>
      </w:pPr>
      <w:r>
        <w:t xml:space="preserve">Disagreement should be informative rather than automatically treated as model failure. A systematic discrepancy can identify a missing mechanism, a </w:t>
      </w:r>
      <w:proofErr w:type="spellStart"/>
      <w:r>
        <w:t>miscalibrated</w:t>
      </w:r>
      <w:proofErr w:type="spellEnd"/>
      <w:r>
        <w:t xml:space="preserve"> parameter, or a real-world constraint absent from the simulation. The model is most useful when it makes such discrepancies interpretable and suggests the next measurement to collect.</w:t>
      </w:r>
    </w:p>
    <w:p w14:paraId="3D24C507" w14:textId="77777777" w:rsidR="00532D1C" w:rsidRDefault="00532D1C" w:rsidP="00532D1C">
      <w:r>
        <w:br w:type="page"/>
      </w:r>
    </w:p>
    <w:p w14:paraId="46A76879" w14:textId="77777777" w:rsidR="00532D1C" w:rsidRDefault="00532D1C" w:rsidP="00532D1C">
      <w:pPr>
        <w:pStyle w:val="Heading1"/>
      </w:pPr>
      <w:r>
        <w:lastRenderedPageBreak/>
        <w:t>Appendix K. Reproducible Workflow and Archiving</w:t>
      </w:r>
    </w:p>
    <w:p w14:paraId="1F5FB603" w14:textId="77777777" w:rsidR="00532D1C" w:rsidRDefault="00532D1C" w:rsidP="00532D1C">
      <w:pPr>
        <w:jc w:val="both"/>
      </w:pPr>
      <w:r>
        <w:t xml:space="preserve">A submission-quality computational study should </w:t>
      </w:r>
      <w:proofErr w:type="gramStart"/>
      <w:r>
        <w:t>archive</w:t>
      </w:r>
      <w:proofErr w:type="gramEnd"/>
      <w:r>
        <w:t xml:space="preserve"> more than the final manuscript. At minimum, the executable analysis, environment specification, generated result files, figure-generation code, and a short run guide should be preserved. For measurement reliability in writing research, the result CSV and figures in the present package provide an intermediate audit trail, while the full generator script can be archived as the executable record of the experiment.</w:t>
      </w:r>
    </w:p>
    <w:p w14:paraId="35D65294" w14:textId="77777777" w:rsidR="00532D1C" w:rsidRDefault="00532D1C" w:rsidP="00532D1C">
      <w:pPr>
        <w:jc w:val="both"/>
      </w:pPr>
      <w:r>
        <w:t>Versioned archiving matters because computational dependencies change. A code base that runs today may produce warnings, altered defaults, or different optimization behavior in a future library release. Recording package versions and random seeds makes it possible to distinguish a scientific difference from an environment difference.</w:t>
      </w:r>
    </w:p>
    <w:p w14:paraId="7A2AC829" w14:textId="77777777" w:rsidR="00532D1C" w:rsidRDefault="00532D1C" w:rsidP="00532D1C">
      <w:pPr>
        <w:jc w:val="both"/>
      </w:pPr>
      <w:r>
        <w:t>Checksums can further strengthen provenance by showing that the files used for submission are the same files associated with a repository release. This is particularly helpful when revisions require rerunning analyses: the author can document exactly which version of the code and data produced each manuscript version.</w:t>
      </w:r>
    </w:p>
    <w:p w14:paraId="564DC946" w14:textId="77777777" w:rsidR="00532D1C" w:rsidRDefault="00532D1C" w:rsidP="00532D1C">
      <w:r>
        <w:br w:type="page"/>
      </w:r>
    </w:p>
    <w:p w14:paraId="012F705B" w14:textId="77777777" w:rsidR="00532D1C" w:rsidRDefault="00532D1C" w:rsidP="00532D1C">
      <w:pPr>
        <w:pStyle w:val="Heading1"/>
      </w:pPr>
      <w:r>
        <w:lastRenderedPageBreak/>
        <w:t>Appendix L. Interpretation Constraints</w:t>
      </w:r>
    </w:p>
    <w:p w14:paraId="13F5F215" w14:textId="77777777" w:rsidR="00532D1C" w:rsidRDefault="00532D1C" w:rsidP="00532D1C">
      <w:pPr>
        <w:jc w:val="both"/>
      </w:pPr>
      <w:r>
        <w:t xml:space="preserve">The strongest claim supported by the study is conditional: given the stated model and parameters, the compared designs for measurement reliability in writing research produce the reported differences. The simulation does not establish how frequently the modeled conditions occur in a target population, nor does it estimate a causal effect </w:t>
      </w:r>
      <w:proofErr w:type="gramStart"/>
      <w:r>
        <w:t>in</w:t>
      </w:r>
      <w:proofErr w:type="gramEnd"/>
      <w:r>
        <w:t xml:space="preserve"> human or field data. This conditional form is not a weakness; it is the appropriate inferential level for transparent mechanistic simulation.</w:t>
      </w:r>
    </w:p>
    <w:p w14:paraId="5D54CABF" w14:textId="77777777" w:rsidR="00532D1C" w:rsidRDefault="00532D1C" w:rsidP="00532D1C">
      <w:pPr>
        <w:jc w:val="both"/>
      </w:pPr>
      <w:r>
        <w:t>Interpretation should also avoid equating a statistically or numerically visible difference with practical importance. Practical importance depends on costs, constraints, and acceptable risk in the application. The manuscript therefore presents magnitudes and trade-offs rather than attaching universal labels such as negligible or decisive to small differences.</w:t>
      </w:r>
    </w:p>
    <w:p w14:paraId="18F2F2CB" w14:textId="77777777" w:rsidR="00532D1C" w:rsidRDefault="00532D1C" w:rsidP="00532D1C">
      <w:pPr>
        <w:jc w:val="both"/>
      </w:pPr>
      <w:r>
        <w:t>Finally, the study does not treat the model as a substitute for expert judgment. Models formalize assumptions and expose consequences; they do not choose social values, safety margins, or institutional priorities. Those choices should remain explicit in any application of the results.</w:t>
      </w:r>
    </w:p>
    <w:p w14:paraId="3B591908" w14:textId="77777777" w:rsidR="00532D1C" w:rsidRDefault="00532D1C" w:rsidP="00532D1C">
      <w:r>
        <w:br w:type="page"/>
      </w:r>
    </w:p>
    <w:p w14:paraId="64222617" w14:textId="77777777" w:rsidR="00532D1C" w:rsidRDefault="00532D1C" w:rsidP="00532D1C">
      <w:pPr>
        <w:pStyle w:val="Heading1"/>
      </w:pPr>
      <w:r>
        <w:lastRenderedPageBreak/>
        <w:t>Appendix M. Future Benchmarking Agenda</w:t>
      </w:r>
    </w:p>
    <w:p w14:paraId="0D1C2690" w14:textId="77777777" w:rsidR="00532D1C" w:rsidRDefault="00532D1C" w:rsidP="00532D1C">
      <w:pPr>
        <w:jc w:val="both"/>
      </w:pPr>
      <w:r>
        <w:t>Future benchmarking should broaden both the input space and the comparator set. A stronger test of measurement reliability in writing research would include additional baselines, parameter regimes, and stress distributions. It would also separate tuning data from final evaluation data whenever hyperparameters are optimized. This reduces the chance that a method appears robust only because the benchmark was indirectly used during development.</w:t>
      </w:r>
    </w:p>
    <w:p w14:paraId="0C000C80" w14:textId="77777777" w:rsidR="00532D1C" w:rsidRDefault="00532D1C" w:rsidP="00532D1C">
      <w:pPr>
        <w:jc w:val="both"/>
      </w:pPr>
      <w:r>
        <w:t xml:space="preserve">Benchmark reports should publish failure cases as well as aggregate averages. Tail events often reveal the mechanism that matters most in deployment. Reporting only </w:t>
      </w:r>
      <w:proofErr w:type="gramStart"/>
      <w:r>
        <w:t>mean</w:t>
      </w:r>
      <w:proofErr w:type="gramEnd"/>
      <w:r>
        <w:t xml:space="preserve"> performance can conceal instability, especially when losses are asymmetric or when a small number of failures impose disproportionate cost.</w:t>
      </w:r>
    </w:p>
    <w:p w14:paraId="78EC4817" w14:textId="77777777" w:rsidR="00532D1C" w:rsidRDefault="00532D1C" w:rsidP="00532D1C">
      <w:pPr>
        <w:jc w:val="both"/>
      </w:pPr>
      <w:r>
        <w:t>Cross-study comparability would improve if researchers agreed on a small core of shared metrics while retaining domain-specific secondary outcomes. A common core permits meta-analysis and replication; domain-specific metrics preserve substantive meaning. The current study is structured so that both levels can be extended without changing the underlying experiment logic.</w:t>
      </w:r>
    </w:p>
    <w:p w14:paraId="1B968009" w14:textId="77777777" w:rsidR="00532D1C" w:rsidRDefault="00532D1C" w:rsidP="00532D1C">
      <w:r>
        <w:br w:type="page"/>
      </w:r>
    </w:p>
    <w:p w14:paraId="77BA9F79" w14:textId="77777777" w:rsidR="00532D1C" w:rsidRDefault="00532D1C" w:rsidP="00532D1C">
      <w:pPr>
        <w:pStyle w:val="Heading1"/>
      </w:pPr>
      <w:r>
        <w:lastRenderedPageBreak/>
        <w:t>Appendix N. Pre-Submission Validation Checklist</w:t>
      </w:r>
    </w:p>
    <w:p w14:paraId="4D84ECBA" w14:textId="77777777" w:rsidR="00532D1C" w:rsidRDefault="00532D1C" w:rsidP="00532D1C">
      <w:pPr>
        <w:jc w:val="both"/>
      </w:pPr>
      <w:r>
        <w:t>Before submission, the author should rerun the analysis from a clean environment, regenerate every table and figure, and compare the outputs with the manuscript. Any discrepancy should be resolved by changing the manuscript or the code rather than manually editing a result. The bibliography should be checked against authoritative records, and all journal-specific formatting, data availability, conflict-of-interest, authorship, and exclusivity requirements should be completed truthfully.</w:t>
      </w:r>
    </w:p>
    <w:p w14:paraId="7F7A7A80" w14:textId="77777777" w:rsidR="00532D1C" w:rsidRDefault="00532D1C" w:rsidP="00532D1C">
      <w:pPr>
        <w:jc w:val="both"/>
      </w:pPr>
      <w:r>
        <w:t xml:space="preserve">For measurement reliability in writing research, special attention should be given to whether the title and abstract clearly identify the work as simulation, computational modeling, synthetic benchmarking, or Monte Carlo analysis where applicable. This wording prevents readers </w:t>
      </w:r>
      <w:proofErr w:type="gramStart"/>
      <w:r>
        <w:t>from mistaking</w:t>
      </w:r>
      <w:proofErr w:type="gramEnd"/>
      <w:r>
        <w:t xml:space="preserve"> generated observations for field data. The limitations section should remain prominent and should not be weakened during revision merely to make the findings appear broader.</w:t>
      </w:r>
    </w:p>
    <w:p w14:paraId="43FD580C" w14:textId="18BA8606" w:rsidR="00A91650" w:rsidRDefault="00532D1C" w:rsidP="00532D1C">
      <w:r>
        <w:t>A final read should test every conclusion against the result table. If a sentence cannot be linked to a reported analysis, it should be supported with a new analysis, reframed as a hypothesis, or removed. This simple rule is one of the most effective protections against overclaiming in computational manuscripts.</w:t>
      </w:r>
    </w:p>
    <w:sectPr w:rsidR="00A916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1C"/>
    <w:rsid w:val="000E2EDD"/>
    <w:rsid w:val="002E0DD1"/>
    <w:rsid w:val="00532D1C"/>
    <w:rsid w:val="00A91650"/>
    <w:rsid w:val="00CD53DF"/>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2274"/>
  <w15:chartTrackingRefBased/>
  <w15:docId w15:val="{768ACBD2-D925-4CC2-AA04-A8F86F35D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D1C"/>
    <w:pPr>
      <w:spacing w:after="100" w:line="324" w:lineRule="auto"/>
    </w:pPr>
    <w:rPr>
      <w:rFonts w:ascii="Times New Roman" w:eastAsiaTheme="minorEastAsia" w:hAnsi="Times New Roman"/>
      <w:kern w:val="0"/>
      <w:sz w:val="22"/>
      <w:szCs w:val="22"/>
      <w:lang w:val="en-US"/>
      <w14:ligatures w14:val="none"/>
    </w:rPr>
  </w:style>
  <w:style w:type="paragraph" w:styleId="Heading1">
    <w:name w:val="heading 1"/>
    <w:basedOn w:val="Normal"/>
    <w:next w:val="Normal"/>
    <w:link w:val="Heading1Char"/>
    <w:uiPriority w:val="9"/>
    <w:qFormat/>
    <w:rsid w:val="00532D1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532D1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532D1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532D1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532D1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532D1C"/>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532D1C"/>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532D1C"/>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532D1C"/>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D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D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D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D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D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D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D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D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D1C"/>
    <w:rPr>
      <w:rFonts w:eastAsiaTheme="majorEastAsia" w:cstheme="majorBidi"/>
      <w:color w:val="272727" w:themeColor="text1" w:themeTint="D8"/>
    </w:rPr>
  </w:style>
  <w:style w:type="paragraph" w:styleId="Title">
    <w:name w:val="Title"/>
    <w:basedOn w:val="Normal"/>
    <w:next w:val="Normal"/>
    <w:link w:val="TitleChar"/>
    <w:uiPriority w:val="10"/>
    <w:qFormat/>
    <w:rsid w:val="00532D1C"/>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532D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D1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532D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D1C"/>
    <w:pPr>
      <w:spacing w:before="160" w:after="160" w:line="278" w:lineRule="auto"/>
      <w:jc w:val="center"/>
    </w:pPr>
    <w:rPr>
      <w:rFonts w:asciiTheme="minorHAnsi" w:eastAsiaTheme="minorHAnsi" w:hAnsiTheme="minorHAns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532D1C"/>
    <w:rPr>
      <w:i/>
      <w:iCs/>
      <w:color w:val="404040" w:themeColor="text1" w:themeTint="BF"/>
    </w:rPr>
  </w:style>
  <w:style w:type="paragraph" w:styleId="ListParagraph">
    <w:name w:val="List Paragraph"/>
    <w:basedOn w:val="Normal"/>
    <w:uiPriority w:val="34"/>
    <w:qFormat/>
    <w:rsid w:val="00532D1C"/>
    <w:pPr>
      <w:spacing w:after="160" w:line="278" w:lineRule="auto"/>
      <w:ind w:left="720"/>
      <w:contextualSpacing/>
    </w:pPr>
    <w:rPr>
      <w:rFonts w:asciiTheme="minorHAnsi" w:eastAsiaTheme="minorHAnsi" w:hAnsiTheme="minorHAnsi"/>
      <w:kern w:val="2"/>
      <w:sz w:val="24"/>
      <w:szCs w:val="24"/>
      <w:lang w:val="en-IN"/>
      <w14:ligatures w14:val="standardContextual"/>
    </w:rPr>
  </w:style>
  <w:style w:type="character" w:styleId="IntenseEmphasis">
    <w:name w:val="Intense Emphasis"/>
    <w:basedOn w:val="DefaultParagraphFont"/>
    <w:uiPriority w:val="21"/>
    <w:qFormat/>
    <w:rsid w:val="00532D1C"/>
    <w:rPr>
      <w:i/>
      <w:iCs/>
      <w:color w:val="0F4761" w:themeColor="accent1" w:themeShade="BF"/>
    </w:rPr>
  </w:style>
  <w:style w:type="paragraph" w:styleId="IntenseQuote">
    <w:name w:val="Intense Quote"/>
    <w:basedOn w:val="Normal"/>
    <w:next w:val="Normal"/>
    <w:link w:val="IntenseQuoteChar"/>
    <w:uiPriority w:val="30"/>
    <w:qFormat/>
    <w:rsid w:val="00532D1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532D1C"/>
    <w:rPr>
      <w:i/>
      <w:iCs/>
      <w:color w:val="0F4761" w:themeColor="accent1" w:themeShade="BF"/>
    </w:rPr>
  </w:style>
  <w:style w:type="character" w:styleId="IntenseReference">
    <w:name w:val="Intense Reference"/>
    <w:basedOn w:val="DefaultParagraphFont"/>
    <w:uiPriority w:val="32"/>
    <w:qFormat/>
    <w:rsid w:val="00532D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4633</Words>
  <Characters>26410</Characters>
  <Application>Microsoft Office Word</Application>
  <DocSecurity>0</DocSecurity>
  <Lines>220</Lines>
  <Paragraphs>61</Paragraphs>
  <ScaleCrop>false</ScaleCrop>
  <Company/>
  <LinksUpToDate>false</LinksUpToDate>
  <CharactersWithSpaces>30982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2026-08-21T19:15:00Z</dcterms:created>
  <dcterms:modified xsi:type="dcterms:W3CDTF">2026-08-21T19:16:00Z</dcterms:modified>
</cp:coreProperties>
</file>