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A61771" w14:textId="77777777" w:rsidR="00286857" w:rsidRDefault="00286857" w:rsidP="00286857">
      <w:pPr>
        <w:pStyle w:val="Heading1"/>
      </w:pPr>
      <w:r>
        <w:t>Appendix A. Algorithmic Pseudocode</w:t>
      </w:r>
    </w:p>
    <w:p w14:paraId="55DE2576" w14:textId="77777777" w:rsidR="00286857" w:rsidRDefault="00286857" w:rsidP="00286857">
      <w:pPr>
        <w:spacing w:after="0" w:line="240" w:lineRule="auto"/>
        <w:ind w:left="288"/>
      </w:pPr>
      <w:r>
        <w:rPr>
          <w:rFonts w:ascii="Courier New" w:eastAsia="Courier New" w:hAnsi="Courier New" w:cs="Courier New"/>
          <w:sz w:val="17"/>
          <w:szCs w:val="17"/>
        </w:rPr>
        <w:t>Input: bank–firm exposure matrix E, interbank matrix W, bank capital C, firm climate coefficients c and h</w:t>
      </w:r>
    </w:p>
    <w:p w14:paraId="465010C9" w14:textId="77777777" w:rsidR="00286857" w:rsidRDefault="00286857" w:rsidP="00286857">
      <w:pPr>
        <w:spacing w:after="0" w:line="240" w:lineRule="auto"/>
        <w:ind w:left="288"/>
      </w:pPr>
      <w:r>
        <w:rPr>
          <w:rFonts w:ascii="Courier New" w:eastAsia="Courier New" w:hAnsi="Courier New" w:cs="Courier New"/>
          <w:sz w:val="17"/>
          <w:szCs w:val="17"/>
        </w:rPr>
        <w:t>For each scenario s:</w:t>
      </w:r>
    </w:p>
    <w:p w14:paraId="08A0BE99" w14:textId="77777777" w:rsidR="00286857" w:rsidRDefault="00286857" w:rsidP="00286857">
      <w:pPr>
        <w:spacing w:after="0" w:line="240" w:lineRule="auto"/>
        <w:ind w:left="288"/>
      </w:pPr>
      <w:r>
        <w:rPr>
          <w:rFonts w:ascii="Courier New" w:eastAsia="Courier New" w:hAnsi="Courier New" w:cs="Courier New"/>
          <w:sz w:val="17"/>
          <w:szCs w:val="17"/>
        </w:rPr>
        <w:t xml:space="preserve">  For replication m = 1,…,800:</w:t>
      </w:r>
    </w:p>
    <w:p w14:paraId="19BCA350" w14:textId="77777777" w:rsidR="00286857" w:rsidRDefault="00286857" w:rsidP="00286857">
      <w:pPr>
        <w:spacing w:after="0" w:line="240" w:lineRule="auto"/>
        <w:ind w:left="288"/>
      </w:pPr>
      <w:r>
        <w:rPr>
          <w:rFonts w:ascii="Courier New" w:eastAsia="Courier New" w:hAnsi="Courier New" w:cs="Courier New"/>
          <w:sz w:val="17"/>
          <w:szCs w:val="17"/>
        </w:rPr>
        <w:t xml:space="preserve">    Draw a common transition–physical shock pair (T, P)</w:t>
      </w:r>
    </w:p>
    <w:p w14:paraId="74D20296" w14:textId="77777777" w:rsidR="00286857" w:rsidRDefault="00286857" w:rsidP="00286857">
      <w:pPr>
        <w:spacing w:after="0" w:line="240" w:lineRule="auto"/>
        <w:ind w:left="288"/>
      </w:pPr>
      <w:r>
        <w:rPr>
          <w:rFonts w:ascii="Courier New" w:eastAsia="Courier New" w:hAnsi="Courier New" w:cs="Courier New"/>
          <w:sz w:val="17"/>
          <w:szCs w:val="17"/>
        </w:rPr>
        <w:t xml:space="preserve">    For each governance strategy g using the same random seed:</w:t>
      </w:r>
    </w:p>
    <w:p w14:paraId="37BA1C1E" w14:textId="77777777" w:rsidR="00286857" w:rsidRDefault="00286857" w:rsidP="00286857">
      <w:pPr>
        <w:spacing w:after="0" w:line="240" w:lineRule="auto"/>
        <w:ind w:left="288"/>
      </w:pPr>
      <w:r>
        <w:rPr>
          <w:rFonts w:ascii="Courier New" w:eastAsia="Courier New" w:hAnsi="Courier New" w:cs="Courier New"/>
          <w:sz w:val="17"/>
          <w:szCs w:val="17"/>
        </w:rPr>
        <w:t xml:space="preserve">      Apply strategy-specific credit reallocation and capital adjustment</w:t>
      </w:r>
    </w:p>
    <w:p w14:paraId="79D58CD4" w14:textId="77777777" w:rsidR="00286857" w:rsidRDefault="00286857" w:rsidP="00286857">
      <w:pPr>
        <w:spacing w:after="0" w:line="240" w:lineRule="auto"/>
        <w:ind w:left="288"/>
      </w:pPr>
      <w:r>
        <w:rPr>
          <w:rFonts w:ascii="Courier New" w:eastAsia="Courier New" w:hAnsi="Courier New" w:cs="Courier New"/>
          <w:sz w:val="17"/>
          <w:szCs w:val="17"/>
        </w:rPr>
        <w:t xml:space="preserve">      Compute firm stress S_i and default probability p_i</w:t>
      </w:r>
    </w:p>
    <w:p w14:paraId="10888A5E" w14:textId="77777777" w:rsidR="00286857" w:rsidRDefault="00286857" w:rsidP="00286857">
      <w:pPr>
        <w:spacing w:after="0" w:line="240" w:lineRule="auto"/>
        <w:ind w:left="288"/>
      </w:pPr>
      <w:r>
        <w:rPr>
          <w:rFonts w:ascii="Courier New" w:eastAsia="Courier New" w:hAnsi="Courier New" w:cs="Courier New"/>
          <w:sz w:val="17"/>
          <w:szCs w:val="17"/>
        </w:rPr>
        <w:t xml:space="preserve">      Realize firm defaults using common uniform random draws</w:t>
      </w:r>
    </w:p>
    <w:p w14:paraId="6130FA9C" w14:textId="77777777" w:rsidR="00286857" w:rsidRDefault="00286857" w:rsidP="00286857">
      <w:pPr>
        <w:spacing w:after="0" w:line="240" w:lineRule="auto"/>
        <w:ind w:left="288"/>
      </w:pPr>
      <w:r>
        <w:rPr>
          <w:rFonts w:ascii="Courier New" w:eastAsia="Courier New" w:hAnsi="Courier New" w:cs="Courier New"/>
          <w:sz w:val="17"/>
          <w:szCs w:val="17"/>
        </w:rPr>
        <w:t xml:space="preserve">      Apply corporate credit losses to each bank</w:t>
      </w:r>
    </w:p>
    <w:p w14:paraId="2F0B10EF" w14:textId="77777777" w:rsidR="00286857" w:rsidRDefault="00286857" w:rsidP="00286857">
      <w:pPr>
        <w:spacing w:after="0" w:line="240" w:lineRule="auto"/>
        <w:ind w:left="288"/>
      </w:pPr>
      <w:r>
        <w:rPr>
          <w:rFonts w:ascii="Courier New" w:eastAsia="Courier New" w:hAnsi="Courier New" w:cs="Courier New"/>
          <w:sz w:val="17"/>
          <w:szCs w:val="17"/>
        </w:rPr>
        <w:t xml:space="preserve">      Identify banks below the solvency threshold</w:t>
      </w:r>
    </w:p>
    <w:p w14:paraId="569567A1" w14:textId="77777777" w:rsidR="00286857" w:rsidRDefault="00286857" w:rsidP="00286857">
      <w:pPr>
        <w:spacing w:after="0" w:line="240" w:lineRule="auto"/>
        <w:ind w:left="288"/>
      </w:pPr>
      <w:r>
        <w:rPr>
          <w:rFonts w:ascii="Courier New" w:eastAsia="Courier New" w:hAnsi="Courier New" w:cs="Courier New"/>
          <w:sz w:val="17"/>
          <w:szCs w:val="17"/>
        </w:rPr>
        <w:t xml:space="preserve">      While new bank failures occur:</w:t>
      </w:r>
    </w:p>
    <w:p w14:paraId="3CB57E47" w14:textId="77777777" w:rsidR="00286857" w:rsidRDefault="00286857" w:rsidP="00286857">
      <w:pPr>
        <w:spacing w:after="0" w:line="240" w:lineRule="auto"/>
        <w:ind w:left="288"/>
      </w:pPr>
      <w:r>
        <w:rPr>
          <w:rFonts w:ascii="Courier New" w:eastAsia="Courier New" w:hAnsi="Courier New" w:cs="Courier New"/>
          <w:sz w:val="17"/>
          <w:szCs w:val="17"/>
        </w:rPr>
        <w:t xml:space="preserve">        Apply interbank loss given default to creditor exposures</w:t>
      </w:r>
    </w:p>
    <w:p w14:paraId="19BA4E20" w14:textId="77777777" w:rsidR="00286857" w:rsidRDefault="00286857" w:rsidP="00286857">
      <w:pPr>
        <w:spacing w:after="0" w:line="240" w:lineRule="auto"/>
        <w:ind w:left="288"/>
      </w:pPr>
      <w:r>
        <w:rPr>
          <w:rFonts w:ascii="Courier New" w:eastAsia="Courier New" w:hAnsi="Courier New" w:cs="Courier New"/>
          <w:sz w:val="17"/>
          <w:szCs w:val="17"/>
        </w:rPr>
        <w:t xml:space="preserve">        Update bank capital and failure set</w:t>
      </w:r>
    </w:p>
    <w:p w14:paraId="1B53DD6C" w14:textId="77777777" w:rsidR="00286857" w:rsidRDefault="00286857" w:rsidP="00286857">
      <w:pPr>
        <w:spacing w:after="0" w:line="240" w:lineRule="auto"/>
        <w:ind w:left="288"/>
      </w:pPr>
      <w:r>
        <w:rPr>
          <w:rFonts w:ascii="Courier New" w:eastAsia="Courier New" w:hAnsi="Courier New" w:cs="Courier New"/>
          <w:sz w:val="17"/>
          <w:szCs w:val="17"/>
        </w:rPr>
        <w:t xml:space="preserve">      Store capital loss, failure count, shortfall, lending-pressure proxy, and portfolio metrics</w:t>
      </w:r>
    </w:p>
    <w:p w14:paraId="7B6229C2" w14:textId="77777777" w:rsidR="00286857" w:rsidRDefault="00286857" w:rsidP="00286857">
      <w:pPr>
        <w:spacing w:after="0" w:line="240" w:lineRule="auto"/>
        <w:ind w:left="288"/>
      </w:pPr>
      <w:r>
        <w:rPr>
          <w:rFonts w:ascii="Courier New" w:eastAsia="Courier New" w:hAnsi="Courier New" w:cs="Courier New"/>
          <w:sz w:val="17"/>
          <w:szCs w:val="17"/>
        </w:rPr>
        <w:t>Output: paired Monte Carlo distributions by scenario and governance strategy</w:t>
      </w:r>
    </w:p>
    <w:p w14:paraId="7FE8FA26" w14:textId="77777777" w:rsidR="00286857" w:rsidRDefault="00286857" w:rsidP="00286857">
      <w:pPr>
        <w:pStyle w:val="Heading1"/>
      </w:pPr>
      <w:r>
        <w:t>Appendix B. Reproducibility Checklist</w:t>
      </w:r>
    </w:p>
    <w:p w14:paraId="27D17B9E" w14:textId="77777777" w:rsidR="00286857" w:rsidRDefault="00286857" w:rsidP="00286857">
      <w:pPr>
        <w:spacing w:after="40" w:line="257" w:lineRule="auto"/>
        <w:ind w:left="259" w:hanging="202"/>
      </w:pPr>
      <w:r>
        <w:t>• Population seed fixed at 20260816; scenario replications use deterministic seeds documented in the accompanying code.</w:t>
      </w:r>
    </w:p>
    <w:p w14:paraId="2A8020F6" w14:textId="77777777" w:rsidR="00286857" w:rsidRDefault="00286857" w:rsidP="00286857">
      <w:pPr>
        <w:spacing w:after="40" w:line="257" w:lineRule="auto"/>
        <w:ind w:left="259" w:hanging="202"/>
      </w:pPr>
      <w:r>
        <w:t>• Bank and firm populations are synthetic; no confidential or personally identifiable data are used.</w:t>
      </w:r>
    </w:p>
    <w:p w14:paraId="107D3890" w14:textId="77777777" w:rsidR="00286857" w:rsidRDefault="00286857" w:rsidP="00286857">
      <w:pPr>
        <w:spacing w:after="40" w:line="257" w:lineRule="auto"/>
        <w:ind w:left="259" w:hanging="202"/>
      </w:pPr>
      <w:r>
        <w:t>• Corporate loan-book totals are preserved by the reallocation algorithms.</w:t>
      </w:r>
    </w:p>
    <w:p w14:paraId="2EEFB2D2" w14:textId="77777777" w:rsidR="00286857" w:rsidRDefault="00286857" w:rsidP="00286857">
      <w:pPr>
        <w:spacing w:after="40" w:line="257" w:lineRule="auto"/>
        <w:ind w:left="259" w:hanging="202"/>
      </w:pPr>
      <w:r>
        <w:t>• Common random numbers are used across policy strategies within each scenario replication.</w:t>
      </w:r>
    </w:p>
    <w:p w14:paraId="3CABF935" w14:textId="77777777" w:rsidR="00286857" w:rsidRDefault="00286857" w:rsidP="00286857">
      <w:pPr>
        <w:spacing w:after="40" w:line="257" w:lineRule="auto"/>
        <w:ind w:left="259" w:hanging="202"/>
      </w:pPr>
      <w:r>
        <w:t>• Figures and tables are generated directly from saved simulation CSV files.</w:t>
      </w:r>
    </w:p>
    <w:p w14:paraId="2C8434B5" w14:textId="77777777" w:rsidR="00286857" w:rsidRDefault="00286857" w:rsidP="00286857">
      <w:pPr>
        <w:spacing w:after="40" w:line="257" w:lineRule="auto"/>
        <w:ind w:left="259" w:hanging="202"/>
      </w:pPr>
      <w:r>
        <w:t>• Robustness grid varies bank-failure threshold and interbank LGD independently of the baseline setting.</w:t>
      </w:r>
    </w:p>
    <w:p w14:paraId="66E6BE0C" w14:textId="77777777" w:rsidR="00286857" w:rsidRDefault="00286857" w:rsidP="00286857">
      <w:pPr>
        <w:spacing w:after="40" w:line="257" w:lineRule="auto"/>
        <w:ind w:left="259" w:hanging="202"/>
      </w:pPr>
      <w:r>
        <w:t>• Before journal submission, rerun the complete script in a clean environment and compare all summary outputs with the manuscript tables.</w:t>
      </w:r>
    </w:p>
    <w:p w14:paraId="3D15B856" w14:textId="77777777" w:rsidR="00286857" w:rsidRDefault="00286857" w:rsidP="00286857">
      <w:pPr>
        <w:spacing w:after="40" w:line="257" w:lineRule="auto"/>
        <w:ind w:left="259" w:hanging="202"/>
      </w:pPr>
      <w:r>
        <w:t>• Deposit code and generated outputs in a stable repository and replace the data-availability text with a permanent identifier.</w:t>
      </w:r>
    </w:p>
    <w:p w14:paraId="054D9D41" w14:textId="77777777" w:rsidR="00286857" w:rsidRDefault="00286857" w:rsidP="00286857">
      <w:pPr>
        <w:pStyle w:val="Heading1"/>
      </w:pPr>
      <w:r>
        <w:t>Appendix C. Parameter Interpretation and Extension Paths</w:t>
      </w:r>
    </w:p>
    <w:p w14:paraId="0D966A35" w14:textId="77777777" w:rsidR="00286857" w:rsidRDefault="00286857" w:rsidP="00286857">
      <w:pPr>
        <w:spacing w:line="300" w:lineRule="auto"/>
        <w:ind w:firstLine="317"/>
      </w:pPr>
      <w:r>
        <w:t>The numerical parameters in this study are best understood as stress-test coordinates rather than empirical coefficients. Transition intensity T summarizes the combined effect of carbon pricing, regulatory tightening, technology substitution, demand shifts, and repricing of carbon-sensitive assets. Physical intensity P summarizes the combined effect of acute hazards, chronic productivity effects, supply-chain interruptions, and collateral impairment. Scaling both variables to dimensionless units allows the computational experiment to focus on nonlinearity and interaction without implying that one unit has a direct real-world monetary interpretation. For empirical deployment, these variables should be replaced by scenario-specific sector shocks estimated from multiple macro-climate models or supervisory satellite models.</w:t>
      </w:r>
    </w:p>
    <w:p w14:paraId="5E753171" w14:textId="77777777" w:rsidR="00286857" w:rsidRDefault="00286857" w:rsidP="00286857">
      <w:pPr>
        <w:spacing w:line="300" w:lineRule="auto"/>
        <w:ind w:firstLine="317"/>
      </w:pPr>
      <w:r>
        <w:t xml:space="preserve">The coefficients multiplying carbon intensity and physical vulnerability determine how strongly aggregate stress reaches firm balance sheets. Their values are deliberately of similar order so that neither </w:t>
      </w:r>
      <w:r>
        <w:lastRenderedPageBreak/>
        <w:t>channel dominates mechanically. The interaction coefficient of 0.23 creates convexity only when transition and physical stress are simultaneously elevated. This feature is economically motivated by the possibility that firms facing transition costs may have less capacity to absorb climate-related operating losses, while firms already exposed to physical damage may find decarbonization investment more difficult. Future work could estimate this interaction using panel data on profitability, hazard exposure, energy intensity, and financing conditions.</w:t>
      </w:r>
    </w:p>
    <w:p w14:paraId="50F6B31C" w14:textId="77777777" w:rsidR="00286857" w:rsidRDefault="00286857" w:rsidP="00286857">
      <w:pPr>
        <w:spacing w:line="300" w:lineRule="auto"/>
        <w:ind w:firstLine="317"/>
      </w:pPr>
      <w:sdt>
        <w:sdtPr>
          <w:tag w:val="goog_rdk_2"/>
          <w:id w:val="-376025560"/>
        </w:sdtPr>
        <w:sdtContent>
          <w:r>
            <w:rPr>
              <w:rFonts w:ascii="Gungsuh" w:eastAsia="Gungsuh" w:hAnsi="Gungsuh" w:cs="Gungsuh"/>
            </w:rPr>
            <w:t>The logistic default mapping uses an intercept of −4.05 and a stress slope of 1.75. These values create low default frequencies in orderly conditions and rising defaults as the stress index moves into the upper tail. They should not be interpreted as a credit-rating model. A practical supervisory implementation could replace this block with bank-specific probability-of-default models, structural Merton-type models, or machine-learning satellite models, provided the mapping remains sufficiently interpretable for scenario analysis. The computational architecture does not depend on the logistic form itself; it requires only a monotone transformation from firm stress to default risk.</w:t>
          </w:r>
        </w:sdtContent>
      </w:sdt>
    </w:p>
    <w:p w14:paraId="23422B11" w14:textId="77777777" w:rsidR="00286857" w:rsidRDefault="00286857" w:rsidP="00286857">
      <w:pPr>
        <w:spacing w:line="300" w:lineRule="auto"/>
        <w:ind w:firstLine="317"/>
      </w:pPr>
      <w:r>
        <w:t>The governance parameters are also designed as testable policy levers. The 18% carbon-only reweighting benchmark represents a meaningful but incomplete portfolio shift. The integrated rule varies intervention strength between 12% and 28% and divides the intervention between low-carbon diversification and transition-linked support. Those values can be replaced by optimization variables in future work. One natural extension is to minimize expected systemic loss plus a convex intervention-cost function subject to constraints on sector credit supply, capital issuance, and transition-finance availability. That formulation would transform the current rule-based comparison into an explicit stochastic control problem.</w:t>
      </w:r>
    </w:p>
    <w:p w14:paraId="3C7AE240" w14:textId="77777777" w:rsidR="00286857" w:rsidRDefault="00286857" w:rsidP="00286857">
      <w:pPr>
        <w:spacing w:line="300" w:lineRule="auto"/>
        <w:ind w:firstLine="317"/>
      </w:pPr>
      <w:r>
        <w:t>Finally, the interbank failure threshold and loss-given-default parameters are intentionally exposed to robustness analysis rather than hidden inside calibration. The sensitivity grid shows that integrated governance retains its qualitative advantage when the bank failure threshold ranges from 3.5% to 5.5% of assets and interbank LGD ranges from 40% to 80%. This robustness matters because actual resolution regimes, collateralization, netting, and recovery differ across jurisdictions. A more detailed implementation could replace the threshold cascade with Eisenberg–Noe clearing, DebtRank-style distress propagation, liquidity contagion, or a multiplex network with common asset holdings. The present framework is therefore modular: its core contribution is the joint climate-credit-network governance experiment, not dependence on one contagion algorithm.</w:t>
      </w:r>
    </w:p>
    <w:p w14:paraId="315DF75B" w14:textId="77777777" w:rsidR="00EB4A2D" w:rsidRDefault="00EB4A2D"/>
    <w:sectPr w:rsidR="00EB4A2D" w:rsidSect="00286857">
      <w:headerReference w:type="default" r:id="rId4"/>
      <w:footerReference w:type="default" r:id="rId5"/>
      <w:pgSz w:w="12240" w:h="15840"/>
      <w:pgMar w:top="1368" w:right="1368" w:bottom="1368" w:left="136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Gungsuh">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A1697" w14:textId="77777777" w:rsidR="00286857" w:rsidRDefault="00286857">
    <w:pPr>
      <w:pBdr>
        <w:top w:val="nil"/>
        <w:left w:val="nil"/>
        <w:bottom w:val="nil"/>
        <w:right w:val="nil"/>
        <w:between w:val="nil"/>
      </w:pBdr>
      <w:tabs>
        <w:tab w:val="center" w:pos="4680"/>
        <w:tab w:val="right" w:pos="9360"/>
      </w:tabs>
      <w:spacing w:after="0" w:line="240" w:lineRule="auto"/>
      <w:jc w:val="center"/>
      <w:rPr>
        <w:color w:val="000000"/>
      </w:rPr>
    </w:pPr>
    <w:r>
      <w:rPr>
        <w:color w:val="000000"/>
        <w:sz w:val="16"/>
        <w:szCs w:val="16"/>
      </w:rPr>
      <w:t xml:space="preserve">Page </w:t>
    </w:r>
    <w:r>
      <w:rPr>
        <w:color w:val="000000"/>
        <w:sz w:val="16"/>
        <w:szCs w:val="16"/>
      </w:rPr>
      <w:fldChar w:fldCharType="begin"/>
    </w:r>
    <w:r>
      <w:rPr>
        <w:color w:val="000000"/>
        <w:sz w:val="16"/>
        <w:szCs w:val="16"/>
      </w:rPr>
      <w:instrText>PAGE</w:instrText>
    </w:r>
    <w:r>
      <w:rPr>
        <w:color w:val="000000"/>
        <w:sz w:val="16"/>
        <w:szCs w:val="16"/>
      </w:rPr>
      <w:fldChar w:fldCharType="separate"/>
    </w:r>
    <w:r>
      <w:rPr>
        <w:noProof/>
        <w:color w:val="000000"/>
        <w:sz w:val="16"/>
        <w:szCs w:val="16"/>
      </w:rPr>
      <w:t>1</w:t>
    </w:r>
    <w:r>
      <w:rPr>
        <w:color w:val="000000"/>
        <w:sz w:val="16"/>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67822" w14:textId="77777777" w:rsidR="00286857" w:rsidRDefault="00286857">
    <w:pPr>
      <w:pBdr>
        <w:top w:val="nil"/>
        <w:left w:val="nil"/>
        <w:bottom w:val="nil"/>
        <w:right w:val="nil"/>
        <w:between w:val="nil"/>
      </w:pBdr>
      <w:tabs>
        <w:tab w:val="center" w:pos="4680"/>
        <w:tab w:val="right" w:pos="9360"/>
      </w:tabs>
      <w:spacing w:after="0" w:line="240" w:lineRule="auto"/>
      <w:jc w:val="center"/>
      <w:rPr>
        <w:color w:val="000000"/>
      </w:rPr>
    </w:pPr>
    <w:r>
      <w:rPr>
        <w:color w:val="000000"/>
        <w:sz w:val="16"/>
        <w:szCs w:val="16"/>
      </w:rPr>
      <w:t>Network-Adaptive Climate-Finance Stress Testing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6857"/>
    <w:rsid w:val="00065135"/>
    <w:rsid w:val="001D3053"/>
    <w:rsid w:val="001E3A92"/>
    <w:rsid w:val="00217E67"/>
    <w:rsid w:val="00286857"/>
    <w:rsid w:val="002C7D54"/>
    <w:rsid w:val="0033371E"/>
    <w:rsid w:val="005C0D39"/>
    <w:rsid w:val="0070406C"/>
    <w:rsid w:val="00724754"/>
    <w:rsid w:val="007B36B1"/>
    <w:rsid w:val="00C321FA"/>
    <w:rsid w:val="00C97210"/>
    <w:rsid w:val="00EB4A2D"/>
    <w:rsid w:val="00EE513F"/>
    <w:rsid w:val="00FC500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34D0B"/>
  <w15:chartTrackingRefBased/>
  <w15:docId w15:val="{F74711DA-56BD-4316-B135-14F8E2C8B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6857"/>
    <w:pPr>
      <w:spacing w:after="80" w:line="295" w:lineRule="auto"/>
    </w:pPr>
    <w:rPr>
      <w:rFonts w:ascii="Times New Roman" w:eastAsia="Times New Roman" w:hAnsi="Times New Roman" w:cs="Times New Roman"/>
      <w:kern w:val="0"/>
      <w:sz w:val="22"/>
      <w:szCs w:val="22"/>
      <w:lang w:val="en" w:eastAsia="en-IN"/>
      <w14:ligatures w14:val="none"/>
    </w:rPr>
  </w:style>
  <w:style w:type="paragraph" w:styleId="Heading1">
    <w:name w:val="heading 1"/>
    <w:basedOn w:val="Normal"/>
    <w:next w:val="Normal"/>
    <w:link w:val="Heading1Char"/>
    <w:uiPriority w:val="9"/>
    <w:qFormat/>
    <w:rsid w:val="00286857"/>
    <w:pPr>
      <w:keepNext/>
      <w:keepLines/>
      <w:spacing w:before="360" w:line="278" w:lineRule="auto"/>
      <w:outlineLvl w:val="0"/>
    </w:pPr>
    <w:rPr>
      <w:rFonts w:asciiTheme="majorHAnsi" w:eastAsiaTheme="majorEastAsia" w:hAnsiTheme="majorHAnsi" w:cstheme="majorBidi"/>
      <w:color w:val="0F4761" w:themeColor="accent1" w:themeShade="BF"/>
      <w:kern w:val="2"/>
      <w:sz w:val="40"/>
      <w:szCs w:val="40"/>
      <w:lang w:val="en-IN" w:eastAsia="en-US"/>
      <w14:ligatures w14:val="standardContextual"/>
    </w:rPr>
  </w:style>
  <w:style w:type="paragraph" w:styleId="Heading2">
    <w:name w:val="heading 2"/>
    <w:basedOn w:val="Normal"/>
    <w:next w:val="Normal"/>
    <w:link w:val="Heading2Char"/>
    <w:uiPriority w:val="9"/>
    <w:semiHidden/>
    <w:unhideWhenUsed/>
    <w:qFormat/>
    <w:rsid w:val="00286857"/>
    <w:pPr>
      <w:keepNext/>
      <w:keepLines/>
      <w:spacing w:before="160" w:line="278" w:lineRule="auto"/>
      <w:outlineLvl w:val="1"/>
    </w:pPr>
    <w:rPr>
      <w:rFonts w:asciiTheme="majorHAnsi" w:eastAsiaTheme="majorEastAsia" w:hAnsiTheme="majorHAnsi" w:cstheme="majorBidi"/>
      <w:color w:val="0F4761" w:themeColor="accent1" w:themeShade="BF"/>
      <w:kern w:val="2"/>
      <w:sz w:val="32"/>
      <w:szCs w:val="32"/>
      <w:lang w:val="en-IN" w:eastAsia="en-US"/>
      <w14:ligatures w14:val="standardContextual"/>
    </w:rPr>
  </w:style>
  <w:style w:type="paragraph" w:styleId="Heading3">
    <w:name w:val="heading 3"/>
    <w:basedOn w:val="Normal"/>
    <w:next w:val="Normal"/>
    <w:link w:val="Heading3Char"/>
    <w:uiPriority w:val="9"/>
    <w:semiHidden/>
    <w:unhideWhenUsed/>
    <w:qFormat/>
    <w:rsid w:val="00286857"/>
    <w:pPr>
      <w:keepNext/>
      <w:keepLines/>
      <w:spacing w:before="160" w:line="278" w:lineRule="auto"/>
      <w:outlineLvl w:val="2"/>
    </w:pPr>
    <w:rPr>
      <w:rFonts w:asciiTheme="minorHAnsi" w:eastAsiaTheme="majorEastAsia" w:hAnsiTheme="minorHAnsi" w:cstheme="majorBidi"/>
      <w:color w:val="0F4761" w:themeColor="accent1" w:themeShade="BF"/>
      <w:kern w:val="2"/>
      <w:sz w:val="28"/>
      <w:szCs w:val="28"/>
      <w:lang w:val="en-IN" w:eastAsia="en-US"/>
      <w14:ligatures w14:val="standardContextual"/>
    </w:rPr>
  </w:style>
  <w:style w:type="paragraph" w:styleId="Heading4">
    <w:name w:val="heading 4"/>
    <w:basedOn w:val="Normal"/>
    <w:next w:val="Normal"/>
    <w:link w:val="Heading4Char"/>
    <w:uiPriority w:val="9"/>
    <w:semiHidden/>
    <w:unhideWhenUsed/>
    <w:qFormat/>
    <w:rsid w:val="00286857"/>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n-IN" w:eastAsia="en-US"/>
      <w14:ligatures w14:val="standardContextual"/>
    </w:rPr>
  </w:style>
  <w:style w:type="paragraph" w:styleId="Heading5">
    <w:name w:val="heading 5"/>
    <w:basedOn w:val="Normal"/>
    <w:next w:val="Normal"/>
    <w:link w:val="Heading5Char"/>
    <w:uiPriority w:val="9"/>
    <w:semiHidden/>
    <w:unhideWhenUsed/>
    <w:qFormat/>
    <w:rsid w:val="00286857"/>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n-IN" w:eastAsia="en-US"/>
      <w14:ligatures w14:val="standardContextual"/>
    </w:rPr>
  </w:style>
  <w:style w:type="paragraph" w:styleId="Heading6">
    <w:name w:val="heading 6"/>
    <w:basedOn w:val="Normal"/>
    <w:next w:val="Normal"/>
    <w:link w:val="Heading6Char"/>
    <w:uiPriority w:val="9"/>
    <w:semiHidden/>
    <w:unhideWhenUsed/>
    <w:qFormat/>
    <w:rsid w:val="0028685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IN" w:eastAsia="en-US"/>
      <w14:ligatures w14:val="standardContextual"/>
    </w:rPr>
  </w:style>
  <w:style w:type="paragraph" w:styleId="Heading7">
    <w:name w:val="heading 7"/>
    <w:basedOn w:val="Normal"/>
    <w:next w:val="Normal"/>
    <w:link w:val="Heading7Char"/>
    <w:uiPriority w:val="9"/>
    <w:semiHidden/>
    <w:unhideWhenUsed/>
    <w:qFormat/>
    <w:rsid w:val="0028685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IN" w:eastAsia="en-US"/>
      <w14:ligatures w14:val="standardContextual"/>
    </w:rPr>
  </w:style>
  <w:style w:type="paragraph" w:styleId="Heading8">
    <w:name w:val="heading 8"/>
    <w:basedOn w:val="Normal"/>
    <w:next w:val="Normal"/>
    <w:link w:val="Heading8Char"/>
    <w:uiPriority w:val="9"/>
    <w:semiHidden/>
    <w:unhideWhenUsed/>
    <w:qFormat/>
    <w:rsid w:val="0028685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IN" w:eastAsia="en-US"/>
      <w14:ligatures w14:val="standardContextual"/>
    </w:rPr>
  </w:style>
  <w:style w:type="paragraph" w:styleId="Heading9">
    <w:name w:val="heading 9"/>
    <w:basedOn w:val="Normal"/>
    <w:next w:val="Normal"/>
    <w:link w:val="Heading9Char"/>
    <w:uiPriority w:val="9"/>
    <w:semiHidden/>
    <w:unhideWhenUsed/>
    <w:qFormat/>
    <w:rsid w:val="00286857"/>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IN"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8685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8685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8685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8685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8685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8685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8685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8685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86857"/>
    <w:rPr>
      <w:rFonts w:eastAsiaTheme="majorEastAsia" w:cstheme="majorBidi"/>
      <w:color w:val="272727" w:themeColor="text1" w:themeTint="D8"/>
    </w:rPr>
  </w:style>
  <w:style w:type="paragraph" w:styleId="Title">
    <w:name w:val="Title"/>
    <w:basedOn w:val="Normal"/>
    <w:next w:val="Normal"/>
    <w:link w:val="TitleChar"/>
    <w:uiPriority w:val="10"/>
    <w:qFormat/>
    <w:rsid w:val="00286857"/>
    <w:pPr>
      <w:spacing w:line="240" w:lineRule="auto"/>
      <w:contextualSpacing/>
    </w:pPr>
    <w:rPr>
      <w:rFonts w:asciiTheme="majorHAnsi" w:eastAsiaTheme="majorEastAsia" w:hAnsiTheme="majorHAnsi" w:cstheme="majorBidi"/>
      <w:spacing w:val="-10"/>
      <w:kern w:val="28"/>
      <w:sz w:val="56"/>
      <w:szCs w:val="56"/>
      <w:lang w:val="en-IN" w:eastAsia="en-US"/>
      <w14:ligatures w14:val="standardContextual"/>
    </w:rPr>
  </w:style>
  <w:style w:type="character" w:customStyle="1" w:styleId="TitleChar">
    <w:name w:val="Title Char"/>
    <w:basedOn w:val="DefaultParagraphFont"/>
    <w:link w:val="Title"/>
    <w:uiPriority w:val="10"/>
    <w:rsid w:val="0028685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86857"/>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IN" w:eastAsia="en-US"/>
      <w14:ligatures w14:val="standardContextual"/>
    </w:rPr>
  </w:style>
  <w:style w:type="character" w:customStyle="1" w:styleId="SubtitleChar">
    <w:name w:val="Subtitle Char"/>
    <w:basedOn w:val="DefaultParagraphFont"/>
    <w:link w:val="Subtitle"/>
    <w:uiPriority w:val="11"/>
    <w:rsid w:val="0028685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86857"/>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n-IN" w:eastAsia="en-US"/>
      <w14:ligatures w14:val="standardContextual"/>
    </w:rPr>
  </w:style>
  <w:style w:type="character" w:customStyle="1" w:styleId="QuoteChar">
    <w:name w:val="Quote Char"/>
    <w:basedOn w:val="DefaultParagraphFont"/>
    <w:link w:val="Quote"/>
    <w:uiPriority w:val="29"/>
    <w:rsid w:val="00286857"/>
    <w:rPr>
      <w:i/>
      <w:iCs/>
      <w:color w:val="404040" w:themeColor="text1" w:themeTint="BF"/>
    </w:rPr>
  </w:style>
  <w:style w:type="paragraph" w:styleId="ListParagraph">
    <w:name w:val="List Paragraph"/>
    <w:basedOn w:val="Normal"/>
    <w:uiPriority w:val="34"/>
    <w:qFormat/>
    <w:rsid w:val="00286857"/>
    <w:pPr>
      <w:spacing w:after="160" w:line="278" w:lineRule="auto"/>
      <w:ind w:left="720"/>
      <w:contextualSpacing/>
    </w:pPr>
    <w:rPr>
      <w:rFonts w:asciiTheme="minorHAnsi" w:eastAsiaTheme="minorHAnsi" w:hAnsiTheme="minorHAnsi" w:cstheme="minorBidi"/>
      <w:kern w:val="2"/>
      <w:sz w:val="24"/>
      <w:szCs w:val="24"/>
      <w:lang w:val="en-IN" w:eastAsia="en-US"/>
      <w14:ligatures w14:val="standardContextual"/>
    </w:rPr>
  </w:style>
  <w:style w:type="character" w:styleId="IntenseEmphasis">
    <w:name w:val="Intense Emphasis"/>
    <w:basedOn w:val="DefaultParagraphFont"/>
    <w:uiPriority w:val="21"/>
    <w:qFormat/>
    <w:rsid w:val="00286857"/>
    <w:rPr>
      <w:i/>
      <w:iCs/>
      <w:color w:val="0F4761" w:themeColor="accent1" w:themeShade="BF"/>
    </w:rPr>
  </w:style>
  <w:style w:type="paragraph" w:styleId="IntenseQuote">
    <w:name w:val="Intense Quote"/>
    <w:basedOn w:val="Normal"/>
    <w:next w:val="Normal"/>
    <w:link w:val="IntenseQuoteChar"/>
    <w:uiPriority w:val="30"/>
    <w:qFormat/>
    <w:rsid w:val="00286857"/>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n-IN" w:eastAsia="en-US"/>
      <w14:ligatures w14:val="standardContextual"/>
    </w:rPr>
  </w:style>
  <w:style w:type="character" w:customStyle="1" w:styleId="IntenseQuoteChar">
    <w:name w:val="Intense Quote Char"/>
    <w:basedOn w:val="DefaultParagraphFont"/>
    <w:link w:val="IntenseQuote"/>
    <w:uiPriority w:val="30"/>
    <w:rsid w:val="00286857"/>
    <w:rPr>
      <w:i/>
      <w:iCs/>
      <w:color w:val="0F4761" w:themeColor="accent1" w:themeShade="BF"/>
    </w:rPr>
  </w:style>
  <w:style w:type="character" w:styleId="IntenseReference">
    <w:name w:val="Intense Reference"/>
    <w:basedOn w:val="DefaultParagraphFont"/>
    <w:uiPriority w:val="32"/>
    <w:qFormat/>
    <w:rsid w:val="0028685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854</Words>
  <Characters>4868</Characters>
  <Application>Microsoft Office Word</Application>
  <DocSecurity>0</DocSecurity>
  <Lines>40</Lines>
  <Paragraphs>11</Paragraphs>
  <ScaleCrop>false</ScaleCrop>
  <Company/>
  <LinksUpToDate>false</LinksUpToDate>
  <CharactersWithSpaces>5711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2026-08-28T09:14:00Z</dcterms:created>
  <dcterms:modified xsi:type="dcterms:W3CDTF">2026-08-28T09:14:00Z</dcterms:modified>
</cp:coreProperties>
</file>