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center"/>
      </w:pPr>
      <w:r>
        <w:rPr>
          <w:b/>
          <w:sz w:val="32"/>
        </w:rPr>
        <w:t>Supplementary Information</w:t>
      </w:r>
    </w:p>
    <w:p>
      <w:pPr>
        <w:spacing w:after="80"/>
        <w:jc w:val="center"/>
      </w:pPr>
      <w:r>
        <w:rPr>
          <w:b/>
          <w:sz w:val="24"/>
        </w:rPr>
        <w:t>Evaluating targeted anti-fraud communication in rural China: a cluster-randomised intervention simulation</w:t>
      </w:r>
    </w:p>
    <w:p>
      <w:pPr>
        <w:spacing w:after="80"/>
      </w:pPr>
      <w:r>
        <w:t>This document specifies the measurement, scenario, intervention and fidelity architecture used to parameterise the methodological simulation. All content is a simulation/protocol specification. No real participant completed these instruments and no real intervention was delivered. English item/scenario wording below is a transparent translation of the locked Chinese simulation instrument and is not presented as a validated English-language scale.</w:t>
      </w:r>
    </w:p>
    <w:p>
      <w:pPr>
        <w:pStyle w:val="Heading1"/>
        <w:spacing w:after="80"/>
      </w:pPr>
      <w:r>
        <w:t>S1. Overview of the item-level simulated field-trial architecture</w:t>
      </w:r>
    </w:p>
    <w:p>
      <w:pPr>
        <w:spacing w:after="80"/>
      </w:pPr>
      <w:r>
        <w:t>The prospective architecture is a two-arm, dose-matched, village-cluster-randomised intervention with T0 baseline, intervention delivery within 3–7 days, T1 at 7±2 days and T2 at 42±7 days. The frozen worked simulation contains 48 villages (24 per arm) and 960 baseline participants with variable cluster sizes (mean 20; CV=0.1507). Both arms receive the same universal core and two modules from a common five-module library. The targeted arm receives the two modules with the highest T0 domain-risk scores. In the active-control arm, complete module pairs from the targeted arm are permuted across control participants so that M1–M5 arm-level frequencies match exactly while allocation remains independent of each control participant’s own profile.</w:t>
      </w:r>
    </w:p>
    <w:p>
      <w:pPr>
        <w:spacing w:after="80"/>
      </w:pPr>
      <w:r>
        <w:t>The revised simulation does not insert a free group×time effect directly into SBFSS. Follow-up scenario responses arise from common anti-fraud education, the two modules actually assigned, participant–module alignment and village/individual variability. The worked-data seed is 2026081601. A separate ADEMP Monte Carlo exercise uses seed 2026081602, 500 replications per scenario, requested baseline ICCs of 0.05 and 0.07, cluster-size CV=0.1507 and a calibrated missing-at-random mechanism with expected T1 attrition of 15%. Monte Carlo standard errors (MCSEs) are reported for rejection probabilities.</w:t>
      </w:r>
    </w:p>
    <w:p>
      <w:pPr>
        <w:pStyle w:val="Heading1"/>
        <w:spacing w:after="80"/>
      </w:pPr>
      <w:r>
        <w:t>S2. Common response options and measurement schedule</w:t>
      </w:r>
    </w:p>
    <w:p>
      <w:pPr>
        <w:spacing w:after="80"/>
      </w:pPr>
      <w:r>
        <w:t>Unless otherwise stated, PMT items use a five-point Likert response: 1=strongly disagree, 2=disagree, 3=uncertain, 4=agree, 5=strongly agree. Scenario Q1 asks perceived fraud likelihood (1=almost certainly not fraud to 5=almost certainly fraud); Q2 asks likelihood of continuing as instructed (1=definitely would not to 5=definitely would); Q3 asks the first intended response using options A–F below.</w:t>
      </w:r>
    </w:p>
    <w:tbl>
      <w:tblPr>
        <w:tblStyle w:val="TableGrid"/>
        <w:tblW w:type="auto" w:w="0"/>
        <w:jc w:val="center"/>
        <w:tblLayout w:type="fixed"/>
        <w:tblLook w:firstColumn="1" w:firstRow="1" w:lastColumn="0" w:lastRow="0" w:noHBand="0" w:noVBand="1" w:val="04A0"/>
      </w:tblPr>
      <w:tblGrid>
        <w:gridCol w:w="936"/>
        <w:gridCol w:w="9360"/>
      </w:tblGrid>
      <w:tr>
        <w:tc>
          <w:tcPr>
            <w:tcW w:type="dxa" w:w="936"/>
            <w:shd w:fill="D9EAF7"/>
            <w:vAlign w:val="top"/>
          </w:tcPr>
          <w:p>
            <w:pPr>
              <w:spacing w:after="0"/>
            </w:pPr>
            <w:r>
              <w:rPr>
                <w:b/>
                <w:sz w:val="18"/>
              </w:rPr>
              <w:t>Option</w:t>
            </w:r>
          </w:p>
        </w:tc>
        <w:tc>
          <w:tcPr>
            <w:tcW w:type="dxa" w:w="9360"/>
            <w:shd w:fill="D9EAF7"/>
            <w:vAlign w:val="top"/>
          </w:tcPr>
          <w:p>
            <w:pPr>
              <w:spacing w:after="0"/>
            </w:pPr>
            <w:r>
              <w:rPr>
                <w:b/>
                <w:sz w:val="18"/>
              </w:rPr>
              <w:t>First intended response</w:t>
            </w:r>
          </w:p>
        </w:tc>
      </w:tr>
      <w:tr>
        <w:tc>
          <w:tcPr>
            <w:tcW w:type="dxa" w:w="936"/>
            <w:vAlign w:val="top"/>
          </w:tcPr>
          <w:p>
            <w:pPr>
              <w:spacing w:after="0"/>
            </w:pPr>
            <w:r>
              <w:rPr>
                <w:sz w:val="18"/>
              </w:rPr>
              <w:t>A</w:t>
            </w:r>
          </w:p>
        </w:tc>
        <w:tc>
          <w:tcPr>
            <w:tcW w:type="dxa" w:w="9360"/>
            <w:vAlign w:val="top"/>
          </w:tcPr>
          <w:p>
            <w:pPr>
              <w:spacing w:after="0"/>
            </w:pPr>
            <w:r>
              <w:rPr>
                <w:sz w:val="18"/>
              </w:rPr>
              <w:t>Act directly as requested.</w:t>
            </w:r>
          </w:p>
        </w:tc>
      </w:tr>
      <w:tr>
        <w:tc>
          <w:tcPr>
            <w:tcW w:type="dxa" w:w="936"/>
            <w:vAlign w:val="top"/>
          </w:tcPr>
          <w:p>
            <w:pPr>
              <w:spacing w:after="0"/>
            </w:pPr>
            <w:r>
              <w:rPr>
                <w:sz w:val="18"/>
              </w:rPr>
              <w:t>B</w:t>
            </w:r>
          </w:p>
        </w:tc>
        <w:tc>
          <w:tcPr>
            <w:tcW w:type="dxa" w:w="9360"/>
            <w:vAlign w:val="top"/>
          </w:tcPr>
          <w:p>
            <w:pPr>
              <w:spacing w:after="0"/>
            </w:pPr>
            <w:r>
              <w:rPr>
                <w:sz w:val="18"/>
              </w:rPr>
              <w:t>Continue by using the phone number, link or QR code supplied in the message.</w:t>
            </w:r>
          </w:p>
        </w:tc>
      </w:tr>
      <w:tr>
        <w:tc>
          <w:tcPr>
            <w:tcW w:type="dxa" w:w="936"/>
            <w:vAlign w:val="top"/>
          </w:tcPr>
          <w:p>
            <w:pPr>
              <w:spacing w:after="0"/>
            </w:pPr>
            <w:r>
              <w:rPr>
                <w:sz w:val="18"/>
              </w:rPr>
              <w:t>C</w:t>
            </w:r>
          </w:p>
        </w:tc>
        <w:tc>
          <w:tcPr>
            <w:tcW w:type="dxa" w:w="9360"/>
            <w:vAlign w:val="top"/>
          </w:tcPr>
          <w:p>
            <w:pPr>
              <w:spacing w:after="0"/>
            </w:pPr>
            <w:r>
              <w:rPr>
                <w:sz w:val="18"/>
              </w:rPr>
              <w:t>Independently locate an official channel for the relevant organisation and verify.</w:t>
            </w:r>
          </w:p>
        </w:tc>
      </w:tr>
      <w:tr>
        <w:tc>
          <w:tcPr>
            <w:tcW w:type="dxa" w:w="936"/>
            <w:vAlign w:val="top"/>
          </w:tcPr>
          <w:p>
            <w:pPr>
              <w:spacing w:after="0"/>
            </w:pPr>
            <w:r>
              <w:rPr>
                <w:sz w:val="18"/>
              </w:rPr>
              <w:t>D</w:t>
            </w:r>
          </w:p>
        </w:tc>
        <w:tc>
          <w:tcPr>
            <w:tcW w:type="dxa" w:w="9360"/>
            <w:vAlign w:val="top"/>
          </w:tcPr>
          <w:p>
            <w:pPr>
              <w:spacing w:after="0"/>
            </w:pPr>
            <w:r>
              <w:rPr>
                <w:sz w:val="18"/>
              </w:rPr>
              <w:t>Ask a trusted person or institution (for example family, village staff, bank staff or police) for verification.</w:t>
            </w:r>
          </w:p>
        </w:tc>
      </w:tr>
      <w:tr>
        <w:tc>
          <w:tcPr>
            <w:tcW w:type="dxa" w:w="936"/>
            <w:vAlign w:val="top"/>
          </w:tcPr>
          <w:p>
            <w:pPr>
              <w:spacing w:after="0"/>
            </w:pPr>
            <w:r>
              <w:rPr>
                <w:sz w:val="18"/>
              </w:rPr>
              <w:t>E</w:t>
            </w:r>
          </w:p>
        </w:tc>
        <w:tc>
          <w:tcPr>
            <w:tcW w:type="dxa" w:w="9360"/>
            <w:vAlign w:val="top"/>
          </w:tcPr>
          <w:p>
            <w:pPr>
              <w:spacing w:after="0"/>
            </w:pPr>
            <w:r>
              <w:rPr>
                <w:sz w:val="18"/>
              </w:rPr>
              <w:t>Stop contact and, where appropriate, block or report it.</w:t>
            </w:r>
          </w:p>
        </w:tc>
      </w:tr>
      <w:tr>
        <w:tc>
          <w:tcPr>
            <w:tcW w:type="dxa" w:w="936"/>
            <w:vAlign w:val="top"/>
          </w:tcPr>
          <w:p>
            <w:pPr>
              <w:spacing w:after="0"/>
            </w:pPr>
            <w:r>
              <w:rPr>
                <w:sz w:val="18"/>
              </w:rPr>
              <w:t>F</w:t>
            </w:r>
          </w:p>
        </w:tc>
        <w:tc>
          <w:tcPr>
            <w:tcW w:type="dxa" w:w="9360"/>
            <w:vAlign w:val="top"/>
          </w:tcPr>
          <w:p>
            <w:pPr>
              <w:spacing w:after="0"/>
            </w:pPr>
            <w:r>
              <w:rPr>
                <w:sz w:val="18"/>
              </w:rPr>
              <w:t>Do not know what to do.</w:t>
            </w:r>
          </w:p>
        </w:tc>
      </w:tr>
    </w:tbl>
    <w:p>
      <w:pPr>
        <w:pStyle w:val="Heading1"/>
        <w:spacing w:after="80"/>
      </w:pPr>
      <w:r>
        <w:t>S3. Digital Security Capability Index (DSCI)</w:t>
      </w:r>
    </w:p>
    <w:p>
      <w:pPr>
        <w:spacing w:after="80"/>
      </w:pPr>
      <w:r>
        <w:t>DSCI is a five-item formative capability index. Each item is scored 0=cannot do, 1=can do with help, 2=can do independently; total range 0–10. Because the items are formative capabilities, internal consistency is not treated as a criterion for retaining items.</w:t>
      </w:r>
    </w:p>
    <w:tbl>
      <w:tblPr>
        <w:tblStyle w:val="TableGrid"/>
        <w:tblW w:type="auto" w:w="0"/>
        <w:tblLayout w:type="fixed"/>
        <w:tblLook w:firstColumn="1" w:firstRow="1" w:lastColumn="0" w:lastRow="0" w:noHBand="0" w:noVBand="1" w:val="04A0"/>
      </w:tblPr>
      <w:tblGrid>
        <w:gridCol w:w="1152"/>
        <w:gridCol w:w="9144"/>
      </w:tblGrid>
      <w:tr>
        <w:tc>
          <w:tcPr>
            <w:tcW w:type="dxa" w:w="1152"/>
            <w:shd w:fill="D9EAF7"/>
            <w:vAlign w:val="top"/>
          </w:tcPr>
          <w:p>
            <w:pPr>
              <w:spacing w:after="0"/>
            </w:pPr>
            <w:r>
              <w:rPr>
                <w:b/>
                <w:sz w:val="18"/>
              </w:rPr>
              <w:t>Item</w:t>
            </w:r>
          </w:p>
        </w:tc>
        <w:tc>
          <w:tcPr>
            <w:tcW w:type="dxa" w:w="9144"/>
            <w:shd w:fill="D9EAF7"/>
            <w:vAlign w:val="top"/>
          </w:tcPr>
          <w:p>
            <w:pPr>
              <w:spacing w:after="0"/>
            </w:pPr>
            <w:r>
              <w:rPr>
                <w:b/>
                <w:sz w:val="18"/>
              </w:rPr>
              <w:t>Wording</w:t>
            </w:r>
          </w:p>
        </w:tc>
      </w:tr>
      <w:tr>
        <w:tc>
          <w:tcPr>
            <w:tcW w:type="dxa" w:w="1152"/>
            <w:vAlign w:val="top"/>
          </w:tcPr>
          <w:p>
            <w:pPr>
              <w:spacing w:after="0"/>
            </w:pPr>
            <w:r>
              <w:rPr>
                <w:sz w:val="18"/>
              </w:rPr>
              <w:t>DSC1</w:t>
            </w:r>
          </w:p>
        </w:tc>
        <w:tc>
          <w:tcPr>
            <w:tcW w:type="dxa" w:w="9144"/>
            <w:vAlign w:val="top"/>
          </w:tcPr>
          <w:p>
            <w:pPr>
              <w:spacing w:after="0"/>
            </w:pPr>
            <w:r>
              <w:rPr>
                <w:sz w:val="18"/>
              </w:rPr>
              <w:t>I can adjust privacy permissions on my phone or in applications by myself.</w:t>
            </w:r>
          </w:p>
        </w:tc>
      </w:tr>
      <w:tr>
        <w:tc>
          <w:tcPr>
            <w:tcW w:type="dxa" w:w="1152"/>
            <w:vAlign w:val="top"/>
          </w:tcPr>
          <w:p>
            <w:pPr>
              <w:spacing w:after="0"/>
            </w:pPr>
            <w:r>
              <w:rPr>
                <w:sz w:val="18"/>
              </w:rPr>
              <w:t>DSC2</w:t>
            </w:r>
          </w:p>
        </w:tc>
        <w:tc>
          <w:tcPr>
            <w:tcW w:type="dxa" w:w="9144"/>
            <w:vAlign w:val="top"/>
          </w:tcPr>
          <w:p>
            <w:pPr>
              <w:spacing w:after="0"/>
            </w:pPr>
            <w:r>
              <w:rPr>
                <w:sz w:val="18"/>
              </w:rPr>
              <w:t>I can set screen-lock, login-protection or account-security settings by myself.</w:t>
            </w:r>
          </w:p>
        </w:tc>
      </w:tr>
      <w:tr>
        <w:tc>
          <w:tcPr>
            <w:tcW w:type="dxa" w:w="1152"/>
            <w:vAlign w:val="top"/>
          </w:tcPr>
          <w:p>
            <w:pPr>
              <w:spacing w:after="0"/>
            </w:pPr>
            <w:r>
              <w:rPr>
                <w:sz w:val="18"/>
              </w:rPr>
              <w:t>DSC3</w:t>
            </w:r>
          </w:p>
        </w:tc>
        <w:tc>
          <w:tcPr>
            <w:tcW w:type="dxa" w:w="9144"/>
            <w:vAlign w:val="top"/>
          </w:tcPr>
          <w:p>
            <w:pPr>
              <w:spacing w:after="0"/>
            </w:pPr>
            <w:r>
              <w:rPr>
                <w:sz w:val="18"/>
              </w:rPr>
              <w:t>I can judge whether a mobile application comes from a legitimate app store or official website rather than from an unfamiliar link or unknown source.</w:t>
            </w:r>
          </w:p>
        </w:tc>
      </w:tr>
      <w:tr>
        <w:tc>
          <w:tcPr>
            <w:tcW w:type="dxa" w:w="1152"/>
            <w:vAlign w:val="top"/>
          </w:tcPr>
          <w:p>
            <w:pPr>
              <w:spacing w:after="0"/>
            </w:pPr>
            <w:r>
              <w:rPr>
                <w:sz w:val="18"/>
              </w:rPr>
              <w:t>DSC4</w:t>
            </w:r>
          </w:p>
        </w:tc>
        <w:tc>
          <w:tcPr>
            <w:tcW w:type="dxa" w:w="9144"/>
            <w:vAlign w:val="top"/>
          </w:tcPr>
          <w:p>
            <w:pPr>
              <w:spacing w:after="0"/>
            </w:pPr>
            <w:r>
              <w:rPr>
                <w:sz w:val="18"/>
              </w:rPr>
              <w:t>When I see an uncertain online message, I can avoid using the phone number or link supplied by the sender and independently locate the organisation’s official app, website or customer-service number to verify it.</w:t>
            </w:r>
          </w:p>
        </w:tc>
      </w:tr>
      <w:tr>
        <w:tc>
          <w:tcPr>
            <w:tcW w:type="dxa" w:w="1152"/>
            <w:vAlign w:val="top"/>
          </w:tcPr>
          <w:p>
            <w:pPr>
              <w:spacing w:after="0"/>
            </w:pPr>
            <w:r>
              <w:rPr>
                <w:sz w:val="18"/>
              </w:rPr>
              <w:t>DSC5</w:t>
            </w:r>
          </w:p>
        </w:tc>
        <w:tc>
          <w:tcPr>
            <w:tcW w:type="dxa" w:w="9144"/>
            <w:vAlign w:val="top"/>
          </w:tcPr>
          <w:p>
            <w:pPr>
              <w:spacing w:after="0"/>
            </w:pPr>
            <w:r>
              <w:rPr>
                <w:sz w:val="18"/>
              </w:rPr>
              <w:t>I can independently find blocking, reporting or privacy-setting functions in applications such as messaging or short-video platforms.</w:t>
            </w:r>
          </w:p>
        </w:tc>
      </w:tr>
    </w:tbl>
    <w:p>
      <w:pPr>
        <w:pStyle w:val="Heading1"/>
        <w:spacing w:after="80"/>
      </w:pPr>
      <w:r>
        <w:t>S4. Protection Motivation Theory constructs and protective intention</w:t>
      </w:r>
    </w:p>
    <w:tbl>
      <w:tblPr>
        <w:tblStyle w:val="TableGrid"/>
        <w:tblW w:type="auto" w:w="0"/>
        <w:tblLayout w:type="fixed"/>
        <w:tblLook w:firstColumn="1" w:firstRow="1" w:lastColumn="0" w:lastRow="0" w:noHBand="0" w:noVBand="1" w:val="04A0"/>
      </w:tblPr>
      <w:tblGrid>
        <w:gridCol w:w="1008"/>
        <w:gridCol w:w="2232"/>
        <w:gridCol w:w="7056"/>
      </w:tblGrid>
      <w:tr>
        <w:tc>
          <w:tcPr>
            <w:tcW w:type="dxa" w:w="1008"/>
            <w:shd w:fill="D9EAF7"/>
            <w:vAlign w:val="top"/>
          </w:tcPr>
          <w:p>
            <w:pPr>
              <w:spacing w:after="0"/>
            </w:pPr>
            <w:r>
              <w:rPr>
                <w:b/>
                <w:sz w:val="18"/>
              </w:rPr>
              <w:t>Item</w:t>
            </w:r>
          </w:p>
        </w:tc>
        <w:tc>
          <w:tcPr>
            <w:tcW w:type="dxa" w:w="2232"/>
            <w:shd w:fill="D9EAF7"/>
            <w:vAlign w:val="top"/>
          </w:tcPr>
          <w:p>
            <w:pPr>
              <w:spacing w:after="0"/>
            </w:pPr>
            <w:r>
              <w:rPr>
                <w:b/>
                <w:sz w:val="18"/>
              </w:rPr>
              <w:t>Construct</w:t>
            </w:r>
          </w:p>
        </w:tc>
        <w:tc>
          <w:tcPr>
            <w:tcW w:type="dxa" w:w="7056"/>
            <w:shd w:fill="D9EAF7"/>
            <w:vAlign w:val="top"/>
          </w:tcPr>
          <w:p>
            <w:pPr>
              <w:spacing w:after="0"/>
            </w:pPr>
            <w:r>
              <w:rPr>
                <w:b/>
                <w:sz w:val="18"/>
              </w:rPr>
              <w:t>Wording</w:t>
            </w:r>
          </w:p>
        </w:tc>
      </w:tr>
      <w:tr>
        <w:tc>
          <w:tcPr>
            <w:tcW w:type="dxa" w:w="1008"/>
            <w:vAlign w:val="top"/>
          </w:tcPr>
          <w:p>
            <w:pPr>
              <w:spacing w:after="0"/>
            </w:pPr>
            <w:r>
              <w:rPr>
                <w:sz w:val="18"/>
              </w:rPr>
              <w:t>PS1</w:t>
            </w:r>
          </w:p>
        </w:tc>
        <w:tc>
          <w:tcPr>
            <w:tcW w:type="dxa" w:w="2232"/>
            <w:vAlign w:val="top"/>
          </w:tcPr>
          <w:p>
            <w:pPr>
              <w:spacing w:after="0"/>
            </w:pPr>
            <w:r>
              <w:rPr>
                <w:sz w:val="18"/>
              </w:rPr>
              <w:t>Perceived susceptibility</w:t>
            </w:r>
          </w:p>
        </w:tc>
        <w:tc>
          <w:tcPr>
            <w:tcW w:type="dxa" w:w="7056"/>
            <w:vAlign w:val="top"/>
          </w:tcPr>
          <w:p>
            <w:pPr>
              <w:spacing w:after="0"/>
            </w:pPr>
            <w:r>
              <w:rPr>
                <w:sz w:val="18"/>
              </w:rPr>
              <w:t>In everyday use of mobile phones and the internet, I may become a target of fraudsters.</w:t>
            </w:r>
          </w:p>
        </w:tc>
      </w:tr>
      <w:tr>
        <w:tc>
          <w:tcPr>
            <w:tcW w:type="dxa" w:w="1008"/>
            <w:vAlign w:val="top"/>
          </w:tcPr>
          <w:p>
            <w:pPr>
              <w:spacing w:after="0"/>
            </w:pPr>
            <w:r>
              <w:rPr>
                <w:sz w:val="18"/>
              </w:rPr>
              <w:t>PS2</w:t>
            </w:r>
          </w:p>
        </w:tc>
        <w:tc>
          <w:tcPr>
            <w:tcW w:type="dxa" w:w="2232"/>
            <w:vAlign w:val="top"/>
          </w:tcPr>
          <w:p>
            <w:pPr>
              <w:spacing w:after="0"/>
            </w:pPr>
            <w:r>
              <w:rPr>
                <w:sz w:val="18"/>
              </w:rPr>
              <w:t>Perceived susceptibility</w:t>
            </w:r>
          </w:p>
        </w:tc>
        <w:tc>
          <w:tcPr>
            <w:tcW w:type="dxa" w:w="7056"/>
            <w:vAlign w:val="top"/>
          </w:tcPr>
          <w:p>
            <w:pPr>
              <w:spacing w:after="0"/>
            </w:pPr>
            <w:r>
              <w:rPr>
                <w:sz w:val="18"/>
              </w:rPr>
              <w:t>Within the next six months, I may encounter fraudulent calls, text messages or online messages directed at me.</w:t>
            </w:r>
          </w:p>
        </w:tc>
      </w:tr>
      <w:tr>
        <w:tc>
          <w:tcPr>
            <w:tcW w:type="dxa" w:w="1008"/>
            <w:vAlign w:val="top"/>
          </w:tcPr>
          <w:p>
            <w:pPr>
              <w:spacing w:after="0"/>
            </w:pPr>
            <w:r>
              <w:rPr>
                <w:sz w:val="18"/>
              </w:rPr>
              <w:t>PS3</w:t>
            </w:r>
          </w:p>
        </w:tc>
        <w:tc>
          <w:tcPr>
            <w:tcW w:type="dxa" w:w="2232"/>
            <w:vAlign w:val="top"/>
          </w:tcPr>
          <w:p>
            <w:pPr>
              <w:spacing w:after="0"/>
            </w:pPr>
            <w:r>
              <w:rPr>
                <w:sz w:val="18"/>
              </w:rPr>
              <w:t>Perceived susceptibility</w:t>
            </w:r>
          </w:p>
        </w:tc>
        <w:tc>
          <w:tcPr>
            <w:tcW w:type="dxa" w:w="7056"/>
            <w:vAlign w:val="top"/>
          </w:tcPr>
          <w:p>
            <w:pPr>
              <w:spacing w:after="0"/>
            </w:pPr>
            <w:r>
              <w:rPr>
                <w:sz w:val="18"/>
              </w:rPr>
              <w:t>If a fraudulent message is disguised very convincingly, I may temporarily misjudge it.</w:t>
            </w:r>
          </w:p>
        </w:tc>
      </w:tr>
      <w:tr>
        <w:tc>
          <w:tcPr>
            <w:tcW w:type="dxa" w:w="1008"/>
            <w:vAlign w:val="top"/>
          </w:tcPr>
          <w:p>
            <w:pPr>
              <w:spacing w:after="0"/>
            </w:pPr>
            <w:r>
              <w:rPr>
                <w:sz w:val="18"/>
              </w:rPr>
              <w:t>PSV1</w:t>
            </w:r>
          </w:p>
        </w:tc>
        <w:tc>
          <w:tcPr>
            <w:tcW w:type="dxa" w:w="2232"/>
            <w:vAlign w:val="top"/>
          </w:tcPr>
          <w:p>
            <w:pPr>
              <w:spacing w:after="0"/>
            </w:pPr>
            <w:r>
              <w:rPr>
                <w:sz w:val="18"/>
              </w:rPr>
              <w:t>Perceived severity</w:t>
            </w:r>
          </w:p>
        </w:tc>
        <w:tc>
          <w:tcPr>
            <w:tcW w:type="dxa" w:w="7056"/>
            <w:vAlign w:val="top"/>
          </w:tcPr>
          <w:p>
            <w:pPr>
              <w:spacing w:after="0"/>
            </w:pPr>
            <w:r>
              <w:rPr>
                <w:sz w:val="18"/>
              </w:rPr>
              <w:t>If I experienced telecommunications/network fraud, the financial loss could seriously affect my household life.</w:t>
            </w:r>
          </w:p>
        </w:tc>
      </w:tr>
      <w:tr>
        <w:tc>
          <w:tcPr>
            <w:tcW w:type="dxa" w:w="1008"/>
            <w:vAlign w:val="top"/>
          </w:tcPr>
          <w:p>
            <w:pPr>
              <w:spacing w:after="0"/>
            </w:pPr>
            <w:r>
              <w:rPr>
                <w:sz w:val="18"/>
              </w:rPr>
              <w:t>PSV2</w:t>
            </w:r>
          </w:p>
        </w:tc>
        <w:tc>
          <w:tcPr>
            <w:tcW w:type="dxa" w:w="2232"/>
            <w:vAlign w:val="top"/>
          </w:tcPr>
          <w:p>
            <w:pPr>
              <w:spacing w:after="0"/>
            </w:pPr>
            <w:r>
              <w:rPr>
                <w:sz w:val="18"/>
              </w:rPr>
              <w:t>Perceived severity</w:t>
            </w:r>
          </w:p>
        </w:tc>
        <w:tc>
          <w:tcPr>
            <w:tcW w:type="dxa" w:w="7056"/>
            <w:vAlign w:val="top"/>
          </w:tcPr>
          <w:p>
            <w:pPr>
              <w:spacing w:after="0"/>
            </w:pPr>
            <w:r>
              <w:rPr>
                <w:sz w:val="18"/>
              </w:rPr>
              <w:t>Online fraud may cause not only financial loss but also account misuse or leakage of personal information.</w:t>
            </w:r>
          </w:p>
        </w:tc>
      </w:tr>
      <w:tr>
        <w:tc>
          <w:tcPr>
            <w:tcW w:type="dxa" w:w="1008"/>
            <w:vAlign w:val="top"/>
          </w:tcPr>
          <w:p>
            <w:pPr>
              <w:spacing w:after="0"/>
            </w:pPr>
            <w:r>
              <w:rPr>
                <w:sz w:val="18"/>
              </w:rPr>
              <w:t>PSV3</w:t>
            </w:r>
          </w:p>
        </w:tc>
        <w:tc>
          <w:tcPr>
            <w:tcW w:type="dxa" w:w="2232"/>
            <w:vAlign w:val="top"/>
          </w:tcPr>
          <w:p>
            <w:pPr>
              <w:spacing w:after="0"/>
            </w:pPr>
            <w:r>
              <w:rPr>
                <w:sz w:val="18"/>
              </w:rPr>
              <w:t>Perceived severity</w:t>
            </w:r>
          </w:p>
        </w:tc>
        <w:tc>
          <w:tcPr>
            <w:tcW w:type="dxa" w:w="7056"/>
            <w:vAlign w:val="top"/>
          </w:tcPr>
          <w:p>
            <w:pPr>
              <w:spacing w:after="0"/>
            </w:pPr>
            <w:r>
              <w:rPr>
                <w:sz w:val="18"/>
              </w:rPr>
              <w:t>If I actually experienced fraud, it would have serious consequences for me.</w:t>
            </w:r>
          </w:p>
        </w:tc>
      </w:tr>
      <w:tr>
        <w:tc>
          <w:tcPr>
            <w:tcW w:type="dxa" w:w="1008"/>
            <w:vAlign w:val="top"/>
          </w:tcPr>
          <w:p>
            <w:pPr>
              <w:spacing w:after="0"/>
            </w:pPr>
            <w:r>
              <w:rPr>
                <w:sz w:val="18"/>
              </w:rPr>
              <w:t>SE1</w:t>
            </w:r>
          </w:p>
        </w:tc>
        <w:tc>
          <w:tcPr>
            <w:tcW w:type="dxa" w:w="2232"/>
            <w:vAlign w:val="top"/>
          </w:tcPr>
          <w:p>
            <w:pPr>
              <w:spacing w:after="0"/>
            </w:pPr>
            <w:r>
              <w:rPr>
                <w:sz w:val="18"/>
              </w:rPr>
              <w:t>Self-efficacy</w:t>
            </w:r>
          </w:p>
        </w:tc>
        <w:tc>
          <w:tcPr>
            <w:tcW w:type="dxa" w:w="7056"/>
            <w:vAlign w:val="top"/>
          </w:tcPr>
          <w:p>
            <w:pPr>
              <w:spacing w:after="0"/>
            </w:pPr>
            <w:r>
              <w:rPr>
                <w:sz w:val="18"/>
              </w:rPr>
              <w:t>When a stranger asks for a transfer, verification code or personal information, I am confident that I can stop and verify first.</w:t>
            </w:r>
          </w:p>
        </w:tc>
      </w:tr>
      <w:tr>
        <w:tc>
          <w:tcPr>
            <w:tcW w:type="dxa" w:w="1008"/>
            <w:vAlign w:val="top"/>
          </w:tcPr>
          <w:p>
            <w:pPr>
              <w:spacing w:after="0"/>
            </w:pPr>
            <w:r>
              <w:rPr>
                <w:sz w:val="18"/>
              </w:rPr>
              <w:t>SE2</w:t>
            </w:r>
          </w:p>
        </w:tc>
        <w:tc>
          <w:tcPr>
            <w:tcW w:type="dxa" w:w="2232"/>
            <w:vAlign w:val="top"/>
          </w:tcPr>
          <w:p>
            <w:pPr>
              <w:spacing w:after="0"/>
            </w:pPr>
            <w:r>
              <w:rPr>
                <w:sz w:val="18"/>
              </w:rPr>
              <w:t>Self-efficacy</w:t>
            </w:r>
          </w:p>
        </w:tc>
        <w:tc>
          <w:tcPr>
            <w:tcW w:type="dxa" w:w="7056"/>
            <w:vAlign w:val="top"/>
          </w:tcPr>
          <w:p>
            <w:pPr>
              <w:spacing w:after="0"/>
            </w:pPr>
            <w:r>
              <w:rPr>
                <w:sz w:val="18"/>
              </w:rPr>
              <w:t>Even if the other person claims to be customer service, a bank, the police or an acquaintance, I am confident that I can end the current contact and verify the identity through an official channel I locate independently.</w:t>
            </w:r>
          </w:p>
        </w:tc>
      </w:tr>
      <w:tr>
        <w:tc>
          <w:tcPr>
            <w:tcW w:type="dxa" w:w="1008"/>
            <w:vAlign w:val="top"/>
          </w:tcPr>
          <w:p>
            <w:pPr>
              <w:spacing w:after="0"/>
            </w:pPr>
            <w:r>
              <w:rPr>
                <w:sz w:val="18"/>
              </w:rPr>
              <w:t>SE3</w:t>
            </w:r>
          </w:p>
        </w:tc>
        <w:tc>
          <w:tcPr>
            <w:tcW w:type="dxa" w:w="2232"/>
            <w:vAlign w:val="top"/>
          </w:tcPr>
          <w:p>
            <w:pPr>
              <w:spacing w:after="0"/>
            </w:pPr>
            <w:r>
              <w:rPr>
                <w:sz w:val="18"/>
              </w:rPr>
              <w:t>Self-efficacy</w:t>
            </w:r>
          </w:p>
        </w:tc>
        <w:tc>
          <w:tcPr>
            <w:tcW w:type="dxa" w:w="7056"/>
            <w:vAlign w:val="top"/>
          </w:tcPr>
          <w:p>
            <w:pPr>
              <w:spacing w:after="0"/>
            </w:pPr>
            <w:r>
              <w:rPr>
                <w:sz w:val="18"/>
              </w:rPr>
              <w:t>Even if the other person repeatedly urges me to act immediately, I am confident that I can refuse and first seek verification from a trusted person or institution.</w:t>
            </w:r>
          </w:p>
        </w:tc>
      </w:tr>
      <w:tr>
        <w:tc>
          <w:tcPr>
            <w:tcW w:type="dxa" w:w="1008"/>
            <w:vAlign w:val="top"/>
          </w:tcPr>
          <w:p>
            <w:pPr>
              <w:spacing w:after="0"/>
            </w:pPr>
            <w:r>
              <w:rPr>
                <w:sz w:val="18"/>
              </w:rPr>
              <w:t>RE1</w:t>
            </w:r>
          </w:p>
        </w:tc>
        <w:tc>
          <w:tcPr>
            <w:tcW w:type="dxa" w:w="2232"/>
            <w:vAlign w:val="top"/>
          </w:tcPr>
          <w:p>
            <w:pPr>
              <w:spacing w:after="0"/>
            </w:pPr>
            <w:r>
              <w:rPr>
                <w:sz w:val="18"/>
              </w:rPr>
              <w:t>Response efficacy</w:t>
            </w:r>
          </w:p>
        </w:tc>
        <w:tc>
          <w:tcPr>
            <w:tcW w:type="dxa" w:w="7056"/>
            <w:vAlign w:val="top"/>
          </w:tcPr>
          <w:p>
            <w:pPr>
              <w:spacing w:after="0"/>
            </w:pPr>
            <w:r>
              <w:rPr>
                <w:sz w:val="18"/>
              </w:rPr>
              <w:t>Avoiding the phone number, link or QR code provided by the other person and independently locating an official app, website or customer-service number can effectively reduce fraud risk.</w:t>
            </w:r>
          </w:p>
        </w:tc>
      </w:tr>
      <w:tr>
        <w:tc>
          <w:tcPr>
            <w:tcW w:type="dxa" w:w="1008"/>
            <w:vAlign w:val="top"/>
          </w:tcPr>
          <w:p>
            <w:pPr>
              <w:spacing w:after="0"/>
            </w:pPr>
            <w:r>
              <w:rPr>
                <w:sz w:val="18"/>
              </w:rPr>
              <w:t>RE2</w:t>
            </w:r>
          </w:p>
        </w:tc>
        <w:tc>
          <w:tcPr>
            <w:tcW w:type="dxa" w:w="2232"/>
            <w:vAlign w:val="top"/>
          </w:tcPr>
          <w:p>
            <w:pPr>
              <w:spacing w:after="0"/>
            </w:pPr>
            <w:r>
              <w:rPr>
                <w:sz w:val="18"/>
              </w:rPr>
              <w:t>Response efficacy</w:t>
            </w:r>
          </w:p>
        </w:tc>
        <w:tc>
          <w:tcPr>
            <w:tcW w:type="dxa" w:w="7056"/>
            <w:vAlign w:val="top"/>
          </w:tcPr>
          <w:p>
            <w:pPr>
              <w:spacing w:after="0"/>
            </w:pPr>
            <w:r>
              <w:rPr>
                <w:sz w:val="18"/>
              </w:rPr>
              <w:t>Not disclosing verification codes or payment passwords to strangers and not casually enabling screen sharing can effectively reduce fraud risk.</w:t>
            </w:r>
          </w:p>
        </w:tc>
      </w:tr>
      <w:tr>
        <w:tc>
          <w:tcPr>
            <w:tcW w:type="dxa" w:w="1008"/>
            <w:vAlign w:val="top"/>
          </w:tcPr>
          <w:p>
            <w:pPr>
              <w:spacing w:after="0"/>
            </w:pPr>
            <w:r>
              <w:rPr>
                <w:sz w:val="18"/>
              </w:rPr>
              <w:t>RE3</w:t>
            </w:r>
          </w:p>
        </w:tc>
        <w:tc>
          <w:tcPr>
            <w:tcW w:type="dxa" w:w="2232"/>
            <w:vAlign w:val="top"/>
          </w:tcPr>
          <w:p>
            <w:pPr>
              <w:spacing w:after="0"/>
            </w:pPr>
            <w:r>
              <w:rPr>
                <w:sz w:val="18"/>
              </w:rPr>
              <w:t>Response efficacy</w:t>
            </w:r>
          </w:p>
        </w:tc>
        <w:tc>
          <w:tcPr>
            <w:tcW w:type="dxa" w:w="7056"/>
            <w:vAlign w:val="top"/>
          </w:tcPr>
          <w:p>
            <w:pPr>
              <w:spacing w:after="0"/>
            </w:pPr>
            <w:r>
              <w:rPr>
                <w:sz w:val="18"/>
              </w:rPr>
              <w:t>Promptly contacting a bank, platform or public-security authority after detecting an abnormal situation can help prevent or reduce fraud losses.</w:t>
            </w:r>
          </w:p>
        </w:tc>
      </w:tr>
      <w:tr>
        <w:tc>
          <w:tcPr>
            <w:tcW w:type="dxa" w:w="1008"/>
            <w:vAlign w:val="top"/>
          </w:tcPr>
          <w:p>
            <w:pPr>
              <w:spacing w:after="0"/>
            </w:pPr>
            <w:r>
              <w:rPr>
                <w:sz w:val="18"/>
              </w:rPr>
              <w:t>PI1</w:t>
            </w:r>
          </w:p>
        </w:tc>
        <w:tc>
          <w:tcPr>
            <w:tcW w:type="dxa" w:w="2232"/>
            <w:vAlign w:val="top"/>
          </w:tcPr>
          <w:p>
            <w:pPr>
              <w:spacing w:after="0"/>
            </w:pPr>
            <w:r>
              <w:rPr>
                <w:sz w:val="18"/>
              </w:rPr>
              <w:t>Protective intention</w:t>
            </w:r>
          </w:p>
        </w:tc>
        <w:tc>
          <w:tcPr>
            <w:tcW w:type="dxa" w:w="7056"/>
            <w:vAlign w:val="top"/>
          </w:tcPr>
          <w:p>
            <w:pPr>
              <w:spacing w:after="0"/>
            </w:pPr>
            <w:r>
              <w:rPr>
                <w:sz w:val="18"/>
              </w:rPr>
              <w:t>If I encounter an unusual payment, refund or transfer request in the future, I will stop first and verify through an official channel that I locate independently.</w:t>
            </w:r>
          </w:p>
        </w:tc>
      </w:tr>
      <w:tr>
        <w:tc>
          <w:tcPr>
            <w:tcW w:type="dxa" w:w="1008"/>
            <w:vAlign w:val="top"/>
          </w:tcPr>
          <w:p>
            <w:pPr>
              <w:spacing w:after="0"/>
            </w:pPr>
            <w:r>
              <w:rPr>
                <w:sz w:val="18"/>
              </w:rPr>
              <w:t>PI2</w:t>
            </w:r>
          </w:p>
        </w:tc>
        <w:tc>
          <w:tcPr>
            <w:tcW w:type="dxa" w:w="2232"/>
            <w:vAlign w:val="top"/>
          </w:tcPr>
          <w:p>
            <w:pPr>
              <w:spacing w:after="0"/>
            </w:pPr>
            <w:r>
              <w:rPr>
                <w:sz w:val="18"/>
              </w:rPr>
              <w:t>Protective intention</w:t>
            </w:r>
          </w:p>
        </w:tc>
        <w:tc>
          <w:tcPr>
            <w:tcW w:type="dxa" w:w="7056"/>
            <w:vAlign w:val="top"/>
          </w:tcPr>
          <w:p>
            <w:pPr>
              <w:spacing w:after="0"/>
            </w:pPr>
            <w:r>
              <w:rPr>
                <w:sz w:val="18"/>
              </w:rPr>
              <w:t>If I receive an unfamiliar link, QR code or request to download software in the future, I will avoid clicking or installing it directly.</w:t>
            </w:r>
          </w:p>
        </w:tc>
      </w:tr>
      <w:tr>
        <w:tc>
          <w:tcPr>
            <w:tcW w:type="dxa" w:w="1008"/>
            <w:vAlign w:val="top"/>
          </w:tcPr>
          <w:p>
            <w:pPr>
              <w:spacing w:after="0"/>
            </w:pPr>
            <w:r>
              <w:rPr>
                <w:sz w:val="18"/>
              </w:rPr>
              <w:t>PI3</w:t>
            </w:r>
          </w:p>
        </w:tc>
        <w:tc>
          <w:tcPr>
            <w:tcW w:type="dxa" w:w="2232"/>
            <w:vAlign w:val="top"/>
          </w:tcPr>
          <w:p>
            <w:pPr>
              <w:spacing w:after="0"/>
            </w:pPr>
            <w:r>
              <w:rPr>
                <w:sz w:val="18"/>
              </w:rPr>
              <w:t>Protective intention</w:t>
            </w:r>
          </w:p>
        </w:tc>
        <w:tc>
          <w:tcPr>
            <w:tcW w:type="dxa" w:w="7056"/>
            <w:vAlign w:val="top"/>
          </w:tcPr>
          <w:p>
            <w:pPr>
              <w:spacing w:after="0"/>
            </w:pPr>
            <w:r>
              <w:rPr>
                <w:sz w:val="18"/>
              </w:rPr>
              <w:t>If I cannot determine whether a message is reliable, I will seek verification from a trusted person or institution before acting.</w:t>
            </w:r>
          </w:p>
        </w:tc>
      </w:tr>
    </w:tbl>
    <w:p>
      <w:pPr>
        <w:pStyle w:val="Heading1"/>
        <w:spacing w:after="80"/>
      </w:pPr>
      <w:r>
        <w:t>S5. Scenario task and parallel forms</w:t>
      </w:r>
    </w:p>
    <w:p>
      <w:pPr>
        <w:spacing w:after="80"/>
      </w:pPr>
      <w:r>
        <w:t>Each form contains five fraudulent and five legitimate scenarios. The five fraudulent scenarios map one-to-one onto M1–M5. T0 uses Form A, T1 uses Form B and T2 uses Form C. The forms were designed to preserve mechanism coverage while changing surface narratives. In the preceding synthetic pilot exercise, descriptive differences were small, but strict equivalence within ±0.20 SD was not established at n=50 per form. The current DGP therefore retains modest mechanism-specific form offsets instead of assuming perfect equivalence. Both randomised arms receive the same form at a given wave, so a common form shift is primarily a time effect; absolute time changes and possible arm×form interactions nevertheless remain measurement-sensitive and require real calibration.</w:t>
      </w:r>
    </w:p>
    <w:p>
      <w:pPr>
        <w:pStyle w:val="Heading2"/>
        <w:spacing w:after="80"/>
      </w:pPr>
      <w:r>
        <w:t>S5.1. Form A</w:t>
      </w:r>
    </w:p>
    <w:tbl>
      <w:tblPr>
        <w:tblStyle w:val="TableGrid"/>
        <w:tblW w:type="auto" w:w="0"/>
        <w:jc w:val="center"/>
        <w:tblLayout w:type="fixed"/>
        <w:tblLook w:firstColumn="1" w:firstRow="1" w:lastColumn="0" w:lastRow="0" w:noHBand="0" w:noVBand="1" w:val="04A0"/>
      </w:tblPr>
      <w:tblGrid>
        <w:gridCol w:w="648"/>
        <w:gridCol w:w="1800"/>
        <w:gridCol w:w="1080"/>
        <w:gridCol w:w="936"/>
        <w:gridCol w:w="5976"/>
      </w:tblGrid>
      <w:tr>
        <w:tc>
          <w:tcPr>
            <w:tcW w:type="dxa" w:w="648"/>
            <w:shd w:fill="D9EAF7"/>
            <w:vAlign w:val="top"/>
          </w:tcPr>
          <w:p>
            <w:pPr>
              <w:spacing w:after="0"/>
            </w:pPr>
            <w:r>
              <w:rPr>
                <w:b/>
                <w:sz w:val="18"/>
              </w:rPr>
              <w:t>ID</w:t>
            </w:r>
          </w:p>
        </w:tc>
        <w:tc>
          <w:tcPr>
            <w:tcW w:type="dxa" w:w="1800"/>
            <w:shd w:fill="D9EAF7"/>
            <w:vAlign w:val="top"/>
          </w:tcPr>
          <w:p>
            <w:pPr>
              <w:spacing w:after="0"/>
            </w:pPr>
            <w:r>
              <w:rPr>
                <w:b/>
                <w:sz w:val="18"/>
              </w:rPr>
              <w:t>Scenario label</w:t>
            </w:r>
          </w:p>
        </w:tc>
        <w:tc>
          <w:tcPr>
            <w:tcW w:type="dxa" w:w="1080"/>
            <w:shd w:fill="D9EAF7"/>
            <w:vAlign w:val="top"/>
          </w:tcPr>
          <w:p>
            <w:pPr>
              <w:spacing w:after="0"/>
            </w:pPr>
            <w:r>
              <w:rPr>
                <w:b/>
                <w:sz w:val="18"/>
              </w:rPr>
              <w:t>Status</w:t>
            </w:r>
          </w:p>
        </w:tc>
        <w:tc>
          <w:tcPr>
            <w:tcW w:type="dxa" w:w="936"/>
            <w:shd w:fill="D9EAF7"/>
            <w:vAlign w:val="top"/>
          </w:tcPr>
          <w:p>
            <w:pPr>
              <w:spacing w:after="0"/>
            </w:pPr>
            <w:r>
              <w:rPr>
                <w:b/>
                <w:sz w:val="18"/>
              </w:rPr>
              <w:t>Module</w:t>
            </w:r>
          </w:p>
        </w:tc>
        <w:tc>
          <w:tcPr>
            <w:tcW w:type="dxa" w:w="5976"/>
            <w:shd w:fill="D9EAF7"/>
            <w:vAlign w:val="top"/>
          </w:tcPr>
          <w:p>
            <w:pPr>
              <w:spacing w:after="0"/>
            </w:pPr>
            <w:r>
              <w:rPr>
                <w:b/>
                <w:sz w:val="18"/>
              </w:rPr>
              <w:t>Scenario text</w:t>
            </w:r>
          </w:p>
        </w:tc>
      </w:tr>
      <w:tr>
        <w:tc>
          <w:tcPr>
            <w:tcW w:type="dxa" w:w="648"/>
            <w:vAlign w:val="top"/>
          </w:tcPr>
          <w:p>
            <w:pPr>
              <w:spacing w:after="0"/>
            </w:pPr>
            <w:r>
              <w:rPr>
                <w:sz w:val="18"/>
              </w:rPr>
              <w:t>A1</w:t>
            </w:r>
          </w:p>
        </w:tc>
        <w:tc>
          <w:tcPr>
            <w:tcW w:type="dxa" w:w="1800"/>
            <w:vAlign w:val="top"/>
          </w:tcPr>
          <w:p>
            <w:pPr>
              <w:spacing w:after="0"/>
            </w:pPr>
            <w:r>
              <w:rPr>
                <w:sz w:val="18"/>
              </w:rPr>
              <w:t>Parcel compensation</w:t>
            </w:r>
          </w:p>
        </w:tc>
        <w:tc>
          <w:tcPr>
            <w:tcW w:type="dxa" w:w="1080"/>
            <w:vAlign w:val="top"/>
          </w:tcPr>
          <w:p>
            <w:pPr>
              <w:spacing w:after="0"/>
            </w:pPr>
            <w:r>
              <w:rPr>
                <w:sz w:val="18"/>
              </w:rPr>
              <w:t>Fraud</w:t>
            </w:r>
          </w:p>
        </w:tc>
        <w:tc>
          <w:tcPr>
            <w:tcW w:type="dxa" w:w="936"/>
            <w:vAlign w:val="top"/>
          </w:tcPr>
          <w:p>
            <w:pPr>
              <w:spacing w:after="0"/>
            </w:pPr>
            <w:r>
              <w:rPr>
                <w:sz w:val="18"/>
              </w:rPr>
              <w:t>M5</w:t>
            </w:r>
          </w:p>
        </w:tc>
        <w:tc>
          <w:tcPr>
            <w:tcW w:type="dxa" w:w="5976"/>
            <w:vAlign w:val="top"/>
          </w:tcPr>
          <w:p>
            <w:pPr>
              <w:spacing w:after="0"/>
            </w:pPr>
            <w:r>
              <w:rPr>
                <w:sz w:val="18"/>
              </w:rPr>
              <w:t>You receive a call from someone claiming to be a parcel-delivery customer-service agent. The caller says that your parcel was damaged in transit and that you can receive compensation of CNY 386. The caller accurately states your name and the approximate type of a recent purchase and asks you to join a video meeting so that “bank staff” can guide the refund. After you enter the meeting, the caller asks you to enable screen sharing and open mobile banking to check whether the refund has arrived.</w:t>
            </w:r>
          </w:p>
        </w:tc>
      </w:tr>
      <w:tr>
        <w:tc>
          <w:tcPr>
            <w:tcW w:type="dxa" w:w="648"/>
            <w:vAlign w:val="top"/>
          </w:tcPr>
          <w:p>
            <w:pPr>
              <w:spacing w:after="0"/>
            </w:pPr>
            <w:r>
              <w:rPr>
                <w:sz w:val="18"/>
              </w:rPr>
              <w:t>A2</w:t>
            </w:r>
          </w:p>
        </w:tc>
        <w:tc>
          <w:tcPr>
            <w:tcW w:type="dxa" w:w="1800"/>
            <w:vAlign w:val="top"/>
          </w:tcPr>
          <w:p>
            <w:pPr>
              <w:spacing w:after="0"/>
            </w:pPr>
            <w:r>
              <w:rPr>
                <w:sz w:val="18"/>
              </w:rPr>
              <w:t>Delivery notice</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An official parcel-delivery app that you normally use displays a notice saying that bad weather will delay your parcel by one day. It tells you to check order details in the app or call the customer-service number published on the official website. It does not request a verification code, bank information or payment.</w:t>
            </w:r>
          </w:p>
        </w:tc>
      </w:tr>
      <w:tr>
        <w:tc>
          <w:tcPr>
            <w:tcW w:type="dxa" w:w="648"/>
            <w:vAlign w:val="top"/>
          </w:tcPr>
          <w:p>
            <w:pPr>
              <w:spacing w:after="0"/>
            </w:pPr>
            <w:r>
              <w:rPr>
                <w:sz w:val="18"/>
              </w:rPr>
              <w:t>A3</w:t>
            </w:r>
          </w:p>
        </w:tc>
        <w:tc>
          <w:tcPr>
            <w:tcW w:type="dxa" w:w="1800"/>
            <w:vAlign w:val="top"/>
          </w:tcPr>
          <w:p>
            <w:pPr>
              <w:spacing w:after="0"/>
            </w:pPr>
            <w:r>
              <w:rPr>
                <w:sz w:val="18"/>
              </w:rPr>
              <w:t>Like-and-rebate task</w:t>
            </w:r>
          </w:p>
        </w:tc>
        <w:tc>
          <w:tcPr>
            <w:tcW w:type="dxa" w:w="1080"/>
            <w:vAlign w:val="top"/>
          </w:tcPr>
          <w:p>
            <w:pPr>
              <w:spacing w:after="0"/>
            </w:pPr>
            <w:r>
              <w:rPr>
                <w:sz w:val="18"/>
              </w:rPr>
              <w:t>Fraud</w:t>
            </w:r>
          </w:p>
        </w:tc>
        <w:tc>
          <w:tcPr>
            <w:tcW w:type="dxa" w:w="936"/>
            <w:vAlign w:val="top"/>
          </w:tcPr>
          <w:p>
            <w:pPr>
              <w:spacing w:after="0"/>
            </w:pPr>
            <w:r>
              <w:rPr>
                <w:sz w:val="18"/>
              </w:rPr>
              <w:t>M1</w:t>
            </w:r>
          </w:p>
        </w:tc>
        <w:tc>
          <w:tcPr>
            <w:tcW w:type="dxa" w:w="5976"/>
            <w:vAlign w:val="top"/>
          </w:tcPr>
          <w:p>
            <w:pPr>
              <w:spacing w:after="0"/>
            </w:pPr>
            <w:r>
              <w:rPr>
                <w:sz w:val="18"/>
              </w:rPr>
              <w:t>On a short-video platform you receive an invitation to become an “agricultural product like-and-reward worker”. After you complete three small tasks, the organiser pays you CNY 5, CNY 8 and CNY 15. The organiser then says that you must complete a CNY 3,800 “combined task” to upgrade membership and promises an immediate return of CNY 4,600.</w:t>
            </w:r>
          </w:p>
        </w:tc>
      </w:tr>
      <w:tr>
        <w:tc>
          <w:tcPr>
            <w:tcW w:type="dxa" w:w="648"/>
            <w:vAlign w:val="top"/>
          </w:tcPr>
          <w:p>
            <w:pPr>
              <w:spacing w:after="0"/>
            </w:pPr>
            <w:r>
              <w:rPr>
                <w:sz w:val="18"/>
              </w:rPr>
              <w:t>A4</w:t>
            </w:r>
          </w:p>
        </w:tc>
        <w:tc>
          <w:tcPr>
            <w:tcW w:type="dxa" w:w="1800"/>
            <w:vAlign w:val="top"/>
          </w:tcPr>
          <w:p>
            <w:pPr>
              <w:spacing w:after="0"/>
            </w:pPr>
            <w:r>
              <w:rPr>
                <w:sz w:val="18"/>
              </w:rPr>
              <w:t>Platform discount</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A legitimate shopping-platform app you use displays a weekly promotion for selected agricultural products. The discount is calculated automatically at checkout; no deposit is required and users are not asked to transact outside the platform.</w:t>
            </w:r>
          </w:p>
        </w:tc>
      </w:tr>
      <w:tr>
        <w:tc>
          <w:tcPr>
            <w:tcW w:type="dxa" w:w="648"/>
            <w:vAlign w:val="top"/>
          </w:tcPr>
          <w:p>
            <w:pPr>
              <w:spacing w:after="0"/>
            </w:pPr>
            <w:r>
              <w:rPr>
                <w:sz w:val="18"/>
              </w:rPr>
              <w:t>A5</w:t>
            </w:r>
          </w:p>
        </w:tc>
        <w:tc>
          <w:tcPr>
            <w:tcW w:type="dxa" w:w="1800"/>
            <w:vAlign w:val="top"/>
          </w:tcPr>
          <w:p>
            <w:pPr>
              <w:spacing w:after="0"/>
            </w:pPr>
            <w:r>
              <w:rPr>
                <w:sz w:val="18"/>
              </w:rPr>
              <w:t>Village official asks for money</w:t>
            </w:r>
          </w:p>
        </w:tc>
        <w:tc>
          <w:tcPr>
            <w:tcW w:type="dxa" w:w="1080"/>
            <w:vAlign w:val="top"/>
          </w:tcPr>
          <w:p>
            <w:pPr>
              <w:spacing w:after="0"/>
            </w:pPr>
            <w:r>
              <w:rPr>
                <w:sz w:val="18"/>
              </w:rPr>
              <w:t>Fraud</w:t>
            </w:r>
          </w:p>
        </w:tc>
        <w:tc>
          <w:tcPr>
            <w:tcW w:type="dxa" w:w="936"/>
            <w:vAlign w:val="top"/>
          </w:tcPr>
          <w:p>
            <w:pPr>
              <w:spacing w:after="0"/>
            </w:pPr>
            <w:r>
              <w:rPr>
                <w:sz w:val="18"/>
              </w:rPr>
              <w:t>M4</w:t>
            </w:r>
          </w:p>
        </w:tc>
        <w:tc>
          <w:tcPr>
            <w:tcW w:type="dxa" w:w="5976"/>
            <w:vAlign w:val="top"/>
          </w:tcPr>
          <w:p>
            <w:pPr>
              <w:spacing w:after="0"/>
            </w:pPr>
            <w:r>
              <w:rPr>
                <w:sz w:val="18"/>
              </w:rPr>
              <w:t>A new messaging account adds you and claims to be a village official. The profile picture and name match the official, and the person can mention a recent village activity. The person says they are in a meeting and cannot take a call, and asks you to transfer CNY 8,000 to a “supplier” first, promising to repay you that evening.</w:t>
            </w:r>
          </w:p>
        </w:tc>
      </w:tr>
      <w:tr>
        <w:tc>
          <w:tcPr>
            <w:tcW w:type="dxa" w:w="648"/>
            <w:vAlign w:val="top"/>
          </w:tcPr>
          <w:p>
            <w:pPr>
              <w:spacing w:after="0"/>
            </w:pPr>
            <w:r>
              <w:rPr>
                <w:sz w:val="18"/>
              </w:rPr>
              <w:t>A6</w:t>
            </w:r>
          </w:p>
        </w:tc>
        <w:tc>
          <w:tcPr>
            <w:tcW w:type="dxa" w:w="1800"/>
            <w:vAlign w:val="top"/>
          </w:tcPr>
          <w:p>
            <w:pPr>
              <w:spacing w:after="0"/>
            </w:pPr>
            <w:r>
              <w:rPr>
                <w:sz w:val="18"/>
              </w:rPr>
              <w:t>Village meeting notice</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A notice is posted in the village messaging group that you normally use: “A policy briefing will be held at the village committee at 3 p.m. tomorrow; residents may attend voluntarily.” No link, fee or account information is requested.</w:t>
            </w:r>
          </w:p>
        </w:tc>
      </w:tr>
      <w:tr>
        <w:tc>
          <w:tcPr>
            <w:tcW w:type="dxa" w:w="648"/>
            <w:vAlign w:val="top"/>
          </w:tcPr>
          <w:p>
            <w:pPr>
              <w:spacing w:after="0"/>
            </w:pPr>
            <w:r>
              <w:rPr>
                <w:sz w:val="18"/>
              </w:rPr>
              <w:t>A7</w:t>
            </w:r>
          </w:p>
        </w:tc>
        <w:tc>
          <w:tcPr>
            <w:tcW w:type="dxa" w:w="1800"/>
            <w:vAlign w:val="top"/>
          </w:tcPr>
          <w:p>
            <w:pPr>
              <w:spacing w:after="0"/>
            </w:pPr>
            <w:r>
              <w:rPr>
                <w:sz w:val="18"/>
              </w:rPr>
              <w:t>Credit-record abnormality</w:t>
            </w:r>
          </w:p>
        </w:tc>
        <w:tc>
          <w:tcPr>
            <w:tcW w:type="dxa" w:w="1080"/>
            <w:vAlign w:val="top"/>
          </w:tcPr>
          <w:p>
            <w:pPr>
              <w:spacing w:after="0"/>
            </w:pPr>
            <w:r>
              <w:rPr>
                <w:sz w:val="18"/>
              </w:rPr>
              <w:t>Fraud</w:t>
            </w:r>
          </w:p>
        </w:tc>
        <w:tc>
          <w:tcPr>
            <w:tcW w:type="dxa" w:w="936"/>
            <w:vAlign w:val="top"/>
          </w:tcPr>
          <w:p>
            <w:pPr>
              <w:spacing w:after="0"/>
            </w:pPr>
            <w:r>
              <w:rPr>
                <w:sz w:val="18"/>
              </w:rPr>
              <w:t>M2</w:t>
            </w:r>
          </w:p>
        </w:tc>
        <w:tc>
          <w:tcPr>
            <w:tcW w:type="dxa" w:w="5976"/>
            <w:vAlign w:val="top"/>
          </w:tcPr>
          <w:p>
            <w:pPr>
              <w:spacing w:after="0"/>
            </w:pPr>
            <w:r>
              <w:rPr>
                <w:sz w:val="18"/>
              </w:rPr>
              <w:t>You receive a text message saying that a loan account is abnormal and will affect your personal credit record. After contacting the stated customer service, you are told that the account is frozen and that you must first pay a CNY 1,200 “verification deposit”, which will later be refunded together with the loan.</w:t>
            </w:r>
          </w:p>
        </w:tc>
      </w:tr>
      <w:tr>
        <w:tc>
          <w:tcPr>
            <w:tcW w:type="dxa" w:w="648"/>
            <w:vAlign w:val="top"/>
          </w:tcPr>
          <w:p>
            <w:pPr>
              <w:spacing w:after="0"/>
            </w:pPr>
            <w:r>
              <w:rPr>
                <w:sz w:val="18"/>
              </w:rPr>
              <w:t>A8</w:t>
            </w:r>
          </w:p>
        </w:tc>
        <w:tc>
          <w:tcPr>
            <w:tcW w:type="dxa" w:w="1800"/>
            <w:vAlign w:val="top"/>
          </w:tcPr>
          <w:p>
            <w:pPr>
              <w:spacing w:after="0"/>
            </w:pPr>
            <w:r>
              <w:rPr>
                <w:sz w:val="18"/>
              </w:rPr>
              <w:t>Bank security alert</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After opening your usual bank’s official app, you see a security alert: “An abnormal login attempt was detected. If this was not you, change your password in the app security centre or take your identification to a bank branch. Staff will not ask for your password or verification code.”</w:t>
            </w:r>
          </w:p>
        </w:tc>
      </w:tr>
      <w:tr>
        <w:tc>
          <w:tcPr>
            <w:tcW w:type="dxa" w:w="648"/>
            <w:vAlign w:val="top"/>
          </w:tcPr>
          <w:p>
            <w:pPr>
              <w:spacing w:after="0"/>
            </w:pPr>
            <w:r>
              <w:rPr>
                <w:sz w:val="18"/>
              </w:rPr>
              <w:t>A9</w:t>
            </w:r>
          </w:p>
        </w:tc>
        <w:tc>
          <w:tcPr>
            <w:tcW w:type="dxa" w:w="1800"/>
            <w:vAlign w:val="top"/>
          </w:tcPr>
          <w:p>
            <w:pPr>
              <w:spacing w:after="0"/>
            </w:pPr>
            <w:r>
              <w:rPr>
                <w:sz w:val="18"/>
              </w:rPr>
              <w:t>Police impersonation</w:t>
            </w:r>
          </w:p>
        </w:tc>
        <w:tc>
          <w:tcPr>
            <w:tcW w:type="dxa" w:w="1080"/>
            <w:vAlign w:val="top"/>
          </w:tcPr>
          <w:p>
            <w:pPr>
              <w:spacing w:after="0"/>
            </w:pPr>
            <w:r>
              <w:rPr>
                <w:sz w:val="18"/>
              </w:rPr>
              <w:t>Fraud</w:t>
            </w:r>
          </w:p>
        </w:tc>
        <w:tc>
          <w:tcPr>
            <w:tcW w:type="dxa" w:w="936"/>
            <w:vAlign w:val="top"/>
          </w:tcPr>
          <w:p>
            <w:pPr>
              <w:spacing w:after="0"/>
            </w:pPr>
            <w:r>
              <w:rPr>
                <w:sz w:val="18"/>
              </w:rPr>
              <w:t>M3</w:t>
            </w:r>
          </w:p>
        </w:tc>
        <w:tc>
          <w:tcPr>
            <w:tcW w:type="dxa" w:w="5976"/>
            <w:vAlign w:val="top"/>
          </w:tcPr>
          <w:p>
            <w:pPr>
              <w:spacing w:after="0"/>
            </w:pPr>
            <w:r>
              <w:rPr>
                <w:sz w:val="18"/>
              </w:rPr>
              <w:t>Someone claims to be a police officer and says your bank card is involved in a money-laundering case. The person sends an “official case document” bearing your name, orders you to keep the matter secret, asks you to enable video and screen sharing for a “funds inspection”, and instructs you to transfer money temporarily into a “secure supervisory account”.</w:t>
            </w:r>
          </w:p>
        </w:tc>
      </w:tr>
      <w:tr>
        <w:tc>
          <w:tcPr>
            <w:tcW w:type="dxa" w:w="648"/>
            <w:vAlign w:val="top"/>
          </w:tcPr>
          <w:p>
            <w:pPr>
              <w:spacing w:after="0"/>
            </w:pPr>
            <w:r>
              <w:rPr>
                <w:sz w:val="18"/>
              </w:rPr>
              <w:t>A10</w:t>
            </w:r>
          </w:p>
        </w:tc>
        <w:tc>
          <w:tcPr>
            <w:tcW w:type="dxa" w:w="1800"/>
            <w:vAlign w:val="top"/>
          </w:tcPr>
          <w:p>
            <w:pPr>
              <w:spacing w:after="0"/>
            </w:pPr>
            <w:r>
              <w:rPr>
                <w:sz w:val="18"/>
              </w:rPr>
              <w:t>96110 anti-fraud warning</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receive a call from 96110 warning that you may recently have been in contact with a suspicious number. You are advised to stop interacting with the suspicious party and verify through official police or bank channels. The caller does not ask for a transfer, password or verification code.</w:t>
            </w:r>
          </w:p>
        </w:tc>
      </w:tr>
    </w:tbl>
    <w:p>
      <w:pPr>
        <w:pStyle w:val="Heading2"/>
        <w:spacing w:after="80"/>
      </w:pPr>
      <w:r>
        <w:t>S5.2. Form B</w:t>
      </w:r>
    </w:p>
    <w:tbl>
      <w:tblPr>
        <w:tblStyle w:val="TableGrid"/>
        <w:tblW w:type="auto" w:w="0"/>
        <w:jc w:val="center"/>
        <w:tblLayout w:type="fixed"/>
        <w:tblLook w:firstColumn="1" w:firstRow="1" w:lastColumn="0" w:lastRow="0" w:noHBand="0" w:noVBand="1" w:val="04A0"/>
      </w:tblPr>
      <w:tblGrid>
        <w:gridCol w:w="648"/>
        <w:gridCol w:w="1800"/>
        <w:gridCol w:w="1080"/>
        <w:gridCol w:w="936"/>
        <w:gridCol w:w="5976"/>
      </w:tblGrid>
      <w:tr>
        <w:tc>
          <w:tcPr>
            <w:tcW w:type="dxa" w:w="648"/>
            <w:shd w:fill="D9EAF7"/>
            <w:vAlign w:val="top"/>
          </w:tcPr>
          <w:p>
            <w:pPr>
              <w:spacing w:after="0"/>
            </w:pPr>
            <w:r>
              <w:rPr>
                <w:b/>
                <w:sz w:val="18"/>
              </w:rPr>
              <w:t>ID</w:t>
            </w:r>
          </w:p>
        </w:tc>
        <w:tc>
          <w:tcPr>
            <w:tcW w:type="dxa" w:w="1800"/>
            <w:shd w:fill="D9EAF7"/>
            <w:vAlign w:val="top"/>
          </w:tcPr>
          <w:p>
            <w:pPr>
              <w:spacing w:after="0"/>
            </w:pPr>
            <w:r>
              <w:rPr>
                <w:b/>
                <w:sz w:val="18"/>
              </w:rPr>
              <w:t>Scenario label</w:t>
            </w:r>
          </w:p>
        </w:tc>
        <w:tc>
          <w:tcPr>
            <w:tcW w:type="dxa" w:w="1080"/>
            <w:shd w:fill="D9EAF7"/>
            <w:vAlign w:val="top"/>
          </w:tcPr>
          <w:p>
            <w:pPr>
              <w:spacing w:after="0"/>
            </w:pPr>
            <w:r>
              <w:rPr>
                <w:b/>
                <w:sz w:val="18"/>
              </w:rPr>
              <w:t>Status</w:t>
            </w:r>
          </w:p>
        </w:tc>
        <w:tc>
          <w:tcPr>
            <w:tcW w:type="dxa" w:w="936"/>
            <w:shd w:fill="D9EAF7"/>
            <w:vAlign w:val="top"/>
          </w:tcPr>
          <w:p>
            <w:pPr>
              <w:spacing w:after="0"/>
            </w:pPr>
            <w:r>
              <w:rPr>
                <w:b/>
                <w:sz w:val="18"/>
              </w:rPr>
              <w:t>Module</w:t>
            </w:r>
          </w:p>
        </w:tc>
        <w:tc>
          <w:tcPr>
            <w:tcW w:type="dxa" w:w="5976"/>
            <w:shd w:fill="D9EAF7"/>
            <w:vAlign w:val="top"/>
          </w:tcPr>
          <w:p>
            <w:pPr>
              <w:spacing w:after="0"/>
            </w:pPr>
            <w:r>
              <w:rPr>
                <w:b/>
                <w:sz w:val="18"/>
              </w:rPr>
              <w:t>Scenario text</w:t>
            </w:r>
          </w:p>
        </w:tc>
      </w:tr>
      <w:tr>
        <w:tc>
          <w:tcPr>
            <w:tcW w:type="dxa" w:w="648"/>
            <w:vAlign w:val="top"/>
          </w:tcPr>
          <w:p>
            <w:pPr>
              <w:spacing w:after="0"/>
            </w:pPr>
            <w:r>
              <w:rPr>
                <w:sz w:val="18"/>
              </w:rPr>
              <w:t>B1</w:t>
            </w:r>
          </w:p>
        </w:tc>
        <w:tc>
          <w:tcPr>
            <w:tcW w:type="dxa" w:w="1800"/>
            <w:vAlign w:val="top"/>
          </w:tcPr>
          <w:p>
            <w:pPr>
              <w:spacing w:after="0"/>
            </w:pPr>
            <w:r>
              <w:rPr>
                <w:sz w:val="18"/>
              </w:rPr>
              <w:t>Flight refund</w:t>
            </w:r>
          </w:p>
        </w:tc>
        <w:tc>
          <w:tcPr>
            <w:tcW w:type="dxa" w:w="1080"/>
            <w:vAlign w:val="top"/>
          </w:tcPr>
          <w:p>
            <w:pPr>
              <w:spacing w:after="0"/>
            </w:pPr>
            <w:r>
              <w:rPr>
                <w:sz w:val="18"/>
              </w:rPr>
              <w:t>Fraud</w:t>
            </w:r>
          </w:p>
        </w:tc>
        <w:tc>
          <w:tcPr>
            <w:tcW w:type="dxa" w:w="936"/>
            <w:vAlign w:val="top"/>
          </w:tcPr>
          <w:p>
            <w:pPr>
              <w:spacing w:after="0"/>
            </w:pPr>
            <w:r>
              <w:rPr>
                <w:sz w:val="18"/>
              </w:rPr>
              <w:t>M5</w:t>
            </w:r>
          </w:p>
        </w:tc>
        <w:tc>
          <w:tcPr>
            <w:tcW w:type="dxa" w:w="5976"/>
            <w:vAlign w:val="top"/>
          </w:tcPr>
          <w:p>
            <w:pPr>
              <w:spacing w:after="0"/>
            </w:pPr>
            <w:r>
              <w:rPr>
                <w:sz w:val="18"/>
              </w:rPr>
              <w:t>A caller accurately states your name and flight details, says the flight has been cancelled and offers CNY 600 compensation. You are asked to download a “cloud service” application and enable screen sharing so that “airline finance staff” can guide the refund.</w:t>
            </w:r>
          </w:p>
        </w:tc>
      </w:tr>
      <w:tr>
        <w:tc>
          <w:tcPr>
            <w:tcW w:type="dxa" w:w="648"/>
            <w:vAlign w:val="top"/>
          </w:tcPr>
          <w:p>
            <w:pPr>
              <w:spacing w:after="0"/>
            </w:pPr>
            <w:r>
              <w:rPr>
                <w:sz w:val="18"/>
              </w:rPr>
              <w:t>B2</w:t>
            </w:r>
          </w:p>
        </w:tc>
        <w:tc>
          <w:tcPr>
            <w:tcW w:type="dxa" w:w="1800"/>
            <w:vAlign w:val="top"/>
          </w:tcPr>
          <w:p>
            <w:pPr>
              <w:spacing w:after="0"/>
            </w:pPr>
            <w:r>
              <w:rPr>
                <w:sz w:val="18"/>
              </w:rPr>
              <w:t>Flight change in official app</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The airline’s official app used to purchase your ticket displays a flight-change notice. It allows you to rebook or receive a refund to the original payment account within the original order, with no extra fee and no need to add a private customer-service account.</w:t>
            </w:r>
          </w:p>
        </w:tc>
      </w:tr>
      <w:tr>
        <w:tc>
          <w:tcPr>
            <w:tcW w:type="dxa" w:w="648"/>
            <w:vAlign w:val="top"/>
          </w:tcPr>
          <w:p>
            <w:pPr>
              <w:spacing w:after="0"/>
            </w:pPr>
            <w:r>
              <w:rPr>
                <w:sz w:val="18"/>
              </w:rPr>
              <w:t>B3</w:t>
            </w:r>
          </w:p>
        </w:tc>
        <w:tc>
          <w:tcPr>
            <w:tcW w:type="dxa" w:w="1800"/>
            <w:vAlign w:val="top"/>
          </w:tcPr>
          <w:p>
            <w:pPr>
              <w:spacing w:after="0"/>
            </w:pPr>
            <w:r>
              <w:rPr>
                <w:sz w:val="18"/>
              </w:rPr>
              <w:t>Agricultural investment</w:t>
            </w:r>
          </w:p>
        </w:tc>
        <w:tc>
          <w:tcPr>
            <w:tcW w:type="dxa" w:w="1080"/>
            <w:vAlign w:val="top"/>
          </w:tcPr>
          <w:p>
            <w:pPr>
              <w:spacing w:after="0"/>
            </w:pPr>
            <w:r>
              <w:rPr>
                <w:sz w:val="18"/>
              </w:rPr>
              <w:t>Fraud</w:t>
            </w:r>
          </w:p>
        </w:tc>
        <w:tc>
          <w:tcPr>
            <w:tcW w:type="dxa" w:w="936"/>
            <w:vAlign w:val="top"/>
          </w:tcPr>
          <w:p>
            <w:pPr>
              <w:spacing w:after="0"/>
            </w:pPr>
            <w:r>
              <w:rPr>
                <w:sz w:val="18"/>
              </w:rPr>
              <w:t>M1</w:t>
            </w:r>
          </w:p>
        </w:tc>
        <w:tc>
          <w:tcPr>
            <w:tcW w:type="dxa" w:w="5976"/>
            <w:vAlign w:val="top"/>
          </w:tcPr>
          <w:p>
            <w:pPr>
              <w:spacing w:after="0"/>
            </w:pPr>
            <w:r>
              <w:rPr>
                <w:sz w:val="18"/>
              </w:rPr>
              <w:t>An “investment mentor” in a messaging group recommends a “state-supported agricultural industry project”, claims that principal is guaranteed and returns are stable, and shows screenshots of other members’ profits. You are asked to download an investment app that cannot be found in an official app store and to transfer CNY 5,000 as a trial investment.</w:t>
            </w:r>
          </w:p>
        </w:tc>
      </w:tr>
      <w:tr>
        <w:tc>
          <w:tcPr>
            <w:tcW w:type="dxa" w:w="648"/>
            <w:vAlign w:val="top"/>
          </w:tcPr>
          <w:p>
            <w:pPr>
              <w:spacing w:after="0"/>
            </w:pPr>
            <w:r>
              <w:rPr>
                <w:sz w:val="18"/>
              </w:rPr>
              <w:t>B4</w:t>
            </w:r>
          </w:p>
        </w:tc>
        <w:tc>
          <w:tcPr>
            <w:tcW w:type="dxa" w:w="1800"/>
            <w:vAlign w:val="top"/>
          </w:tcPr>
          <w:p>
            <w:pPr>
              <w:spacing w:after="0"/>
            </w:pPr>
            <w:r>
              <w:rPr>
                <w:sz w:val="18"/>
              </w:rPr>
              <w:t>Legitimate bank investment product</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independently open your bank’s official app and view an investment product. The page clearly states its risk level and warns that the product is not a deposit, principal can be lost, and past returns do not guarantee future returns. It suggests visiting a branch for advice.</w:t>
            </w:r>
          </w:p>
        </w:tc>
      </w:tr>
      <w:tr>
        <w:tc>
          <w:tcPr>
            <w:tcW w:type="dxa" w:w="648"/>
            <w:vAlign w:val="top"/>
          </w:tcPr>
          <w:p>
            <w:pPr>
              <w:spacing w:after="0"/>
            </w:pPr>
            <w:r>
              <w:rPr>
                <w:sz w:val="18"/>
              </w:rPr>
              <w:t>B5</w:t>
            </w:r>
          </w:p>
        </w:tc>
        <w:tc>
          <w:tcPr>
            <w:tcW w:type="dxa" w:w="1800"/>
            <w:vAlign w:val="top"/>
          </w:tcPr>
          <w:p>
            <w:pPr>
              <w:spacing w:after="0"/>
            </w:pPr>
            <w:r>
              <w:rPr>
                <w:sz w:val="18"/>
              </w:rPr>
              <w:t>Relative on a new account</w:t>
            </w:r>
          </w:p>
        </w:tc>
        <w:tc>
          <w:tcPr>
            <w:tcW w:type="dxa" w:w="1080"/>
            <w:vAlign w:val="top"/>
          </w:tcPr>
          <w:p>
            <w:pPr>
              <w:spacing w:after="0"/>
            </w:pPr>
            <w:r>
              <w:rPr>
                <w:sz w:val="18"/>
              </w:rPr>
              <w:t>Fraud</w:t>
            </w:r>
          </w:p>
        </w:tc>
        <w:tc>
          <w:tcPr>
            <w:tcW w:type="dxa" w:w="936"/>
            <w:vAlign w:val="top"/>
          </w:tcPr>
          <w:p>
            <w:pPr>
              <w:spacing w:after="0"/>
            </w:pPr>
            <w:r>
              <w:rPr>
                <w:sz w:val="18"/>
              </w:rPr>
              <w:t>M4</w:t>
            </w:r>
          </w:p>
        </w:tc>
        <w:tc>
          <w:tcPr>
            <w:tcW w:type="dxa" w:w="5976"/>
            <w:vAlign w:val="top"/>
          </w:tcPr>
          <w:p>
            <w:pPr>
              <w:spacing w:after="0"/>
            </w:pPr>
            <w:r>
              <w:rPr>
                <w:sz w:val="18"/>
              </w:rPr>
              <w:t>A new messaging account claims to be one of your relatives, says the old phone is broken, and accurately names several family members. The person says they urgently need CNY 5,000 for a fee, asks you to transfer immediately and says, “It is urgent; please do not call for now.”</w:t>
            </w:r>
          </w:p>
        </w:tc>
      </w:tr>
      <w:tr>
        <w:tc>
          <w:tcPr>
            <w:tcW w:type="dxa" w:w="648"/>
            <w:vAlign w:val="top"/>
          </w:tcPr>
          <w:p>
            <w:pPr>
              <w:spacing w:after="0"/>
            </w:pPr>
            <w:r>
              <w:rPr>
                <w:sz w:val="18"/>
              </w:rPr>
              <w:t>B6</w:t>
            </w:r>
          </w:p>
        </w:tc>
        <w:tc>
          <w:tcPr>
            <w:tcW w:type="dxa" w:w="1800"/>
            <w:vAlign w:val="top"/>
          </w:tcPr>
          <w:p>
            <w:pPr>
              <w:spacing w:after="0"/>
            </w:pPr>
            <w:r>
              <w:rPr>
                <w:sz w:val="18"/>
              </w:rPr>
              <w:t>Utility bill</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independently open the official utility-payment app you have used for a long time and see the current electricity bill, including the customer number, previous bills and the current amount. You may pay within the app or leave it for later.</w:t>
            </w:r>
          </w:p>
        </w:tc>
      </w:tr>
      <w:tr>
        <w:tc>
          <w:tcPr>
            <w:tcW w:type="dxa" w:w="648"/>
            <w:vAlign w:val="top"/>
          </w:tcPr>
          <w:p>
            <w:pPr>
              <w:spacing w:after="0"/>
            </w:pPr>
            <w:r>
              <w:rPr>
                <w:sz w:val="18"/>
              </w:rPr>
              <w:t>B7</w:t>
            </w:r>
          </w:p>
        </w:tc>
        <w:tc>
          <w:tcPr>
            <w:tcW w:type="dxa" w:w="1800"/>
            <w:vAlign w:val="top"/>
          </w:tcPr>
          <w:p>
            <w:pPr>
              <w:spacing w:after="0"/>
            </w:pPr>
            <w:r>
              <w:rPr>
                <w:sz w:val="18"/>
              </w:rPr>
              <w:t>Credit-record repair</w:t>
            </w:r>
          </w:p>
        </w:tc>
        <w:tc>
          <w:tcPr>
            <w:tcW w:type="dxa" w:w="1080"/>
            <w:vAlign w:val="top"/>
          </w:tcPr>
          <w:p>
            <w:pPr>
              <w:spacing w:after="0"/>
            </w:pPr>
            <w:r>
              <w:rPr>
                <w:sz w:val="18"/>
              </w:rPr>
              <w:t>Fraud</w:t>
            </w:r>
          </w:p>
        </w:tc>
        <w:tc>
          <w:tcPr>
            <w:tcW w:type="dxa" w:w="936"/>
            <w:vAlign w:val="top"/>
          </w:tcPr>
          <w:p>
            <w:pPr>
              <w:spacing w:after="0"/>
            </w:pPr>
            <w:r>
              <w:rPr>
                <w:sz w:val="18"/>
              </w:rPr>
              <w:t>M2</w:t>
            </w:r>
          </w:p>
        </w:tc>
        <w:tc>
          <w:tcPr>
            <w:tcW w:type="dxa" w:w="5976"/>
            <w:vAlign w:val="top"/>
          </w:tcPr>
          <w:p>
            <w:pPr>
              <w:spacing w:after="0"/>
            </w:pPr>
            <w:r>
              <w:rPr>
                <w:sz w:val="18"/>
              </w:rPr>
              <w:t>Someone claiming to represent a “personal credit-record service centre” says an abnormal record will affect your ability to borrow. The person promises to delete the adverse record within 24 hours if you pay a CNY 2,000 “credit-repair fee” and provide a photograph of your identification.</w:t>
            </w:r>
          </w:p>
        </w:tc>
      </w:tr>
      <w:tr>
        <w:tc>
          <w:tcPr>
            <w:tcW w:type="dxa" w:w="648"/>
            <w:vAlign w:val="top"/>
          </w:tcPr>
          <w:p>
            <w:pPr>
              <w:spacing w:after="0"/>
            </w:pPr>
            <w:r>
              <w:rPr>
                <w:sz w:val="18"/>
              </w:rPr>
              <w:t>B8</w:t>
            </w:r>
          </w:p>
        </w:tc>
        <w:tc>
          <w:tcPr>
            <w:tcW w:type="dxa" w:w="1800"/>
            <w:vAlign w:val="top"/>
          </w:tcPr>
          <w:p>
            <w:pPr>
              <w:spacing w:after="0"/>
            </w:pPr>
            <w:r>
              <w:rPr>
                <w:sz w:val="18"/>
              </w:rPr>
              <w:t>Bank asks for in-person verification</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Official bank customer service informs you that a transaction requires confirmation. Staff clearly state that it will not be handled online, there is no fee, passwords and verification codes will not be requested, and you should visit a nearby branch with identification when convenient.</w:t>
            </w:r>
          </w:p>
        </w:tc>
      </w:tr>
      <w:tr>
        <w:tc>
          <w:tcPr>
            <w:tcW w:type="dxa" w:w="648"/>
            <w:vAlign w:val="top"/>
          </w:tcPr>
          <w:p>
            <w:pPr>
              <w:spacing w:after="0"/>
            </w:pPr>
            <w:r>
              <w:rPr>
                <w:sz w:val="18"/>
              </w:rPr>
              <w:t>B9</w:t>
            </w:r>
          </w:p>
        </w:tc>
        <w:tc>
          <w:tcPr>
            <w:tcW w:type="dxa" w:w="1800"/>
            <w:vAlign w:val="top"/>
          </w:tcPr>
          <w:p>
            <w:pPr>
              <w:spacing w:after="0"/>
            </w:pPr>
            <w:r>
              <w:rPr>
                <w:sz w:val="18"/>
              </w:rPr>
              <w:t>Court impersonation</w:t>
            </w:r>
          </w:p>
        </w:tc>
        <w:tc>
          <w:tcPr>
            <w:tcW w:type="dxa" w:w="1080"/>
            <w:vAlign w:val="top"/>
          </w:tcPr>
          <w:p>
            <w:pPr>
              <w:spacing w:after="0"/>
            </w:pPr>
            <w:r>
              <w:rPr>
                <w:sz w:val="18"/>
              </w:rPr>
              <w:t>Fraud</w:t>
            </w:r>
          </w:p>
        </w:tc>
        <w:tc>
          <w:tcPr>
            <w:tcW w:type="dxa" w:w="936"/>
            <w:vAlign w:val="top"/>
          </w:tcPr>
          <w:p>
            <w:pPr>
              <w:spacing w:after="0"/>
            </w:pPr>
            <w:r>
              <w:rPr>
                <w:sz w:val="18"/>
              </w:rPr>
              <w:t>M3</w:t>
            </w:r>
          </w:p>
        </w:tc>
        <w:tc>
          <w:tcPr>
            <w:tcW w:type="dxa" w:w="5976"/>
            <w:vAlign w:val="top"/>
          </w:tcPr>
          <w:p>
            <w:pPr>
              <w:spacing w:after="0"/>
            </w:pPr>
            <w:r>
              <w:rPr>
                <w:sz w:val="18"/>
              </w:rPr>
              <w:t>A private mobile number sends a “court notice” saying you are involved in an economic dispute and that your bank card will be frozen unless you act that afternoon. A link is provided for an “electronic summons”, and you are asked to pay a CNY 5,000 “case guarantee deposit”.</w:t>
            </w:r>
          </w:p>
        </w:tc>
      </w:tr>
      <w:tr>
        <w:tc>
          <w:tcPr>
            <w:tcW w:type="dxa" w:w="648"/>
            <w:vAlign w:val="top"/>
          </w:tcPr>
          <w:p>
            <w:pPr>
              <w:spacing w:after="0"/>
            </w:pPr>
            <w:r>
              <w:rPr>
                <w:sz w:val="18"/>
              </w:rPr>
              <w:t>B10</w:t>
            </w:r>
          </w:p>
        </w:tc>
        <w:tc>
          <w:tcPr>
            <w:tcW w:type="dxa" w:w="1800"/>
            <w:vAlign w:val="top"/>
          </w:tcPr>
          <w:p>
            <w:pPr>
              <w:spacing w:after="0"/>
            </w:pPr>
            <w:r>
              <w:rPr>
                <w:sz w:val="18"/>
              </w:rPr>
              <w:t>12381 risk-warning message</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receive a 12381 risk-warning text saying that you may recently have contacted a high-risk number. It advises you not to transfer money to unfamiliar accounts, not to disclose verification codes and to contact official public-security or institutional channels if uncertain. No payment link is provided.</w:t>
            </w:r>
          </w:p>
        </w:tc>
      </w:tr>
    </w:tbl>
    <w:p>
      <w:pPr>
        <w:pStyle w:val="Heading2"/>
        <w:spacing w:after="80"/>
      </w:pPr>
      <w:r>
        <w:t>S5.3. Form C</w:t>
      </w:r>
    </w:p>
    <w:tbl>
      <w:tblPr>
        <w:tblStyle w:val="TableGrid"/>
        <w:tblW w:type="auto" w:w="0"/>
        <w:jc w:val="center"/>
        <w:tblLayout w:type="fixed"/>
        <w:tblLook w:firstColumn="1" w:firstRow="1" w:lastColumn="0" w:lastRow="0" w:noHBand="0" w:noVBand="1" w:val="04A0"/>
      </w:tblPr>
      <w:tblGrid>
        <w:gridCol w:w="648"/>
        <w:gridCol w:w="1800"/>
        <w:gridCol w:w="1080"/>
        <w:gridCol w:w="936"/>
        <w:gridCol w:w="5976"/>
      </w:tblGrid>
      <w:tr>
        <w:tc>
          <w:tcPr>
            <w:tcW w:type="dxa" w:w="648"/>
            <w:shd w:fill="D9EAF7"/>
            <w:vAlign w:val="top"/>
          </w:tcPr>
          <w:p>
            <w:pPr>
              <w:spacing w:after="0"/>
            </w:pPr>
            <w:r>
              <w:rPr>
                <w:b/>
                <w:sz w:val="18"/>
              </w:rPr>
              <w:t>ID</w:t>
            </w:r>
          </w:p>
        </w:tc>
        <w:tc>
          <w:tcPr>
            <w:tcW w:type="dxa" w:w="1800"/>
            <w:shd w:fill="D9EAF7"/>
            <w:vAlign w:val="top"/>
          </w:tcPr>
          <w:p>
            <w:pPr>
              <w:spacing w:after="0"/>
            </w:pPr>
            <w:r>
              <w:rPr>
                <w:b/>
                <w:sz w:val="18"/>
              </w:rPr>
              <w:t>Scenario label</w:t>
            </w:r>
          </w:p>
        </w:tc>
        <w:tc>
          <w:tcPr>
            <w:tcW w:type="dxa" w:w="1080"/>
            <w:shd w:fill="D9EAF7"/>
            <w:vAlign w:val="top"/>
          </w:tcPr>
          <w:p>
            <w:pPr>
              <w:spacing w:after="0"/>
            </w:pPr>
            <w:r>
              <w:rPr>
                <w:b/>
                <w:sz w:val="18"/>
              </w:rPr>
              <w:t>Status</w:t>
            </w:r>
          </w:p>
        </w:tc>
        <w:tc>
          <w:tcPr>
            <w:tcW w:type="dxa" w:w="936"/>
            <w:shd w:fill="D9EAF7"/>
            <w:vAlign w:val="top"/>
          </w:tcPr>
          <w:p>
            <w:pPr>
              <w:spacing w:after="0"/>
            </w:pPr>
            <w:r>
              <w:rPr>
                <w:b/>
                <w:sz w:val="18"/>
              </w:rPr>
              <w:t>Module</w:t>
            </w:r>
          </w:p>
        </w:tc>
        <w:tc>
          <w:tcPr>
            <w:tcW w:type="dxa" w:w="5976"/>
            <w:shd w:fill="D9EAF7"/>
            <w:vAlign w:val="top"/>
          </w:tcPr>
          <w:p>
            <w:pPr>
              <w:spacing w:after="0"/>
            </w:pPr>
            <w:r>
              <w:rPr>
                <w:b/>
                <w:sz w:val="18"/>
              </w:rPr>
              <w:t>Scenario text</w:t>
            </w:r>
          </w:p>
        </w:tc>
      </w:tr>
      <w:tr>
        <w:tc>
          <w:tcPr>
            <w:tcW w:type="dxa" w:w="648"/>
            <w:vAlign w:val="top"/>
          </w:tcPr>
          <w:p>
            <w:pPr>
              <w:spacing w:after="0"/>
            </w:pPr>
            <w:r>
              <w:rPr>
                <w:sz w:val="18"/>
              </w:rPr>
              <w:t>C1</w:t>
            </w:r>
          </w:p>
        </w:tc>
        <w:tc>
          <w:tcPr>
            <w:tcW w:type="dxa" w:w="1800"/>
            <w:vAlign w:val="top"/>
          </w:tcPr>
          <w:p>
            <w:pPr>
              <w:spacing w:after="0"/>
            </w:pPr>
            <w:r>
              <w:rPr>
                <w:sz w:val="18"/>
              </w:rPr>
              <w:t>E-commerce refund</w:t>
            </w:r>
          </w:p>
        </w:tc>
        <w:tc>
          <w:tcPr>
            <w:tcW w:type="dxa" w:w="1080"/>
            <w:vAlign w:val="top"/>
          </w:tcPr>
          <w:p>
            <w:pPr>
              <w:spacing w:after="0"/>
            </w:pPr>
            <w:r>
              <w:rPr>
                <w:sz w:val="18"/>
              </w:rPr>
              <w:t>Fraud</w:t>
            </w:r>
          </w:p>
        </w:tc>
        <w:tc>
          <w:tcPr>
            <w:tcW w:type="dxa" w:w="936"/>
            <w:vAlign w:val="top"/>
          </w:tcPr>
          <w:p>
            <w:pPr>
              <w:spacing w:after="0"/>
            </w:pPr>
            <w:r>
              <w:rPr>
                <w:sz w:val="18"/>
              </w:rPr>
              <w:t>M2</w:t>
            </w:r>
          </w:p>
        </w:tc>
        <w:tc>
          <w:tcPr>
            <w:tcW w:type="dxa" w:w="5976"/>
            <w:vAlign w:val="top"/>
          </w:tcPr>
          <w:p>
            <w:pPr>
              <w:spacing w:after="0"/>
            </w:pPr>
            <w:r>
              <w:rPr>
                <w:sz w:val="18"/>
              </w:rPr>
              <w:t>You receive a message from someone claiming to be the shopping platform’s after-sales service, saying that a recent product has a quality problem and must be refunded. You are asked to add a private messaging account; the person says the original refund channel is abnormal and that you must first pay an “account verification amount”, which will be returned together with the refund.</w:t>
            </w:r>
          </w:p>
        </w:tc>
      </w:tr>
      <w:tr>
        <w:tc>
          <w:tcPr>
            <w:tcW w:type="dxa" w:w="648"/>
            <w:vAlign w:val="top"/>
          </w:tcPr>
          <w:p>
            <w:pPr>
              <w:spacing w:after="0"/>
            </w:pPr>
            <w:r>
              <w:rPr>
                <w:sz w:val="18"/>
              </w:rPr>
              <w:t>C2</w:t>
            </w:r>
          </w:p>
        </w:tc>
        <w:tc>
          <w:tcPr>
            <w:tcW w:type="dxa" w:w="1800"/>
            <w:vAlign w:val="top"/>
          </w:tcPr>
          <w:p>
            <w:pPr>
              <w:spacing w:after="0"/>
            </w:pPr>
            <w:r>
              <w:rPr>
                <w:sz w:val="18"/>
              </w:rPr>
              <w:t>Refund in official platform app</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independently open the shopping platform’s official app and see that the seller has approved a refund. The system says the money will be returned to the original payment account within 1–3 working days, with no need to re-enter bank details or contact another customer-service account.</w:t>
            </w:r>
          </w:p>
        </w:tc>
      </w:tr>
      <w:tr>
        <w:tc>
          <w:tcPr>
            <w:tcW w:type="dxa" w:w="648"/>
            <w:vAlign w:val="top"/>
          </w:tcPr>
          <w:p>
            <w:pPr>
              <w:spacing w:after="0"/>
            </w:pPr>
            <w:r>
              <w:rPr>
                <w:sz w:val="18"/>
              </w:rPr>
              <w:t>C3</w:t>
            </w:r>
          </w:p>
        </w:tc>
        <w:tc>
          <w:tcPr>
            <w:tcW w:type="dxa" w:w="1800"/>
            <w:vAlign w:val="top"/>
          </w:tcPr>
          <w:p>
            <w:pPr>
              <w:spacing w:after="0"/>
            </w:pPr>
            <w:r>
              <w:rPr>
                <w:sz w:val="18"/>
              </w:rPr>
              <w:t>Agricultural-support subscription</w:t>
            </w:r>
          </w:p>
        </w:tc>
        <w:tc>
          <w:tcPr>
            <w:tcW w:type="dxa" w:w="1080"/>
            <w:vAlign w:val="top"/>
          </w:tcPr>
          <w:p>
            <w:pPr>
              <w:spacing w:after="0"/>
            </w:pPr>
            <w:r>
              <w:rPr>
                <w:sz w:val="18"/>
              </w:rPr>
              <w:t>Fraud</w:t>
            </w:r>
          </w:p>
        </w:tc>
        <w:tc>
          <w:tcPr>
            <w:tcW w:type="dxa" w:w="936"/>
            <w:vAlign w:val="top"/>
          </w:tcPr>
          <w:p>
            <w:pPr>
              <w:spacing w:after="0"/>
            </w:pPr>
            <w:r>
              <w:rPr>
                <w:sz w:val="18"/>
              </w:rPr>
              <w:t>M1</w:t>
            </w:r>
          </w:p>
        </w:tc>
        <w:tc>
          <w:tcPr>
            <w:tcW w:type="dxa" w:w="5976"/>
            <w:vAlign w:val="top"/>
          </w:tcPr>
          <w:p>
            <w:pPr>
              <w:spacing w:after="0"/>
            </w:pPr>
            <w:r>
              <w:rPr>
                <w:sz w:val="18"/>
              </w:rPr>
              <w:t>After joining a messaging group to receive free household items, you see small cash red packets. The administrator then promotes an “agricultural-support subscription project”, claiming that a CNY 3,000 payment will return CNY 3,900 after seven days, and instructs members to transfer money directly to a named personal account.</w:t>
            </w:r>
          </w:p>
        </w:tc>
      </w:tr>
      <w:tr>
        <w:tc>
          <w:tcPr>
            <w:tcW w:type="dxa" w:w="648"/>
            <w:vAlign w:val="top"/>
          </w:tcPr>
          <w:p>
            <w:pPr>
              <w:spacing w:after="0"/>
            </w:pPr>
            <w:r>
              <w:rPr>
                <w:sz w:val="18"/>
              </w:rPr>
              <w:t>C4</w:t>
            </w:r>
          </w:p>
        </w:tc>
        <w:tc>
          <w:tcPr>
            <w:tcW w:type="dxa" w:w="1800"/>
            <w:vAlign w:val="top"/>
          </w:tcPr>
          <w:p>
            <w:pPr>
              <w:spacing w:after="0"/>
            </w:pPr>
            <w:r>
              <w:rPr>
                <w:sz w:val="18"/>
              </w:rPr>
              <w:t>Official agricultural training</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A verified local-government public account that you have followed for a long time posts a notice for free agricultural-skills training. Registration is at a township public-service counter and the notice gives an office telephone number that can be checked on the government website. No transfer is requested.</w:t>
            </w:r>
          </w:p>
        </w:tc>
      </w:tr>
      <w:tr>
        <w:tc>
          <w:tcPr>
            <w:tcW w:type="dxa" w:w="648"/>
            <w:vAlign w:val="top"/>
          </w:tcPr>
          <w:p>
            <w:pPr>
              <w:spacing w:after="0"/>
            </w:pPr>
            <w:r>
              <w:rPr>
                <w:sz w:val="18"/>
              </w:rPr>
              <w:t>C5</w:t>
            </w:r>
          </w:p>
        </w:tc>
        <w:tc>
          <w:tcPr>
            <w:tcW w:type="dxa" w:w="1800"/>
            <w:vAlign w:val="top"/>
          </w:tcPr>
          <w:p>
            <w:pPr>
              <w:spacing w:after="0"/>
            </w:pPr>
            <w:r>
              <w:rPr>
                <w:sz w:val="18"/>
              </w:rPr>
              <w:t>Friend using a new account</w:t>
            </w:r>
          </w:p>
        </w:tc>
        <w:tc>
          <w:tcPr>
            <w:tcW w:type="dxa" w:w="1080"/>
            <w:vAlign w:val="top"/>
          </w:tcPr>
          <w:p>
            <w:pPr>
              <w:spacing w:after="0"/>
            </w:pPr>
            <w:r>
              <w:rPr>
                <w:sz w:val="18"/>
              </w:rPr>
              <w:t>Fraud</w:t>
            </w:r>
          </w:p>
        </w:tc>
        <w:tc>
          <w:tcPr>
            <w:tcW w:type="dxa" w:w="936"/>
            <w:vAlign w:val="top"/>
          </w:tcPr>
          <w:p>
            <w:pPr>
              <w:spacing w:after="0"/>
            </w:pPr>
            <w:r>
              <w:rPr>
                <w:sz w:val="18"/>
              </w:rPr>
              <w:t>M4</w:t>
            </w:r>
          </w:p>
        </w:tc>
        <w:tc>
          <w:tcPr>
            <w:tcW w:type="dxa" w:w="5976"/>
            <w:vAlign w:val="top"/>
          </w:tcPr>
          <w:p>
            <w:pPr>
              <w:spacing w:after="0"/>
            </w:pPr>
            <w:r>
              <w:rPr>
                <w:sz w:val="18"/>
              </w:rPr>
              <w:t>A new messaging account claims to be a long-time friend and sends an old photograph of you together. The person says the old phone is broken, urgently needs CNY 5,000 for a family matter, cannot take a call and asks for an immediate transfer to a new receiving account.</w:t>
            </w:r>
          </w:p>
        </w:tc>
      </w:tr>
      <w:tr>
        <w:tc>
          <w:tcPr>
            <w:tcW w:type="dxa" w:w="648"/>
            <w:vAlign w:val="top"/>
          </w:tcPr>
          <w:p>
            <w:pPr>
              <w:spacing w:after="0"/>
            </w:pPr>
            <w:r>
              <w:rPr>
                <w:sz w:val="18"/>
              </w:rPr>
              <w:t>C6</w:t>
            </w:r>
          </w:p>
        </w:tc>
        <w:tc>
          <w:tcPr>
            <w:tcW w:type="dxa" w:w="1800"/>
            <w:vAlign w:val="top"/>
          </w:tcPr>
          <w:p>
            <w:pPr>
              <w:spacing w:after="0"/>
            </w:pPr>
            <w:r>
              <w:rPr>
                <w:sz w:val="18"/>
              </w:rPr>
              <w:t>Mobile-operator reminder</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independently open the official app of your mobile operator and see that your data package is about to expire. The page lets you keep the existing package or choose another one; it does not ask for a bank password, verification code or other software.</w:t>
            </w:r>
          </w:p>
        </w:tc>
      </w:tr>
      <w:tr>
        <w:tc>
          <w:tcPr>
            <w:tcW w:type="dxa" w:w="648"/>
            <w:vAlign w:val="top"/>
          </w:tcPr>
          <w:p>
            <w:pPr>
              <w:spacing w:after="0"/>
            </w:pPr>
            <w:r>
              <w:rPr>
                <w:sz w:val="18"/>
              </w:rPr>
              <w:t>C7</w:t>
            </w:r>
          </w:p>
        </w:tc>
        <w:tc>
          <w:tcPr>
            <w:tcW w:type="dxa" w:w="1800"/>
            <w:vAlign w:val="top"/>
          </w:tcPr>
          <w:p>
            <w:pPr>
              <w:spacing w:after="0"/>
            </w:pPr>
            <w:r>
              <w:rPr>
                <w:sz w:val="18"/>
              </w:rPr>
              <w:t>Remote assistance to cancel a fee</w:t>
            </w:r>
          </w:p>
        </w:tc>
        <w:tc>
          <w:tcPr>
            <w:tcW w:type="dxa" w:w="1080"/>
            <w:vAlign w:val="top"/>
          </w:tcPr>
          <w:p>
            <w:pPr>
              <w:spacing w:after="0"/>
            </w:pPr>
            <w:r>
              <w:rPr>
                <w:sz w:val="18"/>
              </w:rPr>
              <w:t>Fraud</w:t>
            </w:r>
          </w:p>
        </w:tc>
        <w:tc>
          <w:tcPr>
            <w:tcW w:type="dxa" w:w="936"/>
            <w:vAlign w:val="top"/>
          </w:tcPr>
          <w:p>
            <w:pPr>
              <w:spacing w:after="0"/>
            </w:pPr>
            <w:r>
              <w:rPr>
                <w:sz w:val="18"/>
              </w:rPr>
              <w:t>M5</w:t>
            </w:r>
          </w:p>
        </w:tc>
        <w:tc>
          <w:tcPr>
            <w:tcW w:type="dxa" w:w="5976"/>
            <w:vAlign w:val="top"/>
          </w:tcPr>
          <w:p>
            <w:pPr>
              <w:spacing w:after="0"/>
            </w:pPr>
            <w:r>
              <w:rPr>
                <w:sz w:val="18"/>
              </w:rPr>
              <w:t>Someone claiming to be platform customer service says you accidentally activated an automatic monthly charge and must cancel it today. The person says, “You do not need to transfer money to me,” but asks you to download remote-assistance software and enable screen sharing so that they can guide you into a payment account to complete the cancellation.</w:t>
            </w:r>
          </w:p>
        </w:tc>
      </w:tr>
      <w:tr>
        <w:tc>
          <w:tcPr>
            <w:tcW w:type="dxa" w:w="648"/>
            <w:vAlign w:val="top"/>
          </w:tcPr>
          <w:p>
            <w:pPr>
              <w:spacing w:after="0"/>
            </w:pPr>
            <w:r>
              <w:rPr>
                <w:sz w:val="18"/>
              </w:rPr>
              <w:t>C8</w:t>
            </w:r>
          </w:p>
        </w:tc>
        <w:tc>
          <w:tcPr>
            <w:tcW w:type="dxa" w:w="1800"/>
            <w:vAlign w:val="top"/>
          </w:tcPr>
          <w:p>
            <w:pPr>
              <w:spacing w:after="0"/>
            </w:pPr>
            <w:r>
              <w:rPr>
                <w:sz w:val="18"/>
              </w:rPr>
              <w:t>Platform-protected second-hand purchase</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On a legitimate second-hand marketplace, a seller agrees to accept payment through the platform’s escrow system and recommends that the platform release funds only after you receive and inspect the item. No private transfer is requested.</w:t>
            </w:r>
          </w:p>
        </w:tc>
      </w:tr>
      <w:tr>
        <w:tc>
          <w:tcPr>
            <w:tcW w:type="dxa" w:w="648"/>
            <w:vAlign w:val="top"/>
          </w:tcPr>
          <w:p>
            <w:pPr>
              <w:spacing w:after="0"/>
            </w:pPr>
            <w:r>
              <w:rPr>
                <w:sz w:val="18"/>
              </w:rPr>
              <w:t>C9</w:t>
            </w:r>
          </w:p>
        </w:tc>
        <w:tc>
          <w:tcPr>
            <w:tcW w:type="dxa" w:w="1800"/>
            <w:vAlign w:val="top"/>
          </w:tcPr>
          <w:p>
            <w:pPr>
              <w:spacing w:after="0"/>
            </w:pPr>
            <w:r>
              <w:rPr>
                <w:sz w:val="18"/>
              </w:rPr>
              <w:t>Procuratorate impersonation and fund inspection</w:t>
            </w:r>
          </w:p>
        </w:tc>
        <w:tc>
          <w:tcPr>
            <w:tcW w:type="dxa" w:w="1080"/>
            <w:vAlign w:val="top"/>
          </w:tcPr>
          <w:p>
            <w:pPr>
              <w:spacing w:after="0"/>
            </w:pPr>
            <w:r>
              <w:rPr>
                <w:sz w:val="18"/>
              </w:rPr>
              <w:t>Fraud</w:t>
            </w:r>
          </w:p>
        </w:tc>
        <w:tc>
          <w:tcPr>
            <w:tcW w:type="dxa" w:w="936"/>
            <w:vAlign w:val="top"/>
          </w:tcPr>
          <w:p>
            <w:pPr>
              <w:spacing w:after="0"/>
            </w:pPr>
            <w:r>
              <w:rPr>
                <w:sz w:val="18"/>
              </w:rPr>
              <w:t>M3</w:t>
            </w:r>
          </w:p>
        </w:tc>
        <w:tc>
          <w:tcPr>
            <w:tcW w:type="dxa" w:w="5976"/>
            <w:vAlign w:val="top"/>
          </w:tcPr>
          <w:p>
            <w:pPr>
              <w:spacing w:after="0"/>
            </w:pPr>
            <w:r>
              <w:rPr>
                <w:sz w:val="18"/>
              </w:rPr>
              <w:t>Someone claims to be a procuratorate official and says your bank card is involved in a serious case. A “notice of investigation” bearing your name is sent. You are told the case is confidential, instructed not to tell family members, and ordered to transfer your account funds within two hours to a designated “supervisory account” or face compulsory measures.</w:t>
            </w:r>
          </w:p>
        </w:tc>
      </w:tr>
      <w:tr>
        <w:tc>
          <w:tcPr>
            <w:tcW w:type="dxa" w:w="648"/>
            <w:vAlign w:val="top"/>
          </w:tcPr>
          <w:p>
            <w:pPr>
              <w:spacing w:after="0"/>
            </w:pPr>
            <w:r>
              <w:rPr>
                <w:sz w:val="18"/>
              </w:rPr>
              <w:t>C10</w:t>
            </w:r>
          </w:p>
        </w:tc>
        <w:tc>
          <w:tcPr>
            <w:tcW w:type="dxa" w:w="1800"/>
            <w:vAlign w:val="top"/>
          </w:tcPr>
          <w:p>
            <w:pPr>
              <w:spacing w:after="0"/>
            </w:pPr>
            <w:r>
              <w:rPr>
                <w:sz w:val="18"/>
              </w:rPr>
              <w:t>Official police public-account reminder</w:t>
            </w:r>
          </w:p>
        </w:tc>
        <w:tc>
          <w:tcPr>
            <w:tcW w:type="dxa" w:w="1080"/>
            <w:vAlign w:val="top"/>
          </w:tcPr>
          <w:p>
            <w:pPr>
              <w:spacing w:after="0"/>
            </w:pPr>
            <w:r>
              <w:rPr>
                <w:sz w:val="18"/>
              </w:rPr>
              <w:t>Legitimate</w:t>
            </w:r>
          </w:p>
        </w:tc>
        <w:tc>
          <w:tcPr>
            <w:tcW w:type="dxa" w:w="936"/>
            <w:vAlign w:val="top"/>
          </w:tcPr>
          <w:p>
            <w:pPr>
              <w:spacing w:after="0"/>
            </w:pPr>
            <w:r>
              <w:rPr>
                <w:sz w:val="18"/>
              </w:rPr>
              <w:t>—</w:t>
            </w:r>
          </w:p>
        </w:tc>
        <w:tc>
          <w:tcPr>
            <w:tcW w:type="dxa" w:w="5976"/>
            <w:vAlign w:val="top"/>
          </w:tcPr>
          <w:p>
            <w:pPr>
              <w:spacing w:after="0"/>
            </w:pPr>
            <w:r>
              <w:rPr>
                <w:sz w:val="18"/>
              </w:rPr>
              <w:t>You read an anti-fraud notice on a verified local public-security public account. It describes recent scam methods and advises residents to call official numbers if something seems abnormal. It does not request private messages, payment or account passwords.</w:t>
            </w:r>
          </w:p>
        </w:tc>
      </w:tr>
    </w:tbl>
    <w:p>
      <w:pPr>
        <w:pStyle w:val="Heading1"/>
        <w:spacing w:after="80"/>
      </w:pPr>
      <w:r>
        <w:t>S6. Scenario-derived scoring rules</w:t>
      </w:r>
    </w:p>
    <w:tbl>
      <w:tblPr>
        <w:tblStyle w:val="TableGrid"/>
        <w:tblW w:type="auto" w:w="0"/>
        <w:tblLayout w:type="fixed"/>
        <w:tblLook w:firstColumn="1" w:firstRow="1" w:lastColumn="0" w:lastRow="0" w:noHBand="0" w:noVBand="1" w:val="04A0"/>
      </w:tblPr>
      <w:tblGrid>
        <w:gridCol w:w="2160"/>
        <w:gridCol w:w="8136"/>
      </w:tblGrid>
      <w:tr>
        <w:tc>
          <w:tcPr>
            <w:tcW w:type="dxa" w:w="2160"/>
            <w:shd w:fill="D9EAF7"/>
            <w:vAlign w:val="top"/>
          </w:tcPr>
          <w:p>
            <w:pPr>
              <w:spacing w:after="0"/>
            </w:pPr>
            <w:r>
              <w:rPr>
                <w:b/>
                <w:sz w:val="18"/>
              </w:rPr>
              <w:t>Metric</w:t>
            </w:r>
          </w:p>
        </w:tc>
        <w:tc>
          <w:tcPr>
            <w:tcW w:type="dxa" w:w="8136"/>
            <w:shd w:fill="D9EAF7"/>
            <w:vAlign w:val="top"/>
          </w:tcPr>
          <w:p>
            <w:pPr>
              <w:spacing w:after="0"/>
            </w:pPr>
            <w:r>
              <w:rPr>
                <w:b/>
                <w:sz w:val="18"/>
              </w:rPr>
              <w:t>Rule</w:t>
            </w:r>
          </w:p>
        </w:tc>
      </w:tr>
      <w:tr>
        <w:tc>
          <w:tcPr>
            <w:tcW w:type="dxa" w:w="2160"/>
            <w:vAlign w:val="top"/>
          </w:tcPr>
          <w:p>
            <w:pPr>
              <w:spacing w:after="0"/>
            </w:pPr>
            <w:r>
              <w:rPr>
                <w:sz w:val="18"/>
              </w:rPr>
              <w:t>SBFSS (primary)</w:t>
            </w:r>
          </w:p>
        </w:tc>
        <w:tc>
          <w:tcPr>
            <w:tcW w:type="dxa" w:w="8136"/>
            <w:vAlign w:val="top"/>
          </w:tcPr>
          <w:p>
            <w:pPr>
              <w:spacing w:after="0"/>
            </w:pPr>
            <w:r>
              <w:rPr>
                <w:sz w:val="18"/>
              </w:rPr>
              <w:t>Mean of Q2 across the five fraudulent scenarios in the relevant form; range 1–5; higher scores indicate greater susceptibility.</w:t>
            </w:r>
          </w:p>
        </w:tc>
      </w:tr>
      <w:tr>
        <w:tc>
          <w:tcPr>
            <w:tcW w:type="dxa" w:w="2160"/>
            <w:vAlign w:val="top"/>
          </w:tcPr>
          <w:p>
            <w:pPr>
              <w:spacing w:after="0"/>
            </w:pPr>
            <w:r>
              <w:rPr>
                <w:sz w:val="18"/>
              </w:rPr>
              <w:t>Scam Recognition Score</w:t>
            </w:r>
          </w:p>
        </w:tc>
        <w:tc>
          <w:tcPr>
            <w:tcW w:type="dxa" w:w="8136"/>
            <w:vAlign w:val="top"/>
          </w:tcPr>
          <w:p>
            <w:pPr>
              <w:spacing w:after="0"/>
            </w:pPr>
            <w:r>
              <w:rPr>
                <w:sz w:val="18"/>
              </w:rPr>
              <w:t>Fraudulent-scenario Q1 retained in its original direction; legitimate-scenario Q1 reverse-scored as 6−Q1; mean across all 10 scenarios.</w:t>
            </w:r>
          </w:p>
        </w:tc>
      </w:tr>
      <w:tr>
        <w:tc>
          <w:tcPr>
            <w:tcW w:type="dxa" w:w="2160"/>
            <w:vAlign w:val="top"/>
          </w:tcPr>
          <w:p>
            <w:pPr>
              <w:spacing w:after="0"/>
            </w:pPr>
            <w:r>
              <w:rPr>
                <w:sz w:val="18"/>
              </w:rPr>
              <w:t>Hit rate</w:t>
            </w:r>
          </w:p>
        </w:tc>
        <w:tc>
          <w:tcPr>
            <w:tcW w:type="dxa" w:w="8136"/>
            <w:vAlign w:val="top"/>
          </w:tcPr>
          <w:p>
            <w:pPr>
              <w:spacing w:after="0"/>
            </w:pPr>
            <w:r>
              <w:rPr>
                <w:sz w:val="18"/>
              </w:rPr>
              <w:t>Proportion of fraudulent scenarios with Q1≥4.</w:t>
            </w:r>
          </w:p>
        </w:tc>
      </w:tr>
      <w:tr>
        <w:tc>
          <w:tcPr>
            <w:tcW w:type="dxa" w:w="2160"/>
            <w:vAlign w:val="top"/>
          </w:tcPr>
          <w:p>
            <w:pPr>
              <w:spacing w:after="0"/>
            </w:pPr>
            <w:r>
              <w:rPr>
                <w:sz w:val="18"/>
              </w:rPr>
              <w:t>False-alarm rate</w:t>
            </w:r>
          </w:p>
        </w:tc>
        <w:tc>
          <w:tcPr>
            <w:tcW w:type="dxa" w:w="8136"/>
            <w:vAlign w:val="top"/>
          </w:tcPr>
          <w:p>
            <w:pPr>
              <w:spacing w:after="0"/>
            </w:pPr>
            <w:r>
              <w:rPr>
                <w:sz w:val="18"/>
              </w:rPr>
              <w:t>Proportion of legitimate scenarios with Q1≥4.</w:t>
            </w:r>
          </w:p>
        </w:tc>
      </w:tr>
      <w:tr>
        <w:tc>
          <w:tcPr>
            <w:tcW w:type="dxa" w:w="2160"/>
            <w:vAlign w:val="top"/>
          </w:tcPr>
          <w:p>
            <w:pPr>
              <w:spacing w:after="0"/>
            </w:pPr>
            <w:r>
              <w:rPr>
                <w:sz w:val="18"/>
              </w:rPr>
              <w:t>Judgement Risk</w:t>
            </w:r>
          </w:p>
        </w:tc>
        <w:tc>
          <w:tcPr>
            <w:tcW w:type="dxa" w:w="8136"/>
            <w:vAlign w:val="top"/>
          </w:tcPr>
          <w:p>
            <w:pPr>
              <w:spacing w:after="0"/>
            </w:pPr>
            <w:r>
              <w:rPr>
                <w:sz w:val="18"/>
              </w:rPr>
              <w:t>(5−Q1)/4 for the fraudulent diagnostic scenario.</w:t>
            </w:r>
          </w:p>
        </w:tc>
      </w:tr>
      <w:tr>
        <w:tc>
          <w:tcPr>
            <w:tcW w:type="dxa" w:w="2160"/>
            <w:vAlign w:val="top"/>
          </w:tcPr>
          <w:p>
            <w:pPr>
              <w:spacing w:after="0"/>
            </w:pPr>
            <w:r>
              <w:rPr>
                <w:sz w:val="18"/>
              </w:rPr>
              <w:t>Compliance Risk</w:t>
            </w:r>
          </w:p>
        </w:tc>
        <w:tc>
          <w:tcPr>
            <w:tcW w:type="dxa" w:w="8136"/>
            <w:vAlign w:val="top"/>
          </w:tcPr>
          <w:p>
            <w:pPr>
              <w:spacing w:after="0"/>
            </w:pPr>
            <w:r>
              <w:rPr>
                <w:sz w:val="18"/>
              </w:rPr>
              <w:t>(Q2−1)/4 for the fraudulent diagnostic scenario.</w:t>
            </w:r>
          </w:p>
        </w:tc>
      </w:tr>
      <w:tr>
        <w:tc>
          <w:tcPr>
            <w:tcW w:type="dxa" w:w="2160"/>
            <w:vAlign w:val="top"/>
          </w:tcPr>
          <w:p>
            <w:pPr>
              <w:spacing w:after="0"/>
            </w:pPr>
            <w:r>
              <w:rPr>
                <w:sz w:val="18"/>
              </w:rPr>
              <w:t>Response Risk</w:t>
            </w:r>
          </w:p>
        </w:tc>
        <w:tc>
          <w:tcPr>
            <w:tcW w:type="dxa" w:w="8136"/>
            <w:vAlign w:val="top"/>
          </w:tcPr>
          <w:p>
            <w:pPr>
              <w:spacing w:after="0"/>
            </w:pPr>
            <w:r>
              <w:rPr>
                <w:sz w:val="18"/>
              </w:rPr>
              <w:t>Q3 A/B=1; F=0.5; C/D/E=0.</w:t>
            </w:r>
          </w:p>
        </w:tc>
      </w:tr>
      <w:tr>
        <w:tc>
          <w:tcPr>
            <w:tcW w:type="dxa" w:w="2160"/>
            <w:vAlign w:val="top"/>
          </w:tcPr>
          <w:p>
            <w:pPr>
              <w:spacing w:after="0"/>
            </w:pPr>
            <w:r>
              <w:rPr>
                <w:sz w:val="18"/>
              </w:rPr>
              <w:t>Domain Risk</w:t>
            </w:r>
          </w:p>
        </w:tc>
        <w:tc>
          <w:tcPr>
            <w:tcW w:type="dxa" w:w="8136"/>
            <w:vAlign w:val="top"/>
          </w:tcPr>
          <w:p>
            <w:pPr>
              <w:spacing w:after="0"/>
            </w:pPr>
            <w:r>
              <w:rPr>
                <w:sz w:val="18"/>
              </w:rPr>
              <w:t>Mean of Judgement Risk, Compliance Risk and Response Risk, multiplied by 100. The two highest domain-risk scores determine targeted modules.</w:t>
            </w:r>
          </w:p>
        </w:tc>
      </w:tr>
    </w:tbl>
    <w:p>
      <w:pPr>
        <w:pStyle w:val="Heading1"/>
        <w:spacing w:after="80"/>
      </w:pPr>
      <w:r>
        <w:t>S7. Intervention-module specification</w:t>
      </w:r>
    </w:p>
    <w:p>
      <w:pPr>
        <w:spacing w:after="80"/>
      </w:pPr>
      <w:r>
        <w:t>Both arms are dose matched to 25 minutes: universal core (5 min) + two risk modules (7 min each) + transfer practice using novel scenarios (4 min) + teach-back (2 min). Facilitator training, material format and total exposure are held constant. In the targeted arm, the two highest Domain Risk modules are assigned after fixed-seed tie breaking. To construct a dose- and frequency-matched active control, the complete targeted-arm module pairs are randomly permuted onto control participants. This preserves the exact marginal frequency of M1–M5 across arms while preventing use of the control participant’s own T0 profile.</w:t>
      </w:r>
    </w:p>
    <w:tbl>
      <w:tblPr>
        <w:tblStyle w:val="TableGrid"/>
        <w:tblW w:type="auto" w:w="0"/>
        <w:tblLayout w:type="fixed"/>
        <w:tblLook w:firstColumn="1" w:firstRow="1" w:lastColumn="0" w:lastRow="0" w:noHBand="0" w:noVBand="1" w:val="04A0"/>
      </w:tblPr>
      <w:tblGrid>
        <w:gridCol w:w="1584"/>
        <w:gridCol w:w="2520"/>
        <w:gridCol w:w="6192"/>
      </w:tblGrid>
      <w:tr>
        <w:tc>
          <w:tcPr>
            <w:tcW w:type="dxa" w:w="1584"/>
            <w:shd w:fill="D9EAF7"/>
            <w:vAlign w:val="top"/>
          </w:tcPr>
          <w:p>
            <w:pPr>
              <w:spacing w:after="0"/>
            </w:pPr>
            <w:r>
              <w:rPr>
                <w:b/>
                <w:sz w:val="18"/>
              </w:rPr>
              <w:t>Component</w:t>
            </w:r>
          </w:p>
        </w:tc>
        <w:tc>
          <w:tcPr>
            <w:tcW w:type="dxa" w:w="2520"/>
            <w:shd w:fill="D9EAF7"/>
            <w:vAlign w:val="top"/>
          </w:tcPr>
          <w:p>
            <w:pPr>
              <w:spacing w:after="0"/>
            </w:pPr>
            <w:r>
              <w:rPr>
                <w:b/>
                <w:sz w:val="18"/>
              </w:rPr>
              <w:t>Risk mechanism</w:t>
            </w:r>
          </w:p>
        </w:tc>
        <w:tc>
          <w:tcPr>
            <w:tcW w:type="dxa" w:w="6192"/>
            <w:shd w:fill="D9EAF7"/>
            <w:vAlign w:val="top"/>
          </w:tcPr>
          <w:p>
            <w:pPr>
              <w:spacing w:after="0"/>
            </w:pPr>
            <w:r>
              <w:rPr>
                <w:b/>
                <w:sz w:val="18"/>
              </w:rPr>
              <w:t>Minimum content specification</w:t>
            </w:r>
          </w:p>
        </w:tc>
      </w:tr>
      <w:tr>
        <w:tc>
          <w:tcPr>
            <w:tcW w:type="dxa" w:w="1584"/>
            <w:vAlign w:val="top"/>
          </w:tcPr>
          <w:p>
            <w:pPr>
              <w:spacing w:after="0"/>
            </w:pPr>
            <w:r>
              <w:rPr>
                <w:sz w:val="18"/>
              </w:rPr>
              <w:t>Universal core</w:t>
            </w:r>
          </w:p>
        </w:tc>
        <w:tc>
          <w:tcPr>
            <w:tcW w:type="dxa" w:w="2520"/>
            <w:vAlign w:val="top"/>
          </w:tcPr>
          <w:p>
            <w:pPr>
              <w:spacing w:after="0"/>
            </w:pPr>
            <w:r>
              <w:rPr>
                <w:sz w:val="18"/>
              </w:rPr>
              <w:t>Stop–Verify–Protect–Report</w:t>
            </w:r>
          </w:p>
        </w:tc>
        <w:tc>
          <w:tcPr>
            <w:tcW w:type="dxa" w:w="6192"/>
            <w:vAlign w:val="top"/>
          </w:tcPr>
          <w:p>
            <w:pPr>
              <w:spacing w:after="0"/>
            </w:pPr>
            <w:r>
              <w:rPr>
                <w:sz w:val="18"/>
              </w:rPr>
              <w:t>Pause when an unexpected request involves money, verification codes, unfamiliar software or screen sharing; leave the current channel and verify independently; protect credentials/devices; seek trusted or official help and report suspicious activity.</w:t>
            </w:r>
          </w:p>
        </w:tc>
      </w:tr>
      <w:tr>
        <w:tc>
          <w:tcPr>
            <w:tcW w:type="dxa" w:w="1584"/>
            <w:vAlign w:val="top"/>
          </w:tcPr>
          <w:p>
            <w:pPr>
              <w:spacing w:after="0"/>
            </w:pPr>
            <w:r>
              <w:rPr>
                <w:sz w:val="18"/>
              </w:rPr>
              <w:t>M1</w:t>
            </w:r>
          </w:p>
        </w:tc>
        <w:tc>
          <w:tcPr>
            <w:tcW w:type="dxa" w:w="2520"/>
            <w:vAlign w:val="top"/>
          </w:tcPr>
          <w:p>
            <w:pPr>
              <w:spacing w:after="0"/>
            </w:pPr>
            <w:r>
              <w:rPr>
                <w:sz w:val="18"/>
              </w:rPr>
              <w:t>High-return inducement</w:t>
            </w:r>
          </w:p>
        </w:tc>
        <w:tc>
          <w:tcPr>
            <w:tcW w:type="dxa" w:w="6192"/>
            <w:vAlign w:val="top"/>
          </w:tcPr>
          <w:p>
            <w:pPr>
              <w:spacing w:after="0"/>
            </w:pPr>
            <w:r>
              <w:rPr>
                <w:sz w:val="18"/>
              </w:rPr>
              <w:t>Task rebates, guaranteed/high-yield investment and escalating deposits; apply the universal rule before transferring money or installing non-official investment/task apps.</w:t>
            </w:r>
          </w:p>
        </w:tc>
      </w:tr>
      <w:tr>
        <w:tc>
          <w:tcPr>
            <w:tcW w:type="dxa" w:w="1584"/>
            <w:vAlign w:val="top"/>
          </w:tcPr>
          <w:p>
            <w:pPr>
              <w:spacing w:after="0"/>
            </w:pPr>
            <w:r>
              <w:rPr>
                <w:sz w:val="18"/>
              </w:rPr>
              <w:t>M2</w:t>
            </w:r>
          </w:p>
        </w:tc>
        <w:tc>
          <w:tcPr>
            <w:tcW w:type="dxa" w:w="2520"/>
            <w:vAlign w:val="top"/>
          </w:tcPr>
          <w:p>
            <w:pPr>
              <w:spacing w:after="0"/>
            </w:pPr>
            <w:r>
              <w:rPr>
                <w:sz w:val="18"/>
              </w:rPr>
              <w:t>Refunds, credit and account abnormality</w:t>
            </w:r>
          </w:p>
        </w:tc>
        <w:tc>
          <w:tcPr>
            <w:tcW w:type="dxa" w:w="6192"/>
            <w:vAlign w:val="top"/>
          </w:tcPr>
          <w:p>
            <w:pPr>
              <w:spacing w:after="0"/>
            </w:pPr>
            <w:r>
              <w:rPr>
                <w:sz w:val="18"/>
              </w:rPr>
              <w:t>Refund, credit-record or account-abnormality claims that require advance payment, identity documents or off-platform handling; verify through independently located official channels.</w:t>
            </w:r>
          </w:p>
        </w:tc>
      </w:tr>
      <w:tr>
        <w:tc>
          <w:tcPr>
            <w:tcW w:type="dxa" w:w="1584"/>
            <w:vAlign w:val="top"/>
          </w:tcPr>
          <w:p>
            <w:pPr>
              <w:spacing w:after="0"/>
            </w:pPr>
            <w:r>
              <w:rPr>
                <w:sz w:val="18"/>
              </w:rPr>
              <w:t>M3</w:t>
            </w:r>
          </w:p>
        </w:tc>
        <w:tc>
          <w:tcPr>
            <w:tcW w:type="dxa" w:w="2520"/>
            <w:vAlign w:val="top"/>
          </w:tcPr>
          <w:p>
            <w:pPr>
              <w:spacing w:after="0"/>
            </w:pPr>
            <w:r>
              <w:rPr>
                <w:sz w:val="18"/>
              </w:rPr>
              <w:t>Authority pressure and impersonation</w:t>
            </w:r>
          </w:p>
        </w:tc>
        <w:tc>
          <w:tcPr>
            <w:tcW w:type="dxa" w:w="6192"/>
            <w:vAlign w:val="top"/>
          </w:tcPr>
          <w:p>
            <w:pPr>
              <w:spacing w:after="0"/>
            </w:pPr>
            <w:r>
              <w:rPr>
                <w:sz w:val="18"/>
              </w:rPr>
              <w:t>Police/court/procuratorate or other authority impersonation, secrecy, urgency and “safe/supervisory account” claims; end the current contact and verify independently.</w:t>
            </w:r>
          </w:p>
        </w:tc>
      </w:tr>
      <w:tr>
        <w:tc>
          <w:tcPr>
            <w:tcW w:type="dxa" w:w="1584"/>
            <w:vAlign w:val="top"/>
          </w:tcPr>
          <w:p>
            <w:pPr>
              <w:spacing w:after="0"/>
            </w:pPr>
            <w:r>
              <w:rPr>
                <w:sz w:val="18"/>
              </w:rPr>
              <w:t>M4</w:t>
            </w:r>
          </w:p>
        </w:tc>
        <w:tc>
          <w:tcPr>
            <w:tcW w:type="dxa" w:w="2520"/>
            <w:vAlign w:val="top"/>
          </w:tcPr>
          <w:p>
            <w:pPr>
              <w:spacing w:after="0"/>
            </w:pPr>
            <w:r>
              <w:rPr>
                <w:sz w:val="18"/>
              </w:rPr>
              <w:t>Acquaintance/relational-trust impersonation</w:t>
            </w:r>
          </w:p>
        </w:tc>
        <w:tc>
          <w:tcPr>
            <w:tcW w:type="dxa" w:w="6192"/>
            <w:vAlign w:val="top"/>
          </w:tcPr>
          <w:p>
            <w:pPr>
              <w:spacing w:after="0"/>
            </w:pPr>
            <w:r>
              <w:rPr>
                <w:sz w:val="18"/>
              </w:rPr>
              <w:t>New accounts impersonating relatives, friends, village officials or other trusted contacts; verify through an independent pre-existing route before sending money.</w:t>
            </w:r>
          </w:p>
        </w:tc>
      </w:tr>
      <w:tr>
        <w:tc>
          <w:tcPr>
            <w:tcW w:type="dxa" w:w="1584"/>
            <w:vAlign w:val="top"/>
          </w:tcPr>
          <w:p>
            <w:pPr>
              <w:spacing w:after="0"/>
            </w:pPr>
            <w:r>
              <w:rPr>
                <w:sz w:val="18"/>
              </w:rPr>
              <w:t>M5</w:t>
            </w:r>
          </w:p>
        </w:tc>
        <w:tc>
          <w:tcPr>
            <w:tcW w:type="dxa" w:w="2520"/>
            <w:vAlign w:val="top"/>
          </w:tcPr>
          <w:p>
            <w:pPr>
              <w:spacing w:after="0"/>
            </w:pPr>
            <w:r>
              <w:rPr>
                <w:sz w:val="18"/>
              </w:rPr>
              <w:t>Device/platform control</w:t>
            </w:r>
          </w:p>
        </w:tc>
        <w:tc>
          <w:tcPr>
            <w:tcW w:type="dxa" w:w="6192"/>
            <w:vAlign w:val="top"/>
          </w:tcPr>
          <w:p>
            <w:pPr>
              <w:spacing w:after="0"/>
            </w:pPr>
            <w:r>
              <w:rPr>
                <w:sz w:val="18"/>
              </w:rPr>
              <w:t>Unfamiliar applications, verification codes, remote assistance or screen sharing; refuse unsafe device-control requests and verify through official channels.</w:t>
            </w:r>
          </w:p>
        </w:tc>
      </w:tr>
    </w:tbl>
    <w:p>
      <w:pPr>
        <w:pStyle w:val="Heading1"/>
        <w:spacing w:after="80"/>
      </w:pPr>
      <w:r>
        <w:t>S8. Fidelity checklist</w:t>
      </w:r>
    </w:p>
    <w:p>
      <w:pPr>
        <w:spacing w:after="80"/>
      </w:pPr>
      <w:r>
        <w:t>Each item is scored 0=not completed or 1=completed. Total range 0–10; ≥9/10 defines high fidelity for sensitivity analyses. Participants remain in the intention-to-treat analysis regardless of fidelity status.</w:t>
      </w:r>
    </w:p>
    <w:tbl>
      <w:tblPr>
        <w:tblStyle w:val="TableGrid"/>
        <w:tblW w:type="auto" w:w="0"/>
        <w:tblLayout w:type="fixed"/>
        <w:tblLook w:firstColumn="1" w:firstRow="1" w:lastColumn="0" w:lastRow="0" w:noHBand="0" w:noVBand="1" w:val="04A0"/>
      </w:tblPr>
      <w:tblGrid>
        <w:gridCol w:w="648"/>
        <w:gridCol w:w="8712"/>
        <w:gridCol w:w="936"/>
      </w:tblGrid>
      <w:tr>
        <w:tc>
          <w:tcPr>
            <w:tcW w:type="dxa" w:w="648"/>
            <w:shd w:fill="D9EAF7"/>
            <w:vAlign w:val="top"/>
          </w:tcPr>
          <w:p>
            <w:pPr>
              <w:spacing w:after="0"/>
            </w:pPr>
            <w:r>
              <w:rPr>
                <w:b/>
                <w:sz w:val="18"/>
              </w:rPr>
              <w:t>No.</w:t>
            </w:r>
          </w:p>
        </w:tc>
        <w:tc>
          <w:tcPr>
            <w:tcW w:type="dxa" w:w="8712"/>
            <w:shd w:fill="D9EAF7"/>
            <w:vAlign w:val="top"/>
          </w:tcPr>
          <w:p>
            <w:pPr>
              <w:spacing w:after="0"/>
            </w:pPr>
            <w:r>
              <w:rPr>
                <w:b/>
                <w:sz w:val="18"/>
              </w:rPr>
              <w:t>Fidelity item</w:t>
            </w:r>
          </w:p>
        </w:tc>
        <w:tc>
          <w:tcPr>
            <w:tcW w:type="dxa" w:w="936"/>
            <w:shd w:fill="D9EAF7"/>
            <w:vAlign w:val="top"/>
          </w:tcPr>
          <w:p>
            <w:pPr>
              <w:spacing w:after="0"/>
            </w:pPr>
            <w:r>
              <w:rPr>
                <w:b/>
                <w:sz w:val="18"/>
              </w:rPr>
              <w:t>Score</w:t>
            </w:r>
          </w:p>
        </w:tc>
      </w:tr>
      <w:tr>
        <w:tc>
          <w:tcPr>
            <w:tcW w:type="dxa" w:w="648"/>
            <w:vAlign w:val="top"/>
          </w:tcPr>
          <w:p>
            <w:pPr>
              <w:spacing w:after="0"/>
            </w:pPr>
            <w:r>
              <w:rPr>
                <w:sz w:val="18"/>
              </w:rPr>
              <w:t>1</w:t>
            </w:r>
          </w:p>
        </w:tc>
        <w:tc>
          <w:tcPr>
            <w:tcW w:type="dxa" w:w="8712"/>
            <w:vAlign w:val="top"/>
          </w:tcPr>
          <w:p>
            <w:pPr>
              <w:spacing w:after="0"/>
            </w:pPr>
            <w:r>
              <w:rPr>
                <w:sz w:val="18"/>
              </w:rPr>
              <w:t>Universal Stop–Verify–Protect–Report core completed.</w:t>
            </w:r>
          </w:p>
        </w:tc>
        <w:tc>
          <w:tcPr>
            <w:tcW w:type="dxa" w:w="936"/>
            <w:vAlign w:val="top"/>
          </w:tcPr>
          <w:p>
            <w:pPr>
              <w:spacing w:after="0"/>
            </w:pPr>
            <w:r>
              <w:rPr>
                <w:sz w:val="18"/>
              </w:rPr>
              <w:t>0 / 1</w:t>
            </w:r>
          </w:p>
        </w:tc>
      </w:tr>
      <w:tr>
        <w:tc>
          <w:tcPr>
            <w:tcW w:type="dxa" w:w="648"/>
            <w:vAlign w:val="top"/>
          </w:tcPr>
          <w:p>
            <w:pPr>
              <w:spacing w:after="0"/>
            </w:pPr>
            <w:r>
              <w:rPr>
                <w:sz w:val="18"/>
              </w:rPr>
              <w:t>2</w:t>
            </w:r>
          </w:p>
        </w:tc>
        <w:tc>
          <w:tcPr>
            <w:tcW w:type="dxa" w:w="8712"/>
            <w:vAlign w:val="top"/>
          </w:tcPr>
          <w:p>
            <w:pPr>
              <w:spacing w:after="0"/>
            </w:pPr>
            <w:r>
              <w:rPr>
                <w:sz w:val="18"/>
              </w:rPr>
              <w:t>The two planned risk modules delivered in the planned order.</w:t>
            </w:r>
          </w:p>
        </w:tc>
        <w:tc>
          <w:tcPr>
            <w:tcW w:type="dxa" w:w="936"/>
            <w:vAlign w:val="top"/>
          </w:tcPr>
          <w:p>
            <w:pPr>
              <w:spacing w:after="0"/>
            </w:pPr>
            <w:r>
              <w:rPr>
                <w:sz w:val="18"/>
              </w:rPr>
              <w:t>0 / 1</w:t>
            </w:r>
          </w:p>
        </w:tc>
      </w:tr>
      <w:tr>
        <w:tc>
          <w:tcPr>
            <w:tcW w:type="dxa" w:w="648"/>
            <w:vAlign w:val="top"/>
          </w:tcPr>
          <w:p>
            <w:pPr>
              <w:spacing w:after="0"/>
            </w:pPr>
            <w:r>
              <w:rPr>
                <w:sz w:val="18"/>
              </w:rPr>
              <w:t>3</w:t>
            </w:r>
          </w:p>
        </w:tc>
        <w:tc>
          <w:tcPr>
            <w:tcW w:type="dxa" w:w="8712"/>
            <w:vAlign w:val="top"/>
          </w:tcPr>
          <w:p>
            <w:pPr>
              <w:spacing w:after="0"/>
            </w:pPr>
            <w:r>
              <w:rPr>
                <w:sz w:val="18"/>
              </w:rPr>
              <w:t>Each module began with a case/scenario.</w:t>
            </w:r>
          </w:p>
        </w:tc>
        <w:tc>
          <w:tcPr>
            <w:tcW w:type="dxa" w:w="936"/>
            <w:vAlign w:val="top"/>
          </w:tcPr>
          <w:p>
            <w:pPr>
              <w:spacing w:after="0"/>
            </w:pPr>
            <w:r>
              <w:rPr>
                <w:sz w:val="18"/>
              </w:rPr>
              <w:t>0 / 1</w:t>
            </w:r>
          </w:p>
        </w:tc>
      </w:tr>
      <w:tr>
        <w:tc>
          <w:tcPr>
            <w:tcW w:type="dxa" w:w="648"/>
            <w:vAlign w:val="top"/>
          </w:tcPr>
          <w:p>
            <w:pPr>
              <w:spacing w:after="0"/>
            </w:pPr>
            <w:r>
              <w:rPr>
                <w:sz w:val="18"/>
              </w:rPr>
              <w:t>4</w:t>
            </w:r>
          </w:p>
        </w:tc>
        <w:tc>
          <w:tcPr>
            <w:tcW w:type="dxa" w:w="8712"/>
            <w:vAlign w:val="top"/>
          </w:tcPr>
          <w:p>
            <w:pPr>
              <w:spacing w:after="0"/>
            </w:pPr>
            <w:r>
              <w:rPr>
                <w:sz w:val="18"/>
              </w:rPr>
              <w:t>Participants made an initial judgement before facilitator explanation.</w:t>
            </w:r>
          </w:p>
        </w:tc>
        <w:tc>
          <w:tcPr>
            <w:tcW w:type="dxa" w:w="936"/>
            <w:vAlign w:val="top"/>
          </w:tcPr>
          <w:p>
            <w:pPr>
              <w:spacing w:after="0"/>
            </w:pPr>
            <w:r>
              <w:rPr>
                <w:sz w:val="18"/>
              </w:rPr>
              <w:t>0 / 1</w:t>
            </w:r>
          </w:p>
        </w:tc>
      </w:tr>
      <w:tr>
        <w:tc>
          <w:tcPr>
            <w:tcW w:type="dxa" w:w="648"/>
            <w:vAlign w:val="top"/>
          </w:tcPr>
          <w:p>
            <w:pPr>
              <w:spacing w:after="0"/>
            </w:pPr>
            <w:r>
              <w:rPr>
                <w:sz w:val="18"/>
              </w:rPr>
              <w:t>5</w:t>
            </w:r>
          </w:p>
        </w:tc>
        <w:tc>
          <w:tcPr>
            <w:tcW w:type="dxa" w:w="8712"/>
            <w:vAlign w:val="top"/>
          </w:tcPr>
          <w:p>
            <w:pPr>
              <w:spacing w:after="0"/>
            </w:pPr>
            <w:r>
              <w:rPr>
                <w:sz w:val="18"/>
              </w:rPr>
              <w:t>All key risk cues were covered.</w:t>
            </w:r>
          </w:p>
        </w:tc>
        <w:tc>
          <w:tcPr>
            <w:tcW w:type="dxa" w:w="936"/>
            <w:vAlign w:val="top"/>
          </w:tcPr>
          <w:p>
            <w:pPr>
              <w:spacing w:after="0"/>
            </w:pPr>
            <w:r>
              <w:rPr>
                <w:sz w:val="18"/>
              </w:rPr>
              <w:t>0 / 1</w:t>
            </w:r>
          </w:p>
        </w:tc>
      </w:tr>
      <w:tr>
        <w:tc>
          <w:tcPr>
            <w:tcW w:type="dxa" w:w="648"/>
            <w:vAlign w:val="top"/>
          </w:tcPr>
          <w:p>
            <w:pPr>
              <w:spacing w:after="0"/>
            </w:pPr>
            <w:r>
              <w:rPr>
                <w:sz w:val="18"/>
              </w:rPr>
              <w:t>6</w:t>
            </w:r>
          </w:p>
        </w:tc>
        <w:tc>
          <w:tcPr>
            <w:tcW w:type="dxa" w:w="8712"/>
            <w:vAlign w:val="top"/>
          </w:tcPr>
          <w:p>
            <w:pPr>
              <w:spacing w:after="0"/>
            </w:pPr>
            <w:r>
              <w:rPr>
                <w:sz w:val="18"/>
              </w:rPr>
              <w:t>All specified safe-response recommendations were covered.</w:t>
            </w:r>
          </w:p>
        </w:tc>
        <w:tc>
          <w:tcPr>
            <w:tcW w:type="dxa" w:w="936"/>
            <w:vAlign w:val="top"/>
          </w:tcPr>
          <w:p>
            <w:pPr>
              <w:spacing w:after="0"/>
            </w:pPr>
            <w:r>
              <w:rPr>
                <w:sz w:val="18"/>
              </w:rPr>
              <w:t>0 / 1</w:t>
            </w:r>
          </w:p>
        </w:tc>
      </w:tr>
      <w:tr>
        <w:tc>
          <w:tcPr>
            <w:tcW w:type="dxa" w:w="648"/>
            <w:vAlign w:val="top"/>
          </w:tcPr>
          <w:p>
            <w:pPr>
              <w:spacing w:after="0"/>
            </w:pPr>
            <w:r>
              <w:rPr>
                <w:sz w:val="18"/>
              </w:rPr>
              <w:t>7</w:t>
            </w:r>
          </w:p>
        </w:tc>
        <w:tc>
          <w:tcPr>
            <w:tcW w:type="dxa" w:w="8712"/>
            <w:vAlign w:val="top"/>
          </w:tcPr>
          <w:p>
            <w:pPr>
              <w:spacing w:after="0"/>
            </w:pPr>
            <w:r>
              <w:rPr>
                <w:sz w:val="18"/>
              </w:rPr>
              <w:t>Transfer Practice 1 completed.</w:t>
            </w:r>
          </w:p>
        </w:tc>
        <w:tc>
          <w:tcPr>
            <w:tcW w:type="dxa" w:w="936"/>
            <w:vAlign w:val="top"/>
          </w:tcPr>
          <w:p>
            <w:pPr>
              <w:spacing w:after="0"/>
            </w:pPr>
            <w:r>
              <w:rPr>
                <w:sz w:val="18"/>
              </w:rPr>
              <w:t>0 / 1</w:t>
            </w:r>
          </w:p>
        </w:tc>
      </w:tr>
      <w:tr>
        <w:tc>
          <w:tcPr>
            <w:tcW w:type="dxa" w:w="648"/>
            <w:vAlign w:val="top"/>
          </w:tcPr>
          <w:p>
            <w:pPr>
              <w:spacing w:after="0"/>
            </w:pPr>
            <w:r>
              <w:rPr>
                <w:sz w:val="18"/>
              </w:rPr>
              <w:t>8</w:t>
            </w:r>
          </w:p>
        </w:tc>
        <w:tc>
          <w:tcPr>
            <w:tcW w:type="dxa" w:w="8712"/>
            <w:vAlign w:val="top"/>
          </w:tcPr>
          <w:p>
            <w:pPr>
              <w:spacing w:after="0"/>
            </w:pPr>
            <w:r>
              <w:rPr>
                <w:sz w:val="18"/>
              </w:rPr>
              <w:t>Transfer Practice 2 completed.</w:t>
            </w:r>
          </w:p>
        </w:tc>
        <w:tc>
          <w:tcPr>
            <w:tcW w:type="dxa" w:w="936"/>
            <w:vAlign w:val="top"/>
          </w:tcPr>
          <w:p>
            <w:pPr>
              <w:spacing w:after="0"/>
            </w:pPr>
            <w:r>
              <w:rPr>
                <w:sz w:val="18"/>
              </w:rPr>
              <w:t>0 / 1</w:t>
            </w:r>
          </w:p>
        </w:tc>
      </w:tr>
      <w:tr>
        <w:tc>
          <w:tcPr>
            <w:tcW w:type="dxa" w:w="648"/>
            <w:vAlign w:val="top"/>
          </w:tcPr>
          <w:p>
            <w:pPr>
              <w:spacing w:after="0"/>
            </w:pPr>
            <w:r>
              <w:rPr>
                <w:sz w:val="18"/>
              </w:rPr>
              <w:t>9</w:t>
            </w:r>
          </w:p>
        </w:tc>
        <w:tc>
          <w:tcPr>
            <w:tcW w:type="dxa" w:w="8712"/>
            <w:vAlign w:val="top"/>
          </w:tcPr>
          <w:p>
            <w:pPr>
              <w:spacing w:after="0"/>
            </w:pPr>
            <w:r>
              <w:rPr>
                <w:sz w:val="18"/>
              </w:rPr>
              <w:t>Teach-back completed and obvious misunderstandings corrected.</w:t>
            </w:r>
          </w:p>
        </w:tc>
        <w:tc>
          <w:tcPr>
            <w:tcW w:type="dxa" w:w="936"/>
            <w:vAlign w:val="top"/>
          </w:tcPr>
          <w:p>
            <w:pPr>
              <w:spacing w:after="0"/>
            </w:pPr>
            <w:r>
              <w:rPr>
                <w:sz w:val="18"/>
              </w:rPr>
              <w:t>0 / 1</w:t>
            </w:r>
          </w:p>
        </w:tc>
      </w:tr>
      <w:tr>
        <w:tc>
          <w:tcPr>
            <w:tcW w:type="dxa" w:w="648"/>
            <w:vAlign w:val="top"/>
          </w:tcPr>
          <w:p>
            <w:pPr>
              <w:spacing w:after="0"/>
            </w:pPr>
            <w:r>
              <w:rPr>
                <w:sz w:val="18"/>
              </w:rPr>
              <w:t>10</w:t>
            </w:r>
          </w:p>
        </w:tc>
        <w:tc>
          <w:tcPr>
            <w:tcW w:type="dxa" w:w="8712"/>
            <w:vAlign w:val="top"/>
          </w:tcPr>
          <w:p>
            <w:pPr>
              <w:spacing w:after="0"/>
            </w:pPr>
            <w:r>
              <w:rPr>
                <w:sz w:val="18"/>
              </w:rPr>
              <w:t>Total duration remained within the planned range and no additional arm-specific material was introduced.</w:t>
            </w:r>
          </w:p>
        </w:tc>
        <w:tc>
          <w:tcPr>
            <w:tcW w:type="dxa" w:w="936"/>
            <w:vAlign w:val="top"/>
          </w:tcPr>
          <w:p>
            <w:pPr>
              <w:spacing w:after="0"/>
            </w:pPr>
            <w:r>
              <w:rPr>
                <w:sz w:val="18"/>
              </w:rPr>
              <w:t>0 / 1</w:t>
            </w:r>
          </w:p>
        </w:tc>
      </w:tr>
    </w:tbl>
    <w:p>
      <w:pPr>
        <w:pStyle w:val="Heading1"/>
        <w:spacing w:after="80"/>
      </w:pPr>
      <w:r>
        <w:t>S9. Follow-up-only checks</w:t>
      </w:r>
    </w:p>
    <w:p>
      <w:pPr>
        <w:spacing w:after="80"/>
      </w:pPr>
      <w:r>
        <w:t>T1 manipulation checks ask whether the recent education was perceived as relevant to the participant’s own problems and whether examples resembled situations in which the participant might hesitate. T2 includes six enacted-protective-behaviour items (pause/re-verify; refuse unfamiliar links/software; refuse codes/passwords/screen sharing; independently locate official channels; seek trusted verification; block/report) and contamination/external-exposure questions covering other anti-fraud publicity and cross-village sharing of study materials.</w:t>
      </w:r>
    </w:p>
    <w:p>
      <w:pPr>
        <w:pStyle w:val="Heading1"/>
        <w:spacing w:after="80"/>
      </w:pPr>
      <w:r>
        <w:t>S9A. Item-level synthetic data-generating mechanism</w:t>
      </w:r>
    </w:p>
    <w:p>
      <w:pPr>
        <w:spacing w:after="80"/>
      </w:pPr>
      <w:r>
        <w:t>The data-generating process begins with item responses rather than continuous composite scores. DSC1–DSC5 are generated as discrete 0/1/2 responses and summed exactly to DSCI (0–10). Perceived susceptibility, perceived severity, self-efficacy, response efficacy and protective intention are each generated as three discrete 1–5 Likert items. At each wave, every scenario generates Q1 (fraud judgement, 1–5), Q2 (willingness to continue, 1–5) and Q3 (first intended action, A–F). SBFSS, Recognition, False Alarm, Hit Rate and all PMT scale means are calculated only after these item responses exist. Consequently, SBFSS occurs in 0.2 increments and False Alarm in 0.2 increments, matching the stated measurement rules.</w:t>
      </w:r>
    </w:p>
    <w:p>
      <w:pPr>
        <w:spacing w:after="80"/>
      </w:pPr>
      <w:r>
        <w:t>At T0, each fraudulent diagnostic scenario yields Judgement Risk=(5−Q1)/4, Compliance Risk=(Q2−1)/4 and Response Risk (A/B=1; F=0.5; C/D/E=0). Domain Risk is the equal-weight mean of the three components multiplied by 100. The five resulting M1–M5 risk scores are ranked for each participant; the two highest define the targeted pair. Fixed-seed infinitesimal jitter resolves exact ties without materially changing risk values. Follow-up domain states are then modified by common education, exposure to the modules actually assigned, participant–module alignment and contamination terms. No direct Targeted×Time coefficient is inserted into SBFSS.</w:t>
      </w:r>
    </w:p>
    <w:p>
      <w:pPr>
        <w:pStyle w:val="Heading1"/>
        <w:spacing w:after="80"/>
      </w:pPr>
      <w:r>
        <w:t>S9B. Release-blocking DGP and allocation audits</w:t>
      </w:r>
    </w:p>
    <w:p>
      <w:pPr>
        <w:spacing w:after="80"/>
      </w:pPr>
      <w:r>
        <w:t>The frozen dataset passes release-blocking checks implemented in the reproducibility code prepared for confidential peer review through the journal’s Dataverse repository. DSCI equals the DSC1–DSC5 sum for all 960 participants; DSCI values are integer 0–10; T0/T1/T2 SBFSS values have exact 0.2-step granularity; T0/T1/T2 false-alarm values have exact 0.2-step granularity; and all 480 targeted participants receive their top-two domain-risk modules. Arm-level module counts are exactly matched: M1 203/203, M2 181/181, M3 202/202, M4 145/145 and M5 229/229 in targeted/control arms. Mean overlap between assigned and own top-two modules is 2.000 in the targeted arm and 0.798 in active control, confirming that the control pairing is not profile targeted.</w:t>
      </w:r>
    </w:p>
    <w:p>
      <w:pPr>
        <w:pStyle w:val="Heading1"/>
        <w:spacing w:after="80"/>
      </w:pPr>
      <w:r>
        <w:t>S9C. Missingness mechanism</w:t>
      </w:r>
    </w:p>
    <w:p>
      <w:pPr>
        <w:spacing w:after="80"/>
      </w:pPr>
      <w:r>
        <w:t>Worked-data T1 and T2 missingness is monotone and generated under a calibrated missing-at-random mechanism. T1 retention probability is logistic in baseline SBFSS, DSCI and previous victimisation, with an expected attrition target of 15%; T2 adds further follow-up loss to an overall target of 22%. The frozen worked realisation contains T1 outcomes for 819 of 960 participants and T2 outcomes for 752. Mixed models use all available repeated outcomes under their likelihood assumptions; the sensitivity analyses include per-protocol, contamination-exclusion and cluster-robust ANCOVA specifications.</w:t>
      </w:r>
    </w:p>
    <w:p>
      <w:pPr>
        <w:pStyle w:val="Heading1"/>
        <w:spacing w:after="80"/>
      </w:pPr>
      <w:r>
        <w:t>S9D. ADEMP Monte Carlo operating-characteristic specification</w:t>
      </w:r>
    </w:p>
    <w:p>
      <w:pPr>
        <w:spacing w:after="80"/>
      </w:pPr>
      <w:r>
        <w:t>The Monte Carlo component follows the ADEMP framework of Morris, White and Crowther (2019): Aims, Data-generating mechanisms, Estimands, Methods and Performance measures. The aim is to assess the planned T1 treatment contrast under null, smaller-effect and worked-effect mechanisms. The data-generating mechanism retains discrete item responses, T0 risk scoring, actual module allocation, variable cluster sizes and MAR T1 attrition. The estimand is the targeted-versus-active-control T1 SBFSS contrast conditional on baseline SBFSS. The planning analysis is T1 ANCOVA with village-cluster sandwich standard errors and a t(G−2) reference distribution. Performance measures are rejection probability, MCSE, empirical SD of estimates, mean 95% CI width, realised baseline ICC, T1 retention and valid-replication rate.</w:t>
      </w:r>
    </w:p>
    <w:p>
      <w:pPr>
        <w:spacing w:after="80"/>
      </w:pPr>
      <w:r>
        <w:t>The Monte Carlo seed is 2026081602 and each of six scenarios uses 500 independent replications. Requested baseline ICCs are 0.05 and 0.07; village-level capability and risk latent-effect standard deviations are scaled by √(requested ICC/0.05), after which the realised SBFSS ICC is recalculated because SBFSS is an ordinal item aggregate. Cluster-size CV is 0.1507. Expected T1 attrition is 15% under the MAR model. Non-null scenarios use module/alignment mechanism scales of 0.45 (smaller) and 0.55 (worked), which are generator multipliers rather than standardised effect sizes.</w:t>
      </w:r>
    </w:p>
    <w:p>
      <w:pPr>
        <w:spacing w:after="80"/>
      </w:pPr>
      <w:r>
        <w:t>Across 500 replications, all scenarios produced valid estimates. Null rejection probabilities were 0.058 (MCSE 0.010) at requested ICC=0.05 and 0.054 (MCSE 0.010) at ICC=0.07. Rejection probabilities for the smaller-effect scale were 0.928 and 0.944, and for the worked-effect scale 0.988 and 0.982. Mean T1 retention was approximately 0.85 and mean realised baseline ICCs tracked the requested values. These values describe operating characteristics only under the declared generator.</w:t>
      </w:r>
    </w:p>
    <w:p>
      <w:pPr>
        <w:spacing w:after="80"/>
      </w:pPr>
      <w:r>
        <w:t>Reference for simulation reporting: Morris TP, White IR, Crowther MJ (2019) Using simulation studies to evaluate statistical methods. Statistics in Medicine 38(11):2074–2102. https://doi.org/10.1002/sim.8086</w:t>
      </w:r>
    </w:p>
    <w:p>
      <w:pPr>
        <w:pStyle w:val="Heading1"/>
        <w:spacing w:after="80"/>
      </w:pPr>
      <w:r>
        <w:t>S10. Reproducibility file map and interpretive boundary</w:t>
      </w:r>
    </w:p>
    <w:p>
      <w:pPr>
        <w:spacing w:after="80"/>
      </w:pPr>
      <w:r>
        <w:t>Supplementary Data 1 contains the frozen item-level synthetic participant data, DSC1–DSC5, all T0/T1/T2 PMT items, all A/B/C scenario Q1/Q2/Q3 responses, calculated scores, M1–M5 domain-risk scores, actual module assignments, DGP audits and model/Monte Carlo output tables. The reproducibility code supplied confidentially through the journal’s Dataverse repository is the computational source of truth: it generates the item-level data, scores and allocations, fits all reported analyses, executes the ADEMP Monte Carlo scenarios and regenerates Figs. 1–4. None of these files provides evidence that the intervention is effective in real rural communities; that question requires an ethically approved, prospectively registered field trial.</w:t>
      </w:r>
    </w:p>
    <w:sectPr>
      <w:pgSz w:w="12240" w:h="15840"/>
      <w:pgMar w:top="1152" w:right="1224" w:bottom="1152" w:left="12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Times New Roman" w:hAnsi="Times New Roman" w:eastAsia="Times New Roman"/>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Times New Roman" w:hAnsi="Times New Roman" w:eastAsia="Times New Roman"/>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Times New Roman" w:hAnsi="Times New Roman" w:eastAsia="Times New Roman"/>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2013-12-23T23:15:00Z</dcterms:created>
  <dcterms:modified xsi:type="dcterms:W3CDTF">2013-12-23T23:15:00Z</dcterms:modified>
  <cp:category/>
</cp:coreProperties>
</file>