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F67EF">
      <w:pPr>
        <w:spacing w:line="360" w:lineRule="auto"/>
        <w:rPr>
          <w:rFonts w:cs="Arial"/>
          <w:b/>
          <w:sz w:val="21"/>
          <w:szCs w:val="21"/>
        </w:rPr>
      </w:pPr>
      <w:bookmarkStart w:id="1" w:name="_GoBack"/>
      <w:bookmarkEnd w:id="1"/>
      <w:r>
        <w:rPr>
          <w:rFonts w:cs="Arial"/>
          <w:b/>
          <w:sz w:val="21"/>
          <w:szCs w:val="21"/>
        </w:rPr>
        <w:drawing>
          <wp:inline distT="0" distB="0" distL="0" distR="0">
            <wp:extent cx="5246370" cy="1757045"/>
            <wp:effectExtent l="0" t="0" r="0" b="0"/>
            <wp:docPr id="16506541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654176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015" cy="1768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FE9B3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 </w:t>
      </w:r>
      <w:r>
        <w:rPr>
          <w:rFonts w:ascii="Times New Roman" w:hAnsi="Times New Roman" w:eastAsia="Times New Roman" w:cs="Times New Roman"/>
          <w:sz w:val="20"/>
          <w:szCs w:val="20"/>
        </w:rPr>
        <w:t>Ground and building collapse caused by tunnel excavation: (a) ground subsidence; (b) inclination deformation of adjacent structures.</w:t>
      </w:r>
    </w:p>
    <w:p w14:paraId="0BE362A9">
      <w:pPr>
        <w:spacing w:line="480" w:lineRule="auto"/>
        <w:rPr>
          <w:rFonts w:cs="Arial"/>
          <w:sz w:val="21"/>
          <w:szCs w:val="21"/>
        </w:rPr>
      </w:pPr>
      <w:r>
        <w:drawing>
          <wp:inline distT="0" distB="0" distL="114300" distR="114300">
            <wp:extent cx="5267325" cy="4930140"/>
            <wp:effectExtent l="0" t="0" r="3175" b="10160"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93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F8B16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2 </w:t>
      </w:r>
      <w:r>
        <w:rPr>
          <w:rFonts w:ascii="Times New Roman" w:hAnsi="Times New Roman" w:eastAsia="Times New Roman" w:cs="Times New Roman"/>
          <w:sz w:val="20"/>
          <w:szCs w:val="20"/>
        </w:rPr>
        <w:t>Geographical location and strata crossed by the Qingdao Jiaozhou Bay Subsea Tunnel.</w:t>
      </w:r>
    </w:p>
    <w:p w14:paraId="7170A969">
      <w:pPr>
        <w:spacing w:line="480" w:lineRule="auto"/>
        <w:rPr>
          <w:rFonts w:cs="Arial"/>
          <w:sz w:val="21"/>
          <w:szCs w:val="21"/>
        </w:rPr>
      </w:pPr>
    </w:p>
    <w:p w14:paraId="0A2020AD">
      <w:pPr>
        <w:spacing w:line="480" w:lineRule="auto"/>
        <w:rPr>
          <w:rFonts w:cs="Arial"/>
          <w:sz w:val="21"/>
          <w:szCs w:val="21"/>
        </w:rPr>
      </w:pPr>
      <w:r>
        <w:drawing>
          <wp:inline distT="0" distB="0" distL="114300" distR="114300">
            <wp:extent cx="4084320" cy="2389505"/>
            <wp:effectExtent l="0" t="0" r="5080" b="10795"/>
            <wp:docPr id="5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432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0777A">
      <w:pPr>
        <w:spacing w:line="480" w:lineRule="auto"/>
        <w:jc w:val="left"/>
        <w:rPr>
          <w:rFonts w:cs="Arial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Figure 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Components of the similarmaterial.</w:t>
      </w:r>
      <w:r>
        <w:rPr>
          <w:rFonts w:cs="Arial"/>
          <w:sz w:val="21"/>
          <w:szCs w:val="21"/>
        </w:rPr>
        <w:drawing>
          <wp:inline distT="0" distB="0" distL="0" distR="0">
            <wp:extent cx="4962525" cy="6010910"/>
            <wp:effectExtent l="0" t="0" r="0" b="8890"/>
            <wp:docPr id="21464574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457431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601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D71E5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4 </w:t>
      </w:r>
      <w:r>
        <w:rPr>
          <w:rFonts w:ascii="Times New Roman" w:hAnsi="Times New Roman" w:cs="Times New Roman"/>
          <w:sz w:val="20"/>
          <w:szCs w:val="20"/>
        </w:rPr>
        <w:t>Geomechanical model test system: (a) model test system; (b) layout of the model box and stress-loading device; (c) data-acquisition system; (d) surface-building model; (e) sensors used in the model test.</w:t>
      </w:r>
    </w:p>
    <w:p w14:paraId="4C8B6571">
      <w:pPr>
        <w:spacing w:line="480" w:lineRule="auto"/>
        <w:rPr>
          <w:rFonts w:cs="Arial"/>
          <w:sz w:val="21"/>
          <w:szCs w:val="21"/>
        </w:rPr>
      </w:pPr>
      <w:r>
        <w:drawing>
          <wp:inline distT="0" distB="0" distL="114300" distR="114300">
            <wp:extent cx="5521325" cy="2928620"/>
            <wp:effectExtent l="0" t="0" r="3175" b="508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132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02493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5 </w:t>
      </w:r>
      <w:r>
        <w:rPr>
          <w:rFonts w:ascii="Times New Roman" w:hAnsi="Times New Roman" w:eastAsia="Times New Roman" w:cs="Times New Roman"/>
          <w:sz w:val="20"/>
          <w:szCs w:val="20"/>
        </w:rPr>
        <w:t>Layout of monitoring points in the geomechanical model test.</w:t>
      </w:r>
    </w:p>
    <w:p w14:paraId="405D5E5C">
      <w:pPr>
        <w:spacing w:line="480" w:lineRule="auto"/>
        <w:jc w:val="center"/>
        <w:rPr>
          <w:rFonts w:cs="Arial"/>
          <w:b/>
          <w:bCs/>
          <w:sz w:val="21"/>
          <w:szCs w:val="21"/>
        </w:rPr>
      </w:pPr>
      <w:r>
        <w:drawing>
          <wp:inline distT="0" distB="0" distL="114300" distR="114300">
            <wp:extent cx="3854450" cy="2703195"/>
            <wp:effectExtent l="0" t="0" r="6350" b="1905"/>
            <wp:docPr id="6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54450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F1B11">
      <w:pPr>
        <w:spacing w:line="480" w:lineRule="auto"/>
        <w:jc w:val="left"/>
        <w:rPr>
          <w:rFonts w:cs="Arial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6 </w:t>
      </w:r>
      <w:bookmarkStart w:id="0" w:name="OLE_LINK17"/>
      <w:r>
        <w:rPr>
          <w:rFonts w:ascii="Times New Roman" w:hAnsi="Times New Roman" w:eastAsia="Times New Roman" w:cs="Times New Roman"/>
          <w:bCs/>
          <w:sz w:val="20"/>
          <w:szCs w:val="20"/>
        </w:rPr>
        <w:t>Simulated excavation sequence using the central diaphragm method.</w:t>
      </w:r>
      <w:bookmarkEnd w:id="0"/>
      <w:r>
        <w:drawing>
          <wp:inline distT="0" distB="0" distL="114300" distR="114300">
            <wp:extent cx="5265420" cy="4018915"/>
            <wp:effectExtent l="0" t="0" r="508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8232E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7 </w:t>
      </w:r>
      <w:r>
        <w:rPr>
          <w:rFonts w:ascii="Times New Roman" w:hAnsi="Times New Roman" w:eastAsia="Times New Roman" w:cs="Times New Roman"/>
          <w:sz w:val="20"/>
          <w:szCs w:val="20"/>
        </w:rPr>
        <w:t>Evolution of vertical displacement around the tunnel: (a) monitoring points at the tunnel crown; (b) monitoring points at the left springline; (c) monitoring points at the right springline.</w:t>
      </w:r>
    </w:p>
    <w:p w14:paraId="5639EB3D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5270500" cy="2164080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4FA08">
      <w:pPr>
        <w:spacing w:line="48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Figure 8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 Evolution of stress in the tunnel surrounding rock: (a) monitoring points at the tunnel crown; (b) monitoring points at the tunnel springline.</w:t>
      </w:r>
    </w:p>
    <w:p w14:paraId="1FB8A354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3890010" cy="2977515"/>
            <wp:effectExtent l="0" t="0" r="889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9001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34EFD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9 </w:t>
      </w:r>
      <w:r>
        <w:rPr>
          <w:rFonts w:ascii="Times New Roman" w:hAnsi="Times New Roman" w:eastAsia="Times New Roman" w:cs="Times New Roman"/>
          <w:sz w:val="20"/>
          <w:szCs w:val="20"/>
        </w:rPr>
        <w:t>Evolution of seepage pressure in the surrounding rock.</w:t>
      </w:r>
    </w:p>
    <w:p w14:paraId="0DD17C0C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3888105" cy="2977515"/>
            <wp:effectExtent l="0" t="0" r="10795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8105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22D56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10 </w:t>
      </w:r>
      <w:r>
        <w:rPr>
          <w:rFonts w:ascii="Times New Roman" w:hAnsi="Times New Roman" w:eastAsia="Times New Roman" w:cs="Times New Roman"/>
          <w:sz w:val="20"/>
          <w:szCs w:val="20"/>
        </w:rPr>
        <w:t>Ground-surface settlement-trough curves and stratum deformation.</w:t>
      </w:r>
    </w:p>
    <w:p w14:paraId="1E3E5C3D">
      <w:pPr>
        <w:spacing w:line="480" w:lineRule="auto"/>
        <w:rPr>
          <w:rFonts w:cs="Arial"/>
          <w:sz w:val="21"/>
          <w:szCs w:val="21"/>
        </w:rPr>
      </w:pPr>
    </w:p>
    <w:p w14:paraId="5965461B">
      <w:pPr>
        <w:spacing w:line="480" w:lineRule="auto"/>
        <w:rPr>
          <w:rFonts w:cs="Arial"/>
          <w:sz w:val="21"/>
          <w:szCs w:val="21"/>
        </w:rPr>
      </w:pPr>
    </w:p>
    <w:p w14:paraId="1D3F719F">
      <w:pPr>
        <w:spacing w:line="480" w:lineRule="auto"/>
        <w:rPr>
          <w:rFonts w:cs="Arial"/>
          <w:sz w:val="21"/>
          <w:szCs w:val="21"/>
        </w:rPr>
      </w:pPr>
      <w:r>
        <w:drawing>
          <wp:inline distT="0" distB="0" distL="114300" distR="114300">
            <wp:extent cx="5665470" cy="2328545"/>
            <wp:effectExtent l="0" t="0" r="11430" b="825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547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22E3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11 </w:t>
      </w:r>
      <w:r>
        <w:rPr>
          <w:rFonts w:ascii="Times New Roman" w:hAnsi="Times New Roman" w:eastAsia="Times New Roman" w:cs="Times New Roman"/>
          <w:sz w:val="20"/>
          <w:szCs w:val="20"/>
        </w:rPr>
        <w:t>Strain evolution of the frame structure: (a) additional strain at the beam-column joints on the ground floor; (b) additional strain on the building surface.</w:t>
      </w:r>
    </w:p>
    <w:p w14:paraId="022E3C7B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3562350" cy="1875155"/>
            <wp:effectExtent l="0" t="0" r="6350" b="0"/>
            <wp:docPr id="7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BA1D7">
      <w:pPr>
        <w:spacing w:before="40" w:after="100"/>
        <w:rPr>
          <w:rFonts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12 </w:t>
      </w:r>
      <w:r>
        <w:rPr>
          <w:rFonts w:ascii="Times New Roman" w:hAnsi="Times New Roman" w:eastAsia="Times New Roman" w:cs="Times New Roman"/>
          <w:sz w:val="20"/>
          <w:szCs w:val="20"/>
        </w:rPr>
        <w:t>Schematic diagram of the numerical model.</w:t>
      </w:r>
    </w:p>
    <w:p w14:paraId="2EBFE6D3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4942840" cy="2707005"/>
            <wp:effectExtent l="0" t="0" r="10160" b="0"/>
            <wp:docPr id="7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42840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C7B4D">
      <w:pPr>
        <w:spacing w:before="40" w:after="100"/>
        <w:rPr>
          <w:rFonts w:ascii="Times New Roman" w:hAnsi="Times New Roman" w:eastAsia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13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>Relative position of the tunnel and the building.</w:t>
      </w:r>
    </w:p>
    <w:p w14:paraId="0C15C98A">
      <w:pPr>
        <w:spacing w:line="480" w:lineRule="auto"/>
        <w:jc w:val="center"/>
        <w:rPr>
          <w:rFonts w:cs="Arial"/>
          <w:b/>
          <w:bCs/>
          <w:sz w:val="21"/>
          <w:szCs w:val="21"/>
        </w:rPr>
      </w:pPr>
      <w:r>
        <w:drawing>
          <wp:inline distT="0" distB="0" distL="114300" distR="114300">
            <wp:extent cx="5123815" cy="4604385"/>
            <wp:effectExtent l="0" t="0" r="6985" b="5715"/>
            <wp:docPr id="7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460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749B4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14 </w:t>
      </w:r>
      <w:r>
        <w:rPr>
          <w:rFonts w:ascii="Times New Roman" w:hAnsi="Times New Roman" w:eastAsia="Times New Roman" w:cs="Times New Roman"/>
          <w:sz w:val="20"/>
          <w:szCs w:val="20"/>
        </w:rPr>
        <w:t>Contours of overall vertical displacement under different cases: (a) Case 1; (b) Case 2; (c) Case 3; (d) Case 4; (e) Case 5.</w:t>
      </w:r>
    </w:p>
    <w:p w14:paraId="75D3AD33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5265420" cy="4058920"/>
            <wp:effectExtent l="0" t="0" r="5080" b="508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0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6A2E4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15 </w:t>
      </w:r>
      <w:r>
        <w:rPr>
          <w:rFonts w:ascii="Times New Roman" w:hAnsi="Times New Roman" w:cs="Times New Roman"/>
          <w:sz w:val="20"/>
          <w:szCs w:val="20"/>
        </w:rPr>
        <w:t>Comparison of deformation patterns under different cases: (a) crown displacement; (b) ground-surface settlement.</w:t>
      </w:r>
    </w:p>
    <w:p w14:paraId="5F707ABB">
      <w:pPr>
        <w:spacing w:line="480" w:lineRule="auto"/>
        <w:jc w:val="center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drawing>
          <wp:inline distT="0" distB="0" distL="0" distR="0">
            <wp:extent cx="4260850" cy="5348605"/>
            <wp:effectExtent l="0" t="0" r="6350" b="4445"/>
            <wp:docPr id="9817457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745715" name="图片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0545" cy="536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4E1BD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16 </w:t>
      </w:r>
      <w:r>
        <w:rPr>
          <w:rFonts w:ascii="Times New Roman" w:hAnsi="Times New Roman" w:eastAsia="Times New Roman" w:cs="Times New Roman"/>
          <w:sz w:val="20"/>
          <w:szCs w:val="20"/>
        </w:rPr>
        <w:t>Structural settlement under different working conditions: (a) settlement of the structure directly above the tunnel; (b) settlement of the second and third structures at different tunnel-offset positions; (c) structural settlement at different tunnel-excavation angles.</w:t>
      </w:r>
    </w:p>
    <w:p w14:paraId="0ACF9B79">
      <w:pPr>
        <w:spacing w:line="480" w:lineRule="auto"/>
        <w:rPr>
          <w:rFonts w:cs="Arial"/>
          <w:sz w:val="21"/>
          <w:szCs w:val="21"/>
        </w:rPr>
      </w:pPr>
    </w:p>
    <w:p w14:paraId="598C349E">
      <w:pPr>
        <w:spacing w:line="480" w:lineRule="auto"/>
        <w:rPr>
          <w:rFonts w:cs="Arial"/>
          <w:sz w:val="21"/>
          <w:szCs w:val="21"/>
        </w:rPr>
      </w:pPr>
    </w:p>
    <w:p w14:paraId="72CB6C0F">
      <w:pPr>
        <w:spacing w:line="480" w:lineRule="auto"/>
        <w:rPr>
          <w:rFonts w:cs="Arial"/>
          <w:sz w:val="21"/>
          <w:szCs w:val="21"/>
        </w:rPr>
      </w:pPr>
    </w:p>
    <w:p w14:paraId="00FD736A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5269865" cy="2970530"/>
            <wp:effectExtent l="0" t="0" r="635" b="1270"/>
            <wp:docPr id="7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2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520DC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17 </w:t>
      </w:r>
      <w:r>
        <w:rPr>
          <w:rFonts w:ascii="Times New Roman" w:hAnsi="Times New Roman" w:eastAsia="Times New Roman" w:cs="Times New Roman"/>
          <w:sz w:val="20"/>
          <w:szCs w:val="20"/>
        </w:rPr>
        <w:t>Principal-stress contours of the surrounding rock: (a) first principal stress before fluid-solid coupling; (b) first principal stress after fluid-solid coupling; (c) third principal stress before fluid-solid coupling; (d) third principal stress after fluid-solid coupling.</w:t>
      </w:r>
    </w:p>
    <w:p w14:paraId="637F4DE4">
      <w:pPr>
        <w:spacing w:line="480" w:lineRule="auto"/>
        <w:rPr>
          <w:rFonts w:cs="Arial"/>
          <w:sz w:val="21"/>
          <w:szCs w:val="21"/>
        </w:rPr>
      </w:pPr>
    </w:p>
    <w:p w14:paraId="25DC1CF4">
      <w:pPr>
        <w:spacing w:line="480" w:lineRule="auto"/>
        <w:rPr>
          <w:rFonts w:cs="Arial"/>
          <w:sz w:val="21"/>
          <w:szCs w:val="21"/>
        </w:rPr>
      </w:pPr>
    </w:p>
    <w:p w14:paraId="084F74D7">
      <w:pPr>
        <w:spacing w:line="480" w:lineRule="auto"/>
        <w:rPr>
          <w:rFonts w:cs="Arial"/>
          <w:sz w:val="21"/>
          <w:szCs w:val="21"/>
        </w:rPr>
      </w:pPr>
    </w:p>
    <w:p w14:paraId="6B42186C">
      <w:pPr>
        <w:spacing w:line="480" w:lineRule="auto"/>
        <w:rPr>
          <w:rFonts w:cs="Arial"/>
          <w:sz w:val="21"/>
          <w:szCs w:val="21"/>
        </w:rPr>
      </w:pPr>
    </w:p>
    <w:p w14:paraId="61AFC98A">
      <w:pPr>
        <w:spacing w:line="480" w:lineRule="auto"/>
        <w:rPr>
          <w:rFonts w:cs="Arial"/>
          <w:sz w:val="21"/>
          <w:szCs w:val="21"/>
        </w:rPr>
      </w:pPr>
    </w:p>
    <w:p w14:paraId="2FD398F6">
      <w:pPr>
        <w:spacing w:line="480" w:lineRule="auto"/>
        <w:rPr>
          <w:rFonts w:cs="Arial"/>
          <w:sz w:val="21"/>
          <w:szCs w:val="21"/>
        </w:rPr>
      </w:pPr>
    </w:p>
    <w:p w14:paraId="639FE96F">
      <w:pPr>
        <w:spacing w:line="480" w:lineRule="auto"/>
        <w:rPr>
          <w:rFonts w:cs="Arial"/>
          <w:sz w:val="21"/>
          <w:szCs w:val="21"/>
        </w:rPr>
      </w:pPr>
    </w:p>
    <w:p w14:paraId="08CB3FE3">
      <w:pPr>
        <w:spacing w:line="480" w:lineRule="auto"/>
        <w:rPr>
          <w:rFonts w:cs="Arial"/>
          <w:sz w:val="21"/>
          <w:szCs w:val="21"/>
        </w:rPr>
      </w:pPr>
    </w:p>
    <w:p w14:paraId="785EA4E7">
      <w:pPr>
        <w:spacing w:line="480" w:lineRule="auto"/>
        <w:rPr>
          <w:rFonts w:cs="Arial"/>
          <w:sz w:val="21"/>
          <w:szCs w:val="21"/>
        </w:rPr>
      </w:pPr>
    </w:p>
    <w:p w14:paraId="61E93005">
      <w:pPr>
        <w:spacing w:line="480" w:lineRule="auto"/>
        <w:rPr>
          <w:rFonts w:cs="Arial"/>
          <w:sz w:val="21"/>
          <w:szCs w:val="21"/>
        </w:rPr>
      </w:pPr>
    </w:p>
    <w:p w14:paraId="49E424A1">
      <w:pPr>
        <w:spacing w:line="480" w:lineRule="auto"/>
        <w:rPr>
          <w:rFonts w:cs="Arial"/>
          <w:sz w:val="21"/>
          <w:szCs w:val="21"/>
        </w:rPr>
      </w:pPr>
    </w:p>
    <w:p w14:paraId="505E1525">
      <w:pPr>
        <w:spacing w:line="480" w:lineRule="auto"/>
        <w:rPr>
          <w:rFonts w:cs="Arial"/>
          <w:sz w:val="21"/>
          <w:szCs w:val="21"/>
        </w:rPr>
      </w:pPr>
    </w:p>
    <w:p w14:paraId="445E126B">
      <w:pPr>
        <w:spacing w:line="480" w:lineRule="auto"/>
        <w:rPr>
          <w:rFonts w:cs="Arial"/>
          <w:sz w:val="21"/>
          <w:szCs w:val="21"/>
        </w:rPr>
      </w:pPr>
      <w:r>
        <w:drawing>
          <wp:inline distT="0" distB="0" distL="114300" distR="114300">
            <wp:extent cx="5267325" cy="5448300"/>
            <wp:effectExtent l="0" t="0" r="3175" b="0"/>
            <wp:docPr id="8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D826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18 </w:t>
      </w:r>
      <w:r>
        <w:rPr>
          <w:rFonts w:ascii="Times New Roman" w:hAnsi="Times New Roman" w:cs="Times New Roman"/>
          <w:sz w:val="20"/>
          <w:szCs w:val="20"/>
        </w:rPr>
        <w:t>Structural internal-force diagrams under different working conditions: (a) axial force at different tunnel-offset positions beneath the building; (b) axial force for the tunnel passing beneath the building at different angles; (c) shear force of the building foundation before and after tunnel excavation.</w:t>
      </w:r>
    </w:p>
    <w:p w14:paraId="67F574E0">
      <w:pPr>
        <w:spacing w:line="480" w:lineRule="auto"/>
        <w:rPr>
          <w:rFonts w:cs="Arial"/>
          <w:sz w:val="21"/>
          <w:szCs w:val="21"/>
        </w:rPr>
      </w:pPr>
      <w:r>
        <w:rPr>
          <w:rFonts w:hint="eastAsia" w:cs="Arial"/>
          <w:sz w:val="21"/>
          <w:szCs w:val="21"/>
        </w:rPr>
        <w:t>.</w:t>
      </w:r>
    </w:p>
    <w:p w14:paraId="4E91A5B1">
      <w:pPr>
        <w:spacing w:line="480" w:lineRule="auto"/>
        <w:rPr>
          <w:rFonts w:cs="Arial"/>
          <w:sz w:val="21"/>
          <w:szCs w:val="21"/>
        </w:rPr>
      </w:pPr>
    </w:p>
    <w:p w14:paraId="448E5BDB">
      <w:pPr>
        <w:spacing w:line="480" w:lineRule="auto"/>
        <w:rPr>
          <w:rFonts w:cs="Arial"/>
          <w:sz w:val="21"/>
          <w:szCs w:val="21"/>
        </w:rPr>
      </w:pPr>
    </w:p>
    <w:p w14:paraId="2466B142">
      <w:pPr>
        <w:spacing w:line="480" w:lineRule="auto"/>
        <w:rPr>
          <w:rFonts w:cs="Arial"/>
          <w:sz w:val="21"/>
          <w:szCs w:val="21"/>
        </w:rPr>
      </w:pPr>
    </w:p>
    <w:p w14:paraId="12AAFC82">
      <w:pPr>
        <w:spacing w:line="480" w:lineRule="auto"/>
        <w:rPr>
          <w:rFonts w:cs="Arial"/>
          <w:sz w:val="21"/>
          <w:szCs w:val="21"/>
        </w:rPr>
      </w:pPr>
    </w:p>
    <w:p w14:paraId="44A5BE4D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5615305" cy="1675130"/>
            <wp:effectExtent l="0" t="0" r="10795" b="1270"/>
            <wp:docPr id="8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2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5C5FE">
      <w:pPr>
        <w:spacing w:before="40" w:after="100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19 </w:t>
      </w:r>
      <w:r>
        <w:rPr>
          <w:rFonts w:ascii="Times New Roman" w:hAnsi="Times New Roman" w:eastAsia="Times New Roman" w:cs="Times New Roman"/>
          <w:sz w:val="20"/>
          <w:szCs w:val="20"/>
        </w:rPr>
        <w:t>Distribution of pore water pressure in the surrounding rock: (a) before tunnel excavation; (b) after tunnel excavation.</w:t>
      </w:r>
    </w:p>
    <w:p w14:paraId="144AE2F5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3884930" cy="2977515"/>
            <wp:effectExtent l="0" t="0" r="1270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67474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20 </w:t>
      </w:r>
      <w:r>
        <w:rPr>
          <w:rFonts w:ascii="Times New Roman" w:hAnsi="Times New Roman" w:eastAsia="Times New Roman" w:cs="Times New Roman"/>
          <w:sz w:val="20"/>
          <w:szCs w:val="20"/>
        </w:rPr>
        <w:t>Comparison of seepage-pressure and displacement curves at the crown monitoring points.</w:t>
      </w:r>
    </w:p>
    <w:p w14:paraId="2868895D">
      <w:pPr>
        <w:spacing w:line="480" w:lineRule="auto"/>
        <w:rPr>
          <w:rFonts w:cs="Arial"/>
          <w:sz w:val="21"/>
          <w:szCs w:val="21"/>
        </w:rPr>
      </w:pPr>
    </w:p>
    <w:p w14:paraId="4D6A8927">
      <w:pPr>
        <w:spacing w:line="480" w:lineRule="auto"/>
        <w:rPr>
          <w:rFonts w:cs="Arial"/>
          <w:sz w:val="21"/>
          <w:szCs w:val="21"/>
        </w:rPr>
      </w:pPr>
    </w:p>
    <w:p w14:paraId="0B1C8B3E">
      <w:pPr>
        <w:spacing w:line="480" w:lineRule="auto"/>
        <w:rPr>
          <w:rFonts w:cs="Arial"/>
          <w:sz w:val="21"/>
          <w:szCs w:val="21"/>
        </w:rPr>
      </w:pPr>
    </w:p>
    <w:p w14:paraId="6116767B">
      <w:pPr>
        <w:spacing w:line="480" w:lineRule="auto"/>
        <w:rPr>
          <w:rFonts w:cs="Arial"/>
          <w:sz w:val="21"/>
          <w:szCs w:val="21"/>
        </w:rPr>
      </w:pPr>
    </w:p>
    <w:p w14:paraId="35CC25ED">
      <w:pPr>
        <w:spacing w:line="480" w:lineRule="auto"/>
        <w:rPr>
          <w:rFonts w:cs="Arial"/>
          <w:sz w:val="21"/>
          <w:szCs w:val="21"/>
        </w:rPr>
      </w:pPr>
    </w:p>
    <w:p w14:paraId="73D7B562">
      <w:pPr>
        <w:spacing w:line="480" w:lineRule="auto"/>
        <w:jc w:val="center"/>
        <w:rPr>
          <w:rFonts w:cs="Arial"/>
          <w:sz w:val="21"/>
          <w:szCs w:val="21"/>
        </w:rPr>
      </w:pPr>
      <w:r>
        <w:drawing>
          <wp:inline distT="0" distB="0" distL="114300" distR="114300">
            <wp:extent cx="3888105" cy="2977515"/>
            <wp:effectExtent l="0" t="0" r="10795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88105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34614">
      <w:pPr>
        <w:spacing w:before="40" w:after="100"/>
        <w:rPr>
          <w:rFonts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21 </w:t>
      </w:r>
      <w:r>
        <w:rPr>
          <w:rFonts w:ascii="Times New Roman" w:hAnsi="Times New Roman" w:eastAsia="Times New Roman" w:cs="Times New Roman"/>
          <w:sz w:val="20"/>
          <w:szCs w:val="20"/>
        </w:rPr>
        <w:t>Comparison of surface settlement.</w:t>
      </w:r>
    </w:p>
    <w:p w14:paraId="4F522AAB">
      <w:pPr>
        <w:spacing w:line="480" w:lineRule="auto"/>
        <w:jc w:val="center"/>
        <w:rPr>
          <w:rFonts w:hint="eastAsia" w:cs="Arial"/>
          <w:sz w:val="21"/>
          <w:szCs w:val="21"/>
        </w:rPr>
      </w:pPr>
      <w:r>
        <w:drawing>
          <wp:inline distT="0" distB="0" distL="114300" distR="114300">
            <wp:extent cx="3888740" cy="2978150"/>
            <wp:effectExtent l="0" t="0" r="1016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88740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36798">
      <w:pPr>
        <w:spacing w:line="480" w:lineRule="auto"/>
        <w:rPr>
          <w:rFonts w:ascii="Times New Roman" w:hAnsi="Times New Roman" w:eastAsia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Figure 22 </w:t>
      </w:r>
      <w:r>
        <w:rPr>
          <w:rFonts w:ascii="Times New Roman" w:hAnsi="Times New Roman" w:eastAsia="Times New Roman" w:cs="Times New Roman"/>
          <w:bCs/>
          <w:sz w:val="20"/>
          <w:szCs w:val="20"/>
        </w:rPr>
        <w:t>Settlement and layout of monitoring points for the overlying-building section.</w:t>
      </w:r>
    </w:p>
    <w:p w14:paraId="77CE59B2">
      <w:pPr>
        <w:spacing w:line="480" w:lineRule="auto"/>
        <w:rPr>
          <w:rFonts w:cs="Arial"/>
          <w:sz w:val="21"/>
          <w:szCs w:val="21"/>
        </w:rPr>
      </w:pPr>
    </w:p>
    <w:p w14:paraId="4253FA4C">
      <w:pPr>
        <w:spacing w:line="480" w:lineRule="auto"/>
        <w:rPr>
          <w:rFonts w:cs="Arial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EE"/>
    <w:rsid w:val="0003034C"/>
    <w:rsid w:val="0008065F"/>
    <w:rsid w:val="00082C6B"/>
    <w:rsid w:val="000B226E"/>
    <w:rsid w:val="000B4B74"/>
    <w:rsid w:val="000C10EE"/>
    <w:rsid w:val="001030EC"/>
    <w:rsid w:val="00113635"/>
    <w:rsid w:val="00131D22"/>
    <w:rsid w:val="001A6D58"/>
    <w:rsid w:val="001B0852"/>
    <w:rsid w:val="002A6600"/>
    <w:rsid w:val="002C4ADB"/>
    <w:rsid w:val="002D0817"/>
    <w:rsid w:val="003E0743"/>
    <w:rsid w:val="003E71F0"/>
    <w:rsid w:val="00430D80"/>
    <w:rsid w:val="004425E7"/>
    <w:rsid w:val="0047239B"/>
    <w:rsid w:val="0054337E"/>
    <w:rsid w:val="00545AC2"/>
    <w:rsid w:val="00561273"/>
    <w:rsid w:val="005710F2"/>
    <w:rsid w:val="00582B6D"/>
    <w:rsid w:val="0059709C"/>
    <w:rsid w:val="005D1317"/>
    <w:rsid w:val="00616FF1"/>
    <w:rsid w:val="00617E56"/>
    <w:rsid w:val="006463B8"/>
    <w:rsid w:val="006704C6"/>
    <w:rsid w:val="00682DC5"/>
    <w:rsid w:val="006D02BB"/>
    <w:rsid w:val="006D114B"/>
    <w:rsid w:val="00845547"/>
    <w:rsid w:val="00883E33"/>
    <w:rsid w:val="00886F94"/>
    <w:rsid w:val="00890011"/>
    <w:rsid w:val="008A2E29"/>
    <w:rsid w:val="008D2A8C"/>
    <w:rsid w:val="00913324"/>
    <w:rsid w:val="0091698B"/>
    <w:rsid w:val="00917346"/>
    <w:rsid w:val="009445A4"/>
    <w:rsid w:val="0094774C"/>
    <w:rsid w:val="00A52B3C"/>
    <w:rsid w:val="00A564F8"/>
    <w:rsid w:val="00A607EA"/>
    <w:rsid w:val="00A64BC7"/>
    <w:rsid w:val="00AA0072"/>
    <w:rsid w:val="00AA3139"/>
    <w:rsid w:val="00AB10FA"/>
    <w:rsid w:val="00AC2E87"/>
    <w:rsid w:val="00AC491C"/>
    <w:rsid w:val="00B2751F"/>
    <w:rsid w:val="00B63493"/>
    <w:rsid w:val="00BC360B"/>
    <w:rsid w:val="00BE078D"/>
    <w:rsid w:val="00C106E1"/>
    <w:rsid w:val="00C13437"/>
    <w:rsid w:val="00C375FD"/>
    <w:rsid w:val="00C43AD2"/>
    <w:rsid w:val="00C44AE3"/>
    <w:rsid w:val="00C56E5F"/>
    <w:rsid w:val="00C64E54"/>
    <w:rsid w:val="00C76A45"/>
    <w:rsid w:val="00C86BEE"/>
    <w:rsid w:val="00CA350E"/>
    <w:rsid w:val="00CB2457"/>
    <w:rsid w:val="00CF1179"/>
    <w:rsid w:val="00D03CB4"/>
    <w:rsid w:val="00DB6A1A"/>
    <w:rsid w:val="00DC5992"/>
    <w:rsid w:val="00E03FF7"/>
    <w:rsid w:val="00E63CE0"/>
    <w:rsid w:val="00E712A9"/>
    <w:rsid w:val="00EA4468"/>
    <w:rsid w:val="00F45E7E"/>
    <w:rsid w:val="00F814C6"/>
    <w:rsid w:val="00FA4497"/>
    <w:rsid w:val="00FC295E"/>
    <w:rsid w:val="07F32070"/>
    <w:rsid w:val="138C5F4C"/>
    <w:rsid w:val="18F27F65"/>
    <w:rsid w:val="2B8B32CF"/>
    <w:rsid w:val="31E23333"/>
    <w:rsid w:val="334C5398"/>
    <w:rsid w:val="3F40267D"/>
    <w:rsid w:val="41E62FA8"/>
    <w:rsid w:val="4890721A"/>
    <w:rsid w:val="4E176003"/>
    <w:rsid w:val="53832834"/>
    <w:rsid w:val="5EAA07C9"/>
    <w:rsid w:val="5F9A4FEC"/>
    <w:rsid w:val="64AF460E"/>
    <w:rsid w:val="66320B8F"/>
    <w:rsid w:val="6971321D"/>
    <w:rsid w:val="6AF02113"/>
    <w:rsid w:val="6C2E7610"/>
    <w:rsid w:val="70A63110"/>
    <w:rsid w:val="71E20741"/>
    <w:rsid w:val="75362E0C"/>
    <w:rsid w:val="76530DD9"/>
    <w:rsid w:val="788725F8"/>
    <w:rsid w:val="7A1E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于月浩正文"/>
    <w:basedOn w:val="1"/>
    <w:qFormat/>
    <w:uiPriority w:val="0"/>
    <w:pPr>
      <w:spacing w:line="400" w:lineRule="exact"/>
      <w:ind w:firstLine="200" w:firstLineChars="200"/>
    </w:pPr>
    <w:rPr>
      <w:rFonts w:ascii="Times New Roman" w:hAnsi="Times New Roman" w:cs="Times New Roman"/>
      <w:szCs w:val="24"/>
    </w:rPr>
  </w:style>
  <w:style w:type="paragraph" w:customStyle="1" w:styleId="10">
    <w:name w:val="图题"/>
    <w:basedOn w:val="1"/>
    <w:next w:val="9"/>
    <w:qFormat/>
    <w:uiPriority w:val="0"/>
    <w:pPr>
      <w:snapToGrid w:val="0"/>
      <w:spacing w:before="120" w:after="120"/>
      <w:jc w:val="center"/>
    </w:pPr>
    <w:rPr>
      <w:rFonts w:ascii="Times New Roman" w:hAnsi="Times New Roman" w:cs="Times New Roman"/>
      <w:sz w:val="21"/>
      <w:szCs w:val="21"/>
    </w:rPr>
  </w:style>
  <w:style w:type="character" w:customStyle="1" w:styleId="11">
    <w:name w:val="15"/>
    <w:basedOn w:val="6"/>
    <w:qFormat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paragraph" w:customStyle="1" w:styleId="12">
    <w:name w:val="修订1"/>
    <w:hidden/>
    <w:unhideWhenUsed/>
    <w:qFormat/>
    <w:uiPriority w:val="99"/>
    <w:rPr>
      <w:rFonts w:ascii="Arial" w:hAnsi="Arial" w:eastAsia="宋体" w:cstheme="minorBidi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image" Target="media/image22.emf"/><Relationship Id="rId24" Type="http://schemas.openxmlformats.org/officeDocument/2006/relationships/image" Target="media/image21.emf"/><Relationship Id="rId23" Type="http://schemas.openxmlformats.org/officeDocument/2006/relationships/image" Target="media/image20.emf"/><Relationship Id="rId22" Type="http://schemas.openxmlformats.org/officeDocument/2006/relationships/image" Target="media/image19.emf"/><Relationship Id="rId21" Type="http://schemas.openxmlformats.org/officeDocument/2006/relationships/image" Target="media/image18.emf"/><Relationship Id="rId20" Type="http://schemas.openxmlformats.org/officeDocument/2006/relationships/image" Target="media/image17.emf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emf"/><Relationship Id="rId17" Type="http://schemas.openxmlformats.org/officeDocument/2006/relationships/image" Target="media/image14.emf"/><Relationship Id="rId16" Type="http://schemas.openxmlformats.org/officeDocument/2006/relationships/image" Target="media/image13.emf"/><Relationship Id="rId15" Type="http://schemas.openxmlformats.org/officeDocument/2006/relationships/image" Target="media/image12.emf"/><Relationship Id="rId14" Type="http://schemas.openxmlformats.org/officeDocument/2006/relationships/image" Target="media/image11.emf"/><Relationship Id="rId13" Type="http://schemas.openxmlformats.org/officeDocument/2006/relationships/image" Target="media/image10.emf"/><Relationship Id="rId12" Type="http://schemas.openxmlformats.org/officeDocument/2006/relationships/image" Target="media/image9.emf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415</Words>
  <Characters>2490</Characters>
  <Lines>418</Lines>
  <Paragraphs>270</Paragraphs>
  <TotalTime>3</TotalTime>
  <ScaleCrop>false</ScaleCrop>
  <LinksUpToDate>false</LinksUpToDate>
  <CharactersWithSpaces>2882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2025-08-28T08:25:00Z</dcterms:created>
  <dc:creator>Kong Fanmeng</dc:creator>
  <cp:lastModifiedBy>Ulevilo</cp:lastModifiedBy>
  <dcterms:modified xsi:type="dcterms:W3CDTF">2026-08-16T15:54:04Z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eyJoZGlkIjoiMjYxMzBmNjc4OTZkMDhhYzI5OTFlMGY3Yjk5NDU0ZmMiLCJ1c2VySWQiOiIxMTAxNzk0MDc1In0=</vt:lpwstr>
  </property>
  <property fmtid="{D5CDD505-2E9C-101B-9397-08002B2CF9AE}" pid="3" name="KSOProductBuildVer">
    <vt:lpwstr>2052-12.1.0.28043</vt:lpwstr>
  </property>
  <property fmtid="{D5CDD505-2E9C-101B-9397-08002B2CF9AE}" pid="4" name="ICV">
    <vt:lpwstr>0F55658594C845E8A93CFD599579BA64_13</vt:lpwstr>
  </property>
</Properties>
</file>