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03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1699"/>
        <w:gridCol w:w="2689"/>
        <w:gridCol w:w="2143"/>
      </w:tblGrid>
      <w:tr w14:paraId="69F44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00" w:type="pct"/>
            <w:gridSpan w:val="4"/>
            <w:tcBorders>
              <w:top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3D44C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Table S1. Risk stratification</w:t>
            </w:r>
            <w:r>
              <w:rPr>
                <w:rFonts w:hint="default" w:ascii="Times New Roman" w:hAnsi="Times New Roman" w:eastAsia="Janson Text LT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by the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models of Cox regression and RSF</w:t>
            </w:r>
          </w:p>
        </w:tc>
      </w:tr>
      <w:tr w14:paraId="00512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196" w:type="pct"/>
            <w:tcBorders>
              <w:top w:val="single" w:color="auto" w:sz="8" w:space="0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57BF2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  <w:t>Risk</w:t>
            </w:r>
          </w:p>
        </w:tc>
        <w:tc>
          <w:tcPr>
            <w:tcW w:w="98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0BE64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  <w:t>Event</w:t>
            </w:r>
          </w:p>
          <w:p w14:paraId="741C3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  <w:t>No. (%)</w:t>
            </w:r>
          </w:p>
        </w:tc>
        <w:tc>
          <w:tcPr>
            <w:tcW w:w="156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04B7F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HR</w:t>
            </w:r>
          </w:p>
          <w:p w14:paraId="698C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(95%CI)</w:t>
            </w:r>
          </w:p>
        </w:tc>
        <w:tc>
          <w:tcPr>
            <w:tcW w:w="124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167A3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Log-rank</w:t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P </w:t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value</w:t>
            </w:r>
          </w:p>
        </w:tc>
      </w:tr>
      <w:tr w14:paraId="18A31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196" w:type="pct"/>
            <w:tcBorders>
              <w:top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3CDAF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Low risk</w:t>
            </w:r>
          </w:p>
        </w:tc>
        <w:tc>
          <w:tcPr>
            <w:tcW w:w="989" w:type="pct"/>
            <w:tcBorders>
              <w:top w:val="single" w:color="auto" w:sz="8" w:space="0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AB6D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26 (8.0%)</w:t>
            </w:r>
          </w:p>
        </w:tc>
        <w:tc>
          <w:tcPr>
            <w:tcW w:w="1565" w:type="pc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ED4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Ref.</w:t>
            </w:r>
          </w:p>
        </w:tc>
        <w:tc>
          <w:tcPr>
            <w:tcW w:w="1247" w:type="pct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4D1C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&lt; 0.001</w:t>
            </w:r>
          </w:p>
        </w:tc>
      </w:tr>
      <w:tr w14:paraId="5F798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196" w:type="pct"/>
            <w:tcBorders>
              <w:right w:val="nil"/>
            </w:tcBorders>
            <w:shd w:val="clear" w:color="000000" w:fill="FFFFFF"/>
            <w:noWrap/>
            <w:vAlign w:val="center"/>
          </w:tcPr>
          <w:p w14:paraId="2C3E4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Medium risk</w:t>
            </w:r>
          </w:p>
        </w:tc>
        <w:tc>
          <w:tcPr>
            <w:tcW w:w="989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21FA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33 (27.5%)</w:t>
            </w:r>
          </w:p>
        </w:tc>
        <w:tc>
          <w:tcPr>
            <w:tcW w:w="1565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2983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4.23 (2.53 -7.08)</w:t>
            </w:r>
          </w:p>
        </w:tc>
        <w:tc>
          <w:tcPr>
            <w:tcW w:w="1247" w:type="pct"/>
            <w:vMerge w:val="continue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C51D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</w:p>
        </w:tc>
      </w:tr>
      <w:tr w14:paraId="63B34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196" w:type="pct"/>
            <w:tcBorders>
              <w:right w:val="nil"/>
            </w:tcBorders>
            <w:shd w:val="clear" w:color="000000" w:fill="FFFFFF"/>
            <w:noWrap/>
            <w:vAlign w:val="center"/>
          </w:tcPr>
          <w:p w14:paraId="28257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High risk</w:t>
            </w:r>
          </w:p>
        </w:tc>
        <w:tc>
          <w:tcPr>
            <w:tcW w:w="989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791E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142 (44.1%)</w:t>
            </w:r>
          </w:p>
        </w:tc>
        <w:tc>
          <w:tcPr>
            <w:tcW w:w="1565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B4EC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7.94 (5.22-12.09)</w:t>
            </w:r>
          </w:p>
        </w:tc>
        <w:tc>
          <w:tcPr>
            <w:tcW w:w="1247" w:type="pct"/>
            <w:vMerge w:val="continue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F195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</w:p>
        </w:tc>
      </w:tr>
      <w:tr w14:paraId="34622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32618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  <w:t xml:space="preserve">CI indicates confidence interval; HR, hazard ratio;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 xml:space="preserve">Ref, reference;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RSF,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random survival forest.</w:t>
            </w:r>
          </w:p>
        </w:tc>
      </w:tr>
    </w:tbl>
    <w:p w14:paraId="59A4D12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4A122EE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3E95790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7534DF6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740D714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7697F12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6382866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18AA3E1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04DCD24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664C882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02A2CF9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37433E6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1EB9E6D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653911A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tbl>
      <w:tblPr>
        <w:tblStyle w:val="6"/>
        <w:tblW w:w="49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2122"/>
        <w:gridCol w:w="2278"/>
        <w:gridCol w:w="1804"/>
      </w:tblGrid>
      <w:tr w14:paraId="06D6F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5000" w:type="pct"/>
            <w:gridSpan w:val="4"/>
            <w:tcBorders>
              <w:top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0262C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  <w:t>Table S2. Subgroup analysis for c</w:t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oncentric hypertrophy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  <w:t>on the primary-outcome events</w:t>
            </w:r>
          </w:p>
        </w:tc>
      </w:tr>
      <w:tr w14:paraId="38212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556" w:type="pct"/>
            <w:gridSpan w:val="2"/>
            <w:tcBorders>
              <w:top w:val="single" w:color="auto" w:sz="8" w:space="0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52AC3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  <w:t>Stratification factor</w:t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s</w:t>
            </w:r>
          </w:p>
        </w:tc>
        <w:tc>
          <w:tcPr>
            <w:tcW w:w="136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1FA41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HR (95% CI)</w:t>
            </w:r>
          </w:p>
        </w:tc>
        <w:tc>
          <w:tcPr>
            <w:tcW w:w="107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4C935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for interaction</w:t>
            </w:r>
          </w:p>
        </w:tc>
      </w:tr>
      <w:tr w14:paraId="2628A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86" w:type="pct"/>
            <w:tcBorders>
              <w:top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30DA2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Age</w:t>
            </w:r>
          </w:p>
        </w:tc>
        <w:tc>
          <w:tcPr>
            <w:tcW w:w="1270" w:type="pct"/>
            <w:tcBorders>
              <w:top w:val="single" w:color="auto" w:sz="8" w:space="0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1586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≥ 65</w:t>
            </w:r>
          </w:p>
          <w:p w14:paraId="1B32B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&lt; 65</w:t>
            </w:r>
          </w:p>
        </w:tc>
        <w:tc>
          <w:tcPr>
            <w:tcW w:w="1363" w:type="pc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271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1.52 (1.09-2.11)</w:t>
            </w:r>
          </w:p>
          <w:p w14:paraId="6779E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1.09 (0.60-1.98)</w:t>
            </w:r>
          </w:p>
        </w:tc>
        <w:tc>
          <w:tcPr>
            <w:tcW w:w="1079" w:type="pct"/>
            <w:tcBorders>
              <w:top w:val="single" w:color="auto" w:sz="8" w:space="0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E4ED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  <w:t>0.318</w:t>
            </w:r>
          </w:p>
        </w:tc>
      </w:tr>
      <w:tr w14:paraId="2C27A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86" w:type="pct"/>
            <w:tcBorders>
              <w:right w:val="nil"/>
            </w:tcBorders>
            <w:shd w:val="clear" w:color="000000" w:fill="FFFFFF"/>
            <w:noWrap/>
            <w:vAlign w:val="center"/>
          </w:tcPr>
          <w:p w14:paraId="169BC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Gender</w:t>
            </w:r>
          </w:p>
        </w:tc>
        <w:tc>
          <w:tcPr>
            <w:tcW w:w="1270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2BE6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Male</w:t>
            </w:r>
          </w:p>
          <w:p w14:paraId="7951C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Female</w:t>
            </w:r>
          </w:p>
        </w:tc>
        <w:tc>
          <w:tcPr>
            <w:tcW w:w="1363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1228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1.43 (0.97-2.11)</w:t>
            </w:r>
          </w:p>
          <w:p w14:paraId="7F001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1.39 (0.91-2.12)</w:t>
            </w:r>
          </w:p>
        </w:tc>
        <w:tc>
          <w:tcPr>
            <w:tcW w:w="1079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53C1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0.763</w:t>
            </w:r>
          </w:p>
        </w:tc>
      </w:tr>
      <w:tr w14:paraId="250C2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86" w:type="pct"/>
            <w:tcBorders>
              <w:right w:val="nil"/>
            </w:tcBorders>
            <w:shd w:val="clear" w:color="000000" w:fill="FFFFFF"/>
            <w:noWrap/>
            <w:vAlign w:val="center"/>
          </w:tcPr>
          <w:p w14:paraId="382EB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Race</w:t>
            </w:r>
          </w:p>
        </w:tc>
        <w:tc>
          <w:tcPr>
            <w:tcW w:w="1270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086D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White</w:t>
            </w:r>
          </w:p>
          <w:p w14:paraId="347F4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Non-white</w:t>
            </w:r>
          </w:p>
        </w:tc>
        <w:tc>
          <w:tcPr>
            <w:tcW w:w="1363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FDB5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1.33 (0.95-1.86)</w:t>
            </w:r>
          </w:p>
          <w:p w14:paraId="3C21A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1.48 (0.84-2.61)</w:t>
            </w:r>
          </w:p>
        </w:tc>
        <w:tc>
          <w:tcPr>
            <w:tcW w:w="1079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35CB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0.933</w:t>
            </w:r>
          </w:p>
        </w:tc>
      </w:tr>
      <w:tr w14:paraId="61F8F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86" w:type="pct"/>
            <w:tcBorders>
              <w:right w:val="nil"/>
            </w:tcBorders>
            <w:shd w:val="clear" w:color="000000" w:fill="FFFFFF"/>
            <w:noWrap/>
            <w:vAlign w:val="center"/>
          </w:tcPr>
          <w:p w14:paraId="537DC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Region</w:t>
            </w:r>
          </w:p>
        </w:tc>
        <w:tc>
          <w:tcPr>
            <w:tcW w:w="1270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091C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Americas</w:t>
            </w:r>
          </w:p>
          <w:p w14:paraId="2E527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Russia and Georgia</w:t>
            </w:r>
          </w:p>
        </w:tc>
        <w:tc>
          <w:tcPr>
            <w:tcW w:w="136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F50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1.41 (1.04-1.90)</w:t>
            </w:r>
          </w:p>
          <w:p w14:paraId="4189F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1.19 (0.44-3.20)</w:t>
            </w:r>
          </w:p>
        </w:tc>
        <w:tc>
          <w:tcPr>
            <w:tcW w:w="1079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9970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0.849</w:t>
            </w:r>
          </w:p>
        </w:tc>
      </w:tr>
      <w:tr w14:paraId="0F68C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86" w:type="pct"/>
            <w:tcBorders>
              <w:right w:val="nil"/>
            </w:tcBorders>
            <w:shd w:val="clear" w:color="000000" w:fill="FFFFFF"/>
            <w:noWrap/>
            <w:vAlign w:val="center"/>
          </w:tcPr>
          <w:p w14:paraId="736D4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ACEI or ARB</w:t>
            </w:r>
          </w:p>
        </w:tc>
        <w:tc>
          <w:tcPr>
            <w:tcW w:w="1270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7463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With</w:t>
            </w:r>
          </w:p>
          <w:p w14:paraId="7F9DC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Without</w:t>
            </w:r>
          </w:p>
        </w:tc>
        <w:tc>
          <w:tcPr>
            <w:tcW w:w="1363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EB13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1.56 (1.13-2.13)</w:t>
            </w:r>
          </w:p>
          <w:p w14:paraId="44003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0.92 (0.45-1.89)</w:t>
            </w:r>
          </w:p>
        </w:tc>
        <w:tc>
          <w:tcPr>
            <w:tcW w:w="1079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7AE9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0.182</w:t>
            </w:r>
          </w:p>
        </w:tc>
      </w:tr>
      <w:tr w14:paraId="758BF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286" w:type="pct"/>
            <w:tcBorders>
              <w:right w:val="nil"/>
            </w:tcBorders>
            <w:shd w:val="clear" w:color="000000" w:fill="FFFFFF"/>
            <w:noWrap/>
            <w:vAlign w:val="center"/>
          </w:tcPr>
          <w:p w14:paraId="3026B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Atrial fibrillation</w:t>
            </w:r>
          </w:p>
        </w:tc>
        <w:tc>
          <w:tcPr>
            <w:tcW w:w="1270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B0C2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With</w:t>
            </w:r>
          </w:p>
          <w:p w14:paraId="1D201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  <w:t>Without</w:t>
            </w:r>
          </w:p>
        </w:tc>
        <w:tc>
          <w:tcPr>
            <w:tcW w:w="1363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2075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1.32 (0.84-2.05)</w:t>
            </w:r>
          </w:p>
          <w:p w14:paraId="64069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1.34 (0.91-1.97)</w:t>
            </w:r>
          </w:p>
        </w:tc>
        <w:tc>
          <w:tcPr>
            <w:tcW w:w="1079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EED5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0.886</w:t>
            </w:r>
          </w:p>
        </w:tc>
      </w:tr>
      <w:tr w14:paraId="4E64E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14F2F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ACEI indicates angiotensin converting enzyme inhibitor; ARB, angiotensin receptor blocker;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 xml:space="preserve">CI, confidence interval; HR, hazard ratio. HRs and 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highlight w:val="none"/>
                <w:lang w:val="en-US" w:eastAsia="zh-CN" w:bidi="en-US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 xml:space="preserve"> values were ad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 xml:space="preserve">justed by </w:t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age, gender, NYHA classification, smoking, heart rate, systolic blood pressure, diastolic blood pressure, serum creatinine, and </w:t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instrText xml:space="preserve"> HYPERLINK "https://www.baidu.com/s?wd=haemoglobin%E7%BF%BB%E8%AF%91&amp;rsv_idx=2&amp;tn=21002492_45_hao_pg&amp;usm=4&amp;ie=utf-8&amp;rsv_pq=fdcf356b0019fe14&amp;oq=%E8%A1%80%E7%BA%A2%E8%9B%8B%E7%99%BD %E8%8B%B1%E6%96%87&amp;rsv_t=547fyrBkPLnFJsYEkQ9/kmMudGPHy7noSnl6Yfv1Xw61hh3q/OluFVOS/t6th1DuQswNsQC7TUw7&amp;sa=re_fy_huisou" \t "https://www.baidu.com/_blank" </w:instrText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haemoglobin</w:t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levels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. If a variable was used as a stratification factor, it was ignored for adjustment.</w:t>
            </w:r>
          </w:p>
        </w:tc>
      </w:tr>
    </w:tbl>
    <w:p w14:paraId="5BD90AF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C34CE3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tbl>
      <w:tblPr>
        <w:tblStyle w:val="6"/>
        <w:tblW w:w="609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6"/>
        <w:gridCol w:w="1954"/>
        <w:gridCol w:w="1876"/>
        <w:gridCol w:w="1876"/>
        <w:gridCol w:w="1879"/>
      </w:tblGrid>
      <w:tr w14:paraId="1AAFB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00" w:type="pct"/>
            <w:gridSpan w:val="5"/>
            <w:tcBorders>
              <w:top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4E2EB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  <w:t>Table S3. S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ensitivity analysis</w:t>
            </w:r>
            <w:r>
              <w:rPr>
                <w:rFonts w:hint="default" w:ascii="Times New Roman" w:hAnsi="Times New Roman" w:eastAsia="Janson Text LT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for the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Cox model and the RSF model</w:t>
            </w:r>
          </w:p>
        </w:tc>
      </w:tr>
      <w:tr w14:paraId="33151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46" w:type="pct"/>
            <w:vMerge w:val="restart"/>
            <w:tcBorders>
              <w:top w:val="single" w:color="auto" w:sz="8" w:space="0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3041A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  <w:t>Models</w:t>
            </w:r>
          </w:p>
        </w:tc>
        <w:tc>
          <w:tcPr>
            <w:tcW w:w="941" w:type="pct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52F1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C-index</w:t>
            </w:r>
          </w:p>
          <w:p w14:paraId="0E88F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(95% CI)</w:t>
            </w:r>
          </w:p>
        </w:tc>
        <w:tc>
          <w:tcPr>
            <w:tcW w:w="2712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094E8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AUC (95% CI)</w:t>
            </w:r>
          </w:p>
        </w:tc>
      </w:tr>
      <w:tr w14:paraId="5838A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46" w:type="pct"/>
            <w:vMerge w:val="continue"/>
            <w:tcBorders>
              <w:top w:val="single" w:color="auto" w:sz="4" w:space="0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290EB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</w:pPr>
          </w:p>
        </w:tc>
        <w:tc>
          <w:tcPr>
            <w:tcW w:w="941" w:type="pct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61EBD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65C02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  <w:t>1-year</w:t>
            </w:r>
          </w:p>
        </w:tc>
        <w:tc>
          <w:tcPr>
            <w:tcW w:w="90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41F11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HelveticaNeueLTPro-Roman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3-year</w:t>
            </w:r>
          </w:p>
        </w:tc>
        <w:tc>
          <w:tcPr>
            <w:tcW w:w="90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4A407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HelveticaNeueLTPro-Roman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lang w:val="en-US" w:eastAsia="zh-CN" w:bidi="ar"/>
              </w:rPr>
              <w:t>5-year</w:t>
            </w:r>
          </w:p>
        </w:tc>
      </w:tr>
      <w:tr w14:paraId="1373F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1302E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  <w:t>Exclusion of participants without the use of ACEI or ARB (n = 606)</w:t>
            </w:r>
          </w:p>
        </w:tc>
      </w:tr>
      <w:tr w14:paraId="7149D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46" w:type="pct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870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Cox regression</w:t>
            </w:r>
          </w:p>
        </w:tc>
        <w:tc>
          <w:tcPr>
            <w:tcW w:w="9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81F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0.711</w:t>
            </w:r>
          </w:p>
          <w:p w14:paraId="67E24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(0.669-0.753)</w:t>
            </w:r>
          </w:p>
        </w:tc>
        <w:tc>
          <w:tcPr>
            <w:tcW w:w="903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8E69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  <w:t xml:space="preserve">0.692  </w:t>
            </w:r>
          </w:p>
          <w:p w14:paraId="712F5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  <w:t>(0.626-0.758)</w:t>
            </w:r>
          </w:p>
        </w:tc>
        <w:tc>
          <w:tcPr>
            <w:tcW w:w="903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387B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  <w:t>0.76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  <w:t>7</w:t>
            </w:r>
          </w:p>
          <w:p w14:paraId="7D3D0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  <w:t>(0.717-0.817)</w:t>
            </w:r>
          </w:p>
        </w:tc>
        <w:tc>
          <w:tcPr>
            <w:tcW w:w="905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BC25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  <w:t>0.811</w:t>
            </w:r>
          </w:p>
          <w:p w14:paraId="3C5C4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 w:bidi="en-US"/>
              </w:rPr>
              <w:t>(0.755-0. 868)</w:t>
            </w:r>
          </w:p>
        </w:tc>
      </w:tr>
      <w:tr w14:paraId="02C15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46" w:type="pct"/>
            <w:tcBorders>
              <w:top w:val="nil"/>
              <w:right w:val="nil"/>
            </w:tcBorders>
            <w:shd w:val="clear" w:color="000000" w:fill="FFFFFF"/>
            <w:noWrap/>
            <w:vAlign w:val="center"/>
          </w:tcPr>
          <w:p w14:paraId="6BF34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RSF</w:t>
            </w:r>
          </w:p>
        </w:tc>
        <w:tc>
          <w:tcPr>
            <w:tcW w:w="941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B5E4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0.808</w:t>
            </w:r>
          </w:p>
          <w:p w14:paraId="6FDAB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(0.776-0.840)</w:t>
            </w:r>
          </w:p>
        </w:tc>
        <w:tc>
          <w:tcPr>
            <w:tcW w:w="903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C73C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 xml:space="preserve">0.823  </w:t>
            </w:r>
          </w:p>
          <w:p w14:paraId="54BE6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0.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773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-0.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87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4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)</w:t>
            </w:r>
          </w:p>
        </w:tc>
        <w:tc>
          <w:tcPr>
            <w:tcW w:w="903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0704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0.86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4</w:t>
            </w:r>
          </w:p>
          <w:p w14:paraId="4E3E9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(0.826-0.901)</w:t>
            </w:r>
          </w:p>
        </w:tc>
        <w:tc>
          <w:tcPr>
            <w:tcW w:w="905" w:type="pct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1585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0.879</w:t>
            </w:r>
          </w:p>
          <w:p w14:paraId="4B74A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>(0.831-0.927)</w:t>
            </w:r>
          </w:p>
        </w:tc>
      </w:tr>
      <w:tr w14:paraId="7BD55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00" w:type="pct"/>
            <w:gridSpan w:val="5"/>
            <w:tcBorders>
              <w:right w:val="nil"/>
            </w:tcBorders>
            <w:shd w:val="clear" w:color="000000" w:fill="FFFFFF"/>
            <w:noWrap/>
            <w:vAlign w:val="center"/>
          </w:tcPr>
          <w:p w14:paraId="2AF0D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Exclusion of participants without hypertension (n = 696)</w:t>
            </w:r>
          </w:p>
        </w:tc>
      </w:tr>
      <w:tr w14:paraId="484FC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46" w:type="pct"/>
            <w:tcBorders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7CE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Cox regression</w:t>
            </w:r>
          </w:p>
        </w:tc>
        <w:tc>
          <w:tcPr>
            <w:tcW w:w="941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4CC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0.709</w:t>
            </w:r>
          </w:p>
          <w:p w14:paraId="1DC5E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(0.669-0.748)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EA6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0.71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2</w:t>
            </w:r>
          </w:p>
          <w:p w14:paraId="52E32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(0.653-0.771)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 xml:space="preserve"> 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8FF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0.755</w:t>
            </w:r>
          </w:p>
          <w:p w14:paraId="738FF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(0.706-0.804)</w:t>
            </w:r>
          </w:p>
        </w:tc>
        <w:tc>
          <w:tcPr>
            <w:tcW w:w="905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55F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0.804</w:t>
            </w:r>
          </w:p>
          <w:p w14:paraId="77869D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(0.750-0.859)</w:t>
            </w:r>
          </w:p>
        </w:tc>
      </w:tr>
      <w:tr w14:paraId="50FF5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46" w:type="pct"/>
            <w:tcBorders>
              <w:top w:val="nil"/>
              <w:right w:val="nil"/>
            </w:tcBorders>
            <w:shd w:val="clear" w:color="000000" w:fill="FFFFFF"/>
            <w:noWrap/>
            <w:vAlign w:val="center"/>
          </w:tcPr>
          <w:p w14:paraId="5DD89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RSF</w:t>
            </w:r>
          </w:p>
        </w:tc>
        <w:tc>
          <w:tcPr>
            <w:tcW w:w="94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AFBF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0.807</w:t>
            </w:r>
          </w:p>
          <w:p w14:paraId="01D73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(0.778-0.837)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08DD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0.832</w:t>
            </w:r>
          </w:p>
          <w:p w14:paraId="7F5A6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(0.787-0.877)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0C5C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0.860</w:t>
            </w:r>
          </w:p>
          <w:p w14:paraId="6429B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(0.825-0.896)</w:t>
            </w:r>
          </w:p>
        </w:tc>
        <w:tc>
          <w:tcPr>
            <w:tcW w:w="90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1DB1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4</w:t>
            </w:r>
          </w:p>
          <w:p w14:paraId="77D8F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(0.839-0.929)</w:t>
            </w:r>
          </w:p>
        </w:tc>
      </w:tr>
      <w:tr w14:paraId="64CF3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00" w:type="pct"/>
            <w:gridSpan w:val="5"/>
            <w:tcBorders>
              <w:right w:val="nil"/>
            </w:tcBorders>
            <w:shd w:val="clear" w:color="000000" w:fill="FFFFFF"/>
            <w:noWrap/>
            <w:vAlign w:val="center"/>
          </w:tcPr>
          <w:p w14:paraId="03AA8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Inclusion of only white participants (n = 617)</w:t>
            </w:r>
          </w:p>
        </w:tc>
      </w:tr>
      <w:tr w14:paraId="2A4DA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46" w:type="pct"/>
            <w:tcBorders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BEB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Cox regression</w:t>
            </w:r>
          </w:p>
        </w:tc>
        <w:tc>
          <w:tcPr>
            <w:tcW w:w="9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78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0.721</w:t>
            </w:r>
          </w:p>
          <w:p w14:paraId="68B0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0.677-0.765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5F5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20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 xml:space="preserve">  </w:t>
            </w:r>
          </w:p>
          <w:p w14:paraId="1D50B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(0.650-0.789)</w:t>
            </w: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719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0.760</w:t>
            </w:r>
          </w:p>
          <w:p w14:paraId="64003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(0.706-0.814)</w:t>
            </w:r>
          </w:p>
        </w:tc>
        <w:tc>
          <w:tcPr>
            <w:tcW w:w="905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AB4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0.814</w:t>
            </w:r>
          </w:p>
          <w:p w14:paraId="1217E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(0.758-0.870)</w:t>
            </w:r>
          </w:p>
        </w:tc>
      </w:tr>
      <w:tr w14:paraId="30212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346" w:type="pct"/>
            <w:tcBorders>
              <w:top w:val="nil"/>
              <w:right w:val="nil"/>
            </w:tcBorders>
            <w:shd w:val="clear" w:color="000000" w:fill="FFFFFF"/>
            <w:noWrap/>
            <w:vAlign w:val="center"/>
          </w:tcPr>
          <w:p w14:paraId="6E094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kern w:val="2"/>
                <w:sz w:val="24"/>
                <w:szCs w:val="24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RSF</w:t>
            </w:r>
          </w:p>
        </w:tc>
        <w:tc>
          <w:tcPr>
            <w:tcW w:w="94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8ECD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0.811</w:t>
            </w:r>
          </w:p>
          <w:p w14:paraId="26016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(0.777-0.845)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35743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0.836</w:t>
            </w:r>
          </w:p>
          <w:p w14:paraId="2DD06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(0.784-0.888)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FF34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2</w:t>
            </w:r>
          </w:p>
          <w:p w14:paraId="150F8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(0.810-0.893)</w:t>
            </w:r>
          </w:p>
        </w:tc>
        <w:tc>
          <w:tcPr>
            <w:tcW w:w="90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73DF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0.889</w:t>
            </w:r>
          </w:p>
          <w:p w14:paraId="21235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en-US"/>
              </w:rPr>
              <w:t>(0.845-0.933)</w:t>
            </w:r>
          </w:p>
        </w:tc>
      </w:tr>
      <w:tr w14:paraId="2B4C7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5000" w:type="pct"/>
            <w:gridSpan w:val="5"/>
            <w:tcBorders>
              <w:top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 w14:paraId="61A55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ACEI indicates angiotensin converting enzyme inhibitor; ARB, angiotensin receptor blocker; </w:t>
            </w:r>
            <w:r>
              <w:rPr>
                <w:rFonts w:hint="default" w:ascii="Times New Roman" w:hAnsi="Times New Roman" w:eastAsia="HelveticaNeueLTPro-Roman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AUC, the area under the receiver operating characteristic curve; C-index, concordance index;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 w:bidi="en-US"/>
              </w:rPr>
              <w:t xml:space="preserve"> CI,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en-US" w:eastAsia="zh-CN" w:bidi="en-US"/>
              </w:rPr>
              <w:t xml:space="preserve">confidence interval;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RSF, random survival forest.</w:t>
            </w:r>
          </w:p>
        </w:tc>
      </w:tr>
    </w:tbl>
    <w:p w14:paraId="565B34B8"/>
    <w:p w14:paraId="1F9641FC"/>
    <w:p w14:paraId="298E19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Arial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1135" cy="2055495"/>
            <wp:effectExtent l="0" t="0" r="12065" b="1905"/>
            <wp:docPr id="1" name="图片 1" descr="Figure_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_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1A8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Arial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Figure S1. The time-dependent AUCs for the Cox model and the RSF model.</w:t>
      </w:r>
    </w:p>
    <w:p w14:paraId="1CDEEF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(A) The Cox model. (B) The RSF model. AUC indicated area under the curve; RSF, random survival forest.</w:t>
      </w:r>
    </w:p>
    <w:p w14:paraId="48EBD1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1770" cy="2614930"/>
            <wp:effectExtent l="0" t="0" r="11430" b="1270"/>
            <wp:docPr id="2" name="图片 2" descr="Figure_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_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E0E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Arial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Figure </w:t>
      </w:r>
      <w:r>
        <w:rPr>
          <w:rFonts w:hint="eastAsia" w:ascii="Times New Roman" w:hAnsi="Times New Roman" w:eastAsia="Arial" w:cs="Times New Roman"/>
          <w:b/>
          <w:bCs/>
          <w:color w:val="auto"/>
          <w:sz w:val="24"/>
          <w:szCs w:val="24"/>
          <w:highlight w:val="none"/>
          <w:lang w:val="en-US" w:eastAsia="zh-CN"/>
        </w:rPr>
        <w:t>S2</w:t>
      </w:r>
      <w:r>
        <w:rPr>
          <w:rFonts w:hint="default" w:ascii="Times New Roman" w:hAnsi="Times New Roman" w:eastAsia="Arial" w:cs="Times New Roman"/>
          <w:b/>
          <w:bCs/>
          <w:color w:val="auto"/>
          <w:sz w:val="24"/>
          <w:szCs w:val="24"/>
          <w:highlight w:val="none"/>
          <w:lang w:val="en-US" w:eastAsia="zh-CN"/>
        </w:rPr>
        <w:t>. External validation for the prediction models.</w:t>
      </w:r>
    </w:p>
    <w:p w14:paraId="63498F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(A) The ROC of the Cox model for predicting the primary-outcome events</w:t>
      </w:r>
      <w:r>
        <w:rPr>
          <w:rFonts w:hint="eastAsia" w:ascii="Times New Roman" w:hAnsi="Times New Roman" w:eastAsia="Arial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using</w:t>
      </w:r>
      <w:r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the data from the PARAGON-HF trail. (B) The ROC of the RSF model for predicting the primary-outcome events</w:t>
      </w:r>
      <w:r>
        <w:rPr>
          <w:rFonts w:hint="eastAsia" w:ascii="Times New Roman" w:hAnsi="Times New Roman" w:eastAsia="Arial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using</w:t>
      </w:r>
      <w:r>
        <w:rPr>
          <w:rFonts w:hint="default" w:ascii="Times New Roman" w:hAnsi="Times New Roman" w:eastAsia="Arial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the data from the PARAGON-HF trail. RSF indicated random survival forest.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Janson Text L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elveticaNeueLTPro-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3382F"/>
    <w:rsid w:val="133F24DD"/>
    <w:rsid w:val="218146FC"/>
    <w:rsid w:val="2B906CD5"/>
    <w:rsid w:val="38C717D1"/>
    <w:rsid w:val="43193D5F"/>
    <w:rsid w:val="4AAD764E"/>
    <w:rsid w:val="5BD930EE"/>
    <w:rsid w:val="7D3E54CC"/>
    <w:rsid w:val="7EE4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spacing w:before="480" w:beforeAutospacing="0" w:after="480" w:afterAutospacing="0" w:line="440" w:lineRule="exact"/>
      <w:jc w:val="center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40" w:beforeLines="0" w:beforeAutospacing="0" w:after="240" w:afterLines="0" w:afterAutospacing="0" w:line="440" w:lineRule="exact"/>
      <w:jc w:val="left"/>
      <w:outlineLvl w:val="1"/>
    </w:pPr>
    <w:rPr>
      <w:rFonts w:ascii="黑体" w:hAnsi="黑体" w:eastAsia="黑体" w:cs="黑体"/>
      <w:sz w:val="28"/>
      <w:szCs w:val="28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spacing w:before="120" w:beforeAutospacing="0" w:after="120" w:afterAutospacing="0" w:line="440" w:lineRule="exact"/>
      <w:jc w:val="left"/>
      <w:outlineLvl w:val="2"/>
    </w:pPr>
    <w:rPr>
      <w:rFonts w:hint="eastAsia" w:ascii="黑体" w:hAnsi="黑体" w:eastAsia="黑体" w:cs="黑体"/>
      <w:kern w:val="0"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8">
    <w:name w:val="标题 2 Char"/>
    <w:link w:val="3"/>
    <w:qFormat/>
    <w:uiPriority w:val="0"/>
    <w:rPr>
      <w:rFonts w:ascii="黑体" w:hAnsi="黑体" w:eastAsia="黑体" w:cs="黑体"/>
      <w:sz w:val="28"/>
      <w:szCs w:val="28"/>
    </w:rPr>
  </w:style>
  <w:style w:type="character" w:customStyle="1" w:styleId="9">
    <w:name w:val="标题 1 Char"/>
    <w:link w:val="2"/>
    <w:qFormat/>
    <w:uiPriority w:val="0"/>
    <w:rPr>
      <w:rFonts w:hint="default" w:ascii="黑体" w:hAnsi="黑体" w:eastAsia="黑体" w:cs="黑体"/>
      <w:kern w:val="44"/>
      <w:sz w:val="32"/>
      <w:szCs w:val="32"/>
    </w:rPr>
  </w:style>
  <w:style w:type="character" w:customStyle="1" w:styleId="10">
    <w:name w:val="标题 3 Char"/>
    <w:link w:val="4"/>
    <w:qFormat/>
    <w:uiPriority w:val="0"/>
    <w:rPr>
      <w:rFonts w:hint="eastAsia" w:ascii="黑体" w:hAnsi="黑体" w:eastAsia="黑体" w:cs="黑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321</Words>
  <Characters>2001</Characters>
  <Lines>0</Lines>
  <Paragraphs>0</Paragraphs>
  <TotalTime>5</TotalTime>
  <ScaleCrop>false</ScaleCrop>
  <LinksUpToDate>false</LinksUpToDate>
  <CharactersWithSpaces>2205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2023-02-13T16:15:00Z</dcterms:created>
  <dc:creator>外滩三号</dc:creator>
  <cp:lastModifiedBy>不踩三分线死活投不进</cp:lastModifiedBy>
  <dcterms:modified xsi:type="dcterms:W3CDTF">2026-08-15T13:26:02Z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4629A3390D194325A7B4BC86970475AE</vt:lpwstr>
  </property>
  <property fmtid="{D5CDD505-2E9C-101B-9397-08002B2CF9AE}" pid="4" name="KSOTemplateDocerSaveRecord">
    <vt:lpwstr>eyJoZGlkIjoiZTRiMWQ0MzVjMzc2MjZiZDBlNzBjYjIwMmZhZDI0NDMiLCJ1c2VySWQiOiIyMjI5Mzg1MDkifQ==</vt:lpwstr>
  </property>
</Properties>
</file>