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w:body>
    <w:p>
      <w:pPr>
        <w:pStyle w:val="Title"/>
        <w:keepNext/>
        <w:spacing w:before="360" w:after="160" w:line="480" w:lineRule="auto"/>
        <w:jc w:val="left"/>
        <w:outlineLvl w:val="0"/>
      </w:pPr>
      <w:r>
        <w:rPr>
          <w:rFonts w:ascii="Times New Roman" w:hAnsi="Times New Roman" w:eastAsia="Times New Roman"/>
          <w:color w:val="000000"/>
          <w:sz w:val="32"/>
        </w:rPr>
        <w:t>Additional file 1: Supplementary tables and figure</w:t>
      </w:r>
    </w:p>
    <w:p>
      <w:pPr/>
      <w:r>
        <w:rPr>
          <w:rFonts w:ascii="Times New Roman" w:hAnsi="Times New Roman" w:eastAsia="Times New Roman"/>
          <w:color w:val="000000"/>
          <w:sz w:val="24"/>
        </w:rPr>
        <w:t>Supplementary material for “24-hour movement-guideline adherence and parent-reported tooth condition among US children with current asthma: a cross-sectional study of the 2023–2024 National Survey of Children's Health.” This file contains eTables 1–10 and eFigure 1.</w:t>
      </w:r>
    </w:p>
    <w:p>
      <w:pPr>
        <w:pStyle w:val="Heading2"/>
        <w:keepNext/>
        <w:spacing w:before="240" w:after="80" w:line="480" w:lineRule="auto"/>
        <w:ind w:left="0" w:right="0" w:firstLine="0"/>
      </w:pPr>
      <w:r>
        <w:rPr>
          <w:rFonts w:ascii="Times New Roman" w:hAnsi="Times New Roman" w:eastAsia="Times New Roman"/>
          <w:color w:val="000000"/>
          <w:sz w:val="24"/>
        </w:rPr>
        <w:t>eTable 1. Item-level missingness before complete-case restriction</w:t>
      </w:r>
    </w:p>
    <w:tbl>
      <w:tblPr>
        <w:tblStyle w:val="2"/>
        <w:tblW w:w="9240" w:type="dxa"/>
        <w:jc w:val="left"/>
        <w:tblInd w:w="120" w:type="dxa"/>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4008"/>
        <w:gridCol w:w="1678"/>
        <w:gridCol w:w="1678"/>
        <w:gridCol w:w="1876"/>
      </w:tblGrid>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rPr>
          <w:tblHeader/>
        </w:trPr>
        <w:tc>
          <w:tcPr>
            <w:tcW w:w="4008" w:type="dxa"/>
            <w:tcBorders>
              <w:bottom w:val="single" w:color="90A4AE" w:sz="6" w:space="0"/>
            </w:tcBorders>
            <w:tcMar>
              <w:top w:w="80" w:type="dxa"/>
              <w:left w:w="80" w:type="dxa"/>
              <w:bottom w:w="80" w:type="dxa"/>
              <w:right w:w="80" w:type="dxa"/>
              <w:start w:type="dxa" w:w="120"/>
              <w:end w:type="dxa" w:w="120"/>
            </w:tcMar>
            <w:vAlign w:val="center"/>
          </w:tcPr>
          <w:p>
            <w:pPr>
              <w:pStyle w:val="1"/>
              <w:keepNext/>
              <w:spacing w:before="0" w:after="0" w:line="240" w:lineRule="auto"/>
              <w:jc w:val="left"/>
            </w:pPr>
            <w:r>
              <w:rPr>
                <w:rFonts w:ascii="Times New Roman" w:hAnsi="Times New Roman" w:eastAsia="Times New Roman" w:cs="Times New Roman"/>
                <w:b/>
                <w:color w:val="000000"/>
                <w:sz w:val="18"/>
                <w:szCs w:val="22"/>
              </w:rPr>
              <w:t>Variable</w:t>
            </w:r>
          </w:p>
        </w:tc>
        <w:tc>
          <w:tcPr>
            <w:tcW w:w="1678" w:type="dxa"/>
            <w:tcBorders>
              <w:bottom w:val="single" w:color="90A4AE" w:sz="6" w:space="0"/>
            </w:tcBorders>
            <w:tcMar>
              <w:top w:w="80" w:type="dxa"/>
              <w:left w:w="80" w:type="dxa"/>
              <w:bottom w:w="80" w:type="dxa"/>
              <w:right w:w="80" w:type="dxa"/>
              <w:start w:type="dxa" w:w="120"/>
              <w:end w:type="dxa" w:w="120"/>
            </w:tcMar>
            <w:vAlign w:val="center"/>
          </w:tcPr>
          <w:p>
            <w:pPr>
              <w:pStyle w:val="1"/>
              <w:keepNext/>
              <w:spacing w:before="0" w:after="0" w:line="240" w:lineRule="auto"/>
              <w:jc w:val="center"/>
            </w:pPr>
            <w:r>
              <w:rPr>
                <w:rFonts w:ascii="Times New Roman" w:hAnsi="Times New Roman" w:eastAsia="Times New Roman" w:cs="Times New Roman"/>
                <w:b/>
                <w:color w:val="000000"/>
                <w:sz w:val="18"/>
                <w:szCs w:val="22"/>
              </w:rPr>
              <w:t>Missing, n</w:t>
            </w:r>
          </w:p>
        </w:tc>
        <w:tc>
          <w:tcPr>
            <w:tcW w:w="1678" w:type="dxa"/>
            <w:tcBorders>
              <w:bottom w:val="single" w:color="90A4AE" w:sz="6" w:space="0"/>
            </w:tcBorders>
            <w:tcMar>
              <w:top w:w="80" w:type="dxa"/>
              <w:left w:w="80" w:type="dxa"/>
              <w:bottom w:w="80" w:type="dxa"/>
              <w:right w:w="80" w:type="dxa"/>
              <w:start w:type="dxa" w:w="120"/>
              <w:end w:type="dxa" w:w="120"/>
            </w:tcMar>
            <w:vAlign w:val="center"/>
          </w:tcPr>
          <w:p>
            <w:pPr>
              <w:pStyle w:val="1"/>
              <w:keepNext/>
              <w:spacing w:before="0" w:after="0" w:line="240" w:lineRule="auto"/>
              <w:jc w:val="center"/>
            </w:pPr>
            <w:r>
              <w:rPr>
                <w:rFonts w:ascii="Times New Roman" w:hAnsi="Times New Roman" w:eastAsia="Times New Roman" w:cs="Times New Roman"/>
                <w:b/>
                <w:color w:val="000000"/>
                <w:sz w:val="18"/>
                <w:szCs w:val="22"/>
              </w:rPr>
              <w:t>Eligible, n</w:t>
            </w:r>
          </w:p>
        </w:tc>
        <w:tc>
          <w:tcPr>
            <w:tcW w:w="1876" w:type="dxa"/>
            <w:tcBorders>
              <w:bottom w:val="single" w:color="90A4AE" w:sz="6" w:space="0"/>
            </w:tcBorders>
            <w:tcMar>
              <w:top w:w="80" w:type="dxa"/>
              <w:left w:w="80" w:type="dxa"/>
              <w:bottom w:w="80" w:type="dxa"/>
              <w:right w:w="80" w:type="dxa"/>
              <w:start w:type="dxa" w:w="120"/>
              <w:end w:type="dxa" w:w="120"/>
            </w:tcMar>
            <w:vAlign w:val="center"/>
          </w:tcPr>
          <w:p>
            <w:pPr>
              <w:pStyle w:val="1"/>
              <w:keepNext/>
              <w:spacing w:before="0" w:after="0" w:line="240" w:lineRule="auto"/>
              <w:jc w:val="center"/>
            </w:pPr>
            <w:r>
              <w:rPr>
                <w:rFonts w:ascii="Times New Roman" w:hAnsi="Times New Roman" w:eastAsia="Times New Roman" w:cs="Times New Roman"/>
                <w:b/>
                <w:color w:val="000000"/>
                <w:sz w:val="18"/>
                <w:szCs w:val="22"/>
              </w:rPr>
              <w:t>Missing, %</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4008"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Physical activity guideline</w:t>
            </w:r>
          </w:p>
        </w:tc>
        <w:tc>
          <w:tcPr>
            <w:tcW w:w="167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83</w:t>
            </w:r>
          </w:p>
        </w:tc>
        <w:tc>
          <w:tcPr>
            <w:tcW w:w="167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6085</w:t>
            </w:r>
          </w:p>
        </w:tc>
        <w:tc>
          <w:tcPr>
            <w:tcW w:w="187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1.4</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4008"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Screen-time guideline</w:t>
            </w:r>
          </w:p>
        </w:tc>
        <w:tc>
          <w:tcPr>
            <w:tcW w:w="167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94</w:t>
            </w:r>
          </w:p>
        </w:tc>
        <w:tc>
          <w:tcPr>
            <w:tcW w:w="167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6085</w:t>
            </w:r>
          </w:p>
        </w:tc>
        <w:tc>
          <w:tcPr>
            <w:tcW w:w="187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1.5</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4008"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Sleep guideline</w:t>
            </w:r>
          </w:p>
        </w:tc>
        <w:tc>
          <w:tcPr>
            <w:tcW w:w="167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88</w:t>
            </w:r>
          </w:p>
        </w:tc>
        <w:tc>
          <w:tcPr>
            <w:tcW w:w="167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6085</w:t>
            </w:r>
          </w:p>
        </w:tc>
        <w:tc>
          <w:tcPr>
            <w:tcW w:w="187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1.4</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4008"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Complete 0-3 movement score</w:t>
            </w:r>
          </w:p>
        </w:tc>
        <w:tc>
          <w:tcPr>
            <w:tcW w:w="167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147</w:t>
            </w:r>
          </w:p>
        </w:tc>
        <w:tc>
          <w:tcPr>
            <w:tcW w:w="167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6085</w:t>
            </w:r>
          </w:p>
        </w:tc>
        <w:tc>
          <w:tcPr>
            <w:tcW w:w="187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2.4</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4008"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Excellent or very good condition of teeth</w:t>
            </w:r>
          </w:p>
        </w:tc>
        <w:tc>
          <w:tcPr>
            <w:tcW w:w="167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6</w:t>
            </w:r>
          </w:p>
        </w:tc>
        <w:tc>
          <w:tcPr>
            <w:tcW w:w="167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6085</w:t>
            </w:r>
          </w:p>
        </w:tc>
        <w:tc>
          <w:tcPr>
            <w:tcW w:w="187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0.1</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4008"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Age group</w:t>
            </w:r>
          </w:p>
        </w:tc>
        <w:tc>
          <w:tcPr>
            <w:tcW w:w="167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w:t>
            </w:r>
          </w:p>
        </w:tc>
        <w:tc>
          <w:tcPr>
            <w:tcW w:w="167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6085</w:t>
            </w:r>
          </w:p>
        </w:tc>
        <w:tc>
          <w:tcPr>
            <w:tcW w:w="187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0.0</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4008"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Sex</w:t>
            </w:r>
          </w:p>
        </w:tc>
        <w:tc>
          <w:tcPr>
            <w:tcW w:w="167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w:t>
            </w:r>
          </w:p>
        </w:tc>
        <w:tc>
          <w:tcPr>
            <w:tcW w:w="167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6085</w:t>
            </w:r>
          </w:p>
        </w:tc>
        <w:tc>
          <w:tcPr>
            <w:tcW w:w="187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0.0</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4008"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Race/ethnicity</w:t>
            </w:r>
          </w:p>
        </w:tc>
        <w:tc>
          <w:tcPr>
            <w:tcW w:w="167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w:t>
            </w:r>
          </w:p>
        </w:tc>
        <w:tc>
          <w:tcPr>
            <w:tcW w:w="167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6085</w:t>
            </w:r>
          </w:p>
        </w:tc>
        <w:tc>
          <w:tcPr>
            <w:tcW w:w="187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0.0</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4008"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Adult education</w:t>
            </w:r>
          </w:p>
        </w:tc>
        <w:tc>
          <w:tcPr>
            <w:tcW w:w="167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w:t>
            </w:r>
          </w:p>
        </w:tc>
        <w:tc>
          <w:tcPr>
            <w:tcW w:w="167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6085</w:t>
            </w:r>
          </w:p>
        </w:tc>
        <w:tc>
          <w:tcPr>
            <w:tcW w:w="187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0.0</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4008"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Insurance</w:t>
            </w:r>
          </w:p>
        </w:tc>
        <w:tc>
          <w:tcPr>
            <w:tcW w:w="167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44</w:t>
            </w:r>
          </w:p>
        </w:tc>
        <w:tc>
          <w:tcPr>
            <w:tcW w:w="167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6085</w:t>
            </w:r>
          </w:p>
        </w:tc>
        <w:tc>
          <w:tcPr>
            <w:tcW w:w="187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0.7</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4008"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Preterm birth</w:t>
            </w:r>
          </w:p>
        </w:tc>
        <w:tc>
          <w:tcPr>
            <w:tcW w:w="167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84</w:t>
            </w:r>
          </w:p>
        </w:tc>
        <w:tc>
          <w:tcPr>
            <w:tcW w:w="167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6085</w:t>
            </w:r>
          </w:p>
        </w:tc>
        <w:tc>
          <w:tcPr>
            <w:tcW w:w="187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1.4</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4008"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Low birth weight</w:t>
            </w:r>
          </w:p>
        </w:tc>
        <w:tc>
          <w:tcPr>
            <w:tcW w:w="167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236</w:t>
            </w:r>
          </w:p>
        </w:tc>
        <w:tc>
          <w:tcPr>
            <w:tcW w:w="167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6085</w:t>
            </w:r>
          </w:p>
        </w:tc>
        <w:tc>
          <w:tcPr>
            <w:tcW w:w="187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3.9</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4008"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Asthma severity</w:t>
            </w:r>
          </w:p>
        </w:tc>
        <w:tc>
          <w:tcPr>
            <w:tcW w:w="167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9</w:t>
            </w:r>
          </w:p>
        </w:tc>
        <w:tc>
          <w:tcPr>
            <w:tcW w:w="167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6085</w:t>
            </w:r>
          </w:p>
        </w:tc>
        <w:tc>
          <w:tcPr>
            <w:tcW w:w="187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0.1</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4008"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BMI category</w:t>
            </w:r>
          </w:p>
        </w:tc>
        <w:tc>
          <w:tcPr>
            <w:tcW w:w="167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273</w:t>
            </w:r>
          </w:p>
        </w:tc>
        <w:tc>
          <w:tcPr>
            <w:tcW w:w="167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6085</w:t>
            </w:r>
          </w:p>
        </w:tc>
        <w:tc>
          <w:tcPr>
            <w:tcW w:w="187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4.5</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4008"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Multimorbidity</w:t>
            </w:r>
          </w:p>
        </w:tc>
        <w:tc>
          <w:tcPr>
            <w:tcW w:w="167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w:t>
            </w:r>
          </w:p>
        </w:tc>
        <w:tc>
          <w:tcPr>
            <w:tcW w:w="167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6085</w:t>
            </w:r>
          </w:p>
        </w:tc>
        <w:tc>
          <w:tcPr>
            <w:tcW w:w="187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0.0</w:t>
            </w:r>
          </w:p>
        </w:tc>
      </w:tr>
    </w:tbl>
    <w:p>
      <w:pPr>
        <w:pStyle w:val="1"/>
        <w:spacing w:before="60" w:after="160" w:line="480" w:lineRule="auto"/>
      </w:pPr>
      <w:r>
        <w:rPr>
          <w:rFonts w:ascii="Times New Roman" w:hAnsi="Times New Roman" w:eastAsia="Times New Roman" w:cs="Times New Roman"/>
          <w:i/>
          <w:color w:val="000000"/>
          <w:sz w:val="24"/>
          <w:szCs w:val="22"/>
        </w:rPr>
        <w:t>The strict 0–3 movement adherence score required all 3 components; 147 children (2.4%) were missing at least 1 component.</w:t>
      </w:r>
    </w:p>
    <w:p>
      <w:pPr>
        <w:pStyle w:val="1"/>
        <w:spacing w:after="200" w:line="480" w:lineRule="auto"/>
      </w:pPr>
    </w:p>
    <w:p>
      <w:pPr>
        <w:pStyle w:val="Heading2"/>
        <w:keepNext/>
        <w:spacing w:before="240" w:after="80" w:line="480" w:lineRule="auto"/>
        <w:ind w:left="0" w:right="0" w:firstLine="0"/>
      </w:pPr>
      <w:r>
        <w:rPr>
          <w:rFonts w:ascii="Times New Roman" w:hAnsi="Times New Roman" w:eastAsia="Times New Roman"/>
          <w:color w:val="000000"/>
          <w:sz w:val="24"/>
        </w:rPr>
        <w:t>eTable 2. Weighted tooth-condition prevalence by movement-guideline adherence</w:t>
      </w:r>
    </w:p>
    <w:tbl>
      <w:tblPr>
        <w:tblStyle w:val="2"/>
        <w:tblW w:w="9240" w:type="dxa"/>
        <w:jc w:val="left"/>
        <w:tblInd w:w="120" w:type="dxa"/>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1974"/>
        <w:gridCol w:w="1876"/>
        <w:gridCol w:w="1876"/>
        <w:gridCol w:w="3514"/>
      </w:tblGrid>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rPr>
          <w:tblHeader/>
        </w:trPr>
        <w:tc>
          <w:tcPr>
            <w:tcW w:w="1974" w:type="dxa"/>
            <w:tcBorders>
              <w:bottom w:val="single" w:color="90A4AE" w:sz="6" w:space="0"/>
            </w:tcBorders>
            <w:tcMar>
              <w:top w:w="80" w:type="dxa"/>
              <w:left w:w="80" w:type="dxa"/>
              <w:bottom w:w="80" w:type="dxa"/>
              <w:right w:w="80" w:type="dxa"/>
              <w:start w:type="dxa" w:w="120"/>
              <w:end w:type="dxa" w:w="120"/>
            </w:tcMar>
            <w:vAlign w:val="center"/>
          </w:tcPr>
          <w:p>
            <w:pPr>
              <w:pStyle w:val="1"/>
              <w:keepNext/>
              <w:spacing w:before="0" w:after="0" w:line="240" w:lineRule="auto"/>
              <w:jc w:val="left"/>
            </w:pPr>
            <w:r>
              <w:rPr>
                <w:rFonts w:ascii="Times New Roman" w:hAnsi="Times New Roman" w:eastAsia="Times New Roman" w:cs="Times New Roman"/>
                <w:b/>
                <w:color w:val="000000"/>
                <w:sz w:val="18"/>
                <w:szCs w:val="22"/>
              </w:rPr>
              <w:t>Guidelines met</w:t>
            </w:r>
          </w:p>
        </w:tc>
        <w:tc>
          <w:tcPr>
            <w:tcW w:w="1876" w:type="dxa"/>
            <w:tcBorders>
              <w:bottom w:val="single" w:color="90A4AE" w:sz="6" w:space="0"/>
            </w:tcBorders>
            <w:tcMar>
              <w:top w:w="80" w:type="dxa"/>
              <w:left w:w="80" w:type="dxa"/>
              <w:bottom w:w="80" w:type="dxa"/>
              <w:right w:w="80" w:type="dxa"/>
              <w:start w:type="dxa" w:w="120"/>
              <w:end w:type="dxa" w:w="120"/>
            </w:tcMar>
            <w:vAlign w:val="center"/>
          </w:tcPr>
          <w:p>
            <w:pPr>
              <w:pStyle w:val="1"/>
              <w:keepNext/>
              <w:spacing w:before="0" w:after="0" w:line="240" w:lineRule="auto"/>
              <w:jc w:val="center"/>
            </w:pPr>
            <w:r>
              <w:rPr>
                <w:rFonts w:ascii="Times New Roman" w:hAnsi="Times New Roman" w:eastAsia="Times New Roman" w:cs="Times New Roman"/>
                <w:b/>
                <w:color w:val="000000"/>
                <w:sz w:val="18"/>
                <w:szCs w:val="22"/>
              </w:rPr>
              <w:t>Unweighted n</w:t>
            </w:r>
          </w:p>
        </w:tc>
        <w:tc>
          <w:tcPr>
            <w:tcW w:w="1876" w:type="dxa"/>
            <w:tcBorders>
              <w:bottom w:val="single" w:color="90A4AE" w:sz="6" w:space="0"/>
            </w:tcBorders>
            <w:tcMar>
              <w:top w:w="80" w:type="dxa"/>
              <w:left w:w="80" w:type="dxa"/>
              <w:bottom w:w="80" w:type="dxa"/>
              <w:right w:w="80" w:type="dxa"/>
              <w:start w:type="dxa" w:w="120"/>
              <w:end w:type="dxa" w:w="120"/>
            </w:tcMar>
            <w:vAlign w:val="center"/>
          </w:tcPr>
          <w:p>
            <w:pPr>
              <w:pStyle w:val="1"/>
              <w:keepNext/>
              <w:spacing w:before="0" w:after="0" w:line="240" w:lineRule="auto"/>
              <w:jc w:val="center"/>
            </w:pPr>
            <w:r>
              <w:rPr>
                <w:rFonts w:ascii="Times New Roman" w:hAnsi="Times New Roman" w:eastAsia="Times New Roman" w:cs="Times New Roman"/>
                <w:b/>
                <w:color w:val="000000"/>
                <w:sz w:val="18"/>
                <w:szCs w:val="22"/>
              </w:rPr>
              <w:t>Favorable, n</w:t>
            </w:r>
          </w:p>
        </w:tc>
        <w:tc>
          <w:tcPr>
            <w:tcW w:w="3514" w:type="dxa"/>
            <w:tcBorders>
              <w:bottom w:val="single" w:color="90A4AE" w:sz="6" w:space="0"/>
            </w:tcBorders>
            <w:tcMar>
              <w:top w:w="80" w:type="dxa"/>
              <w:left w:w="80" w:type="dxa"/>
              <w:bottom w:w="80" w:type="dxa"/>
              <w:right w:w="80" w:type="dxa"/>
              <w:start w:type="dxa" w:w="120"/>
              <w:end w:type="dxa" w:w="120"/>
            </w:tcMar>
            <w:vAlign w:val="center"/>
          </w:tcPr>
          <w:p>
            <w:pPr>
              <w:pStyle w:val="1"/>
              <w:keepNext/>
              <w:spacing w:before="0" w:after="0" w:line="240" w:lineRule="auto"/>
              <w:jc w:val="center"/>
            </w:pPr>
            <w:r>
              <w:rPr>
                <w:rFonts w:ascii="Times New Roman" w:hAnsi="Times New Roman" w:eastAsia="Times New Roman" w:cs="Times New Roman"/>
                <w:b/>
                <w:color w:val="000000"/>
                <w:sz w:val="18"/>
                <w:szCs w:val="22"/>
              </w:rPr>
              <w:t>Weighted prevalence, % (SE)</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1974"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Overall</w:t>
            </w:r>
          </w:p>
        </w:tc>
        <w:tc>
          <w:tcPr>
            <w:tcW w:w="187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5934</w:t>
            </w:r>
          </w:p>
        </w:tc>
        <w:tc>
          <w:tcPr>
            <w:tcW w:w="187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4359</w:t>
            </w:r>
          </w:p>
        </w:tc>
        <w:tc>
          <w:tcPr>
            <w:tcW w:w="3514"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65.8 (1.3)</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1974"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0</w:t>
            </w:r>
          </w:p>
        </w:tc>
        <w:tc>
          <w:tcPr>
            <w:tcW w:w="187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1183</w:t>
            </w:r>
          </w:p>
        </w:tc>
        <w:tc>
          <w:tcPr>
            <w:tcW w:w="187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736</w:t>
            </w:r>
          </w:p>
        </w:tc>
        <w:tc>
          <w:tcPr>
            <w:tcW w:w="3514"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55.3 (3.2)</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1974"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1</w:t>
            </w:r>
          </w:p>
        </w:tc>
        <w:tc>
          <w:tcPr>
            <w:tcW w:w="187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2553</w:t>
            </w:r>
          </w:p>
        </w:tc>
        <w:tc>
          <w:tcPr>
            <w:tcW w:w="187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1885</w:t>
            </w:r>
          </w:p>
        </w:tc>
        <w:tc>
          <w:tcPr>
            <w:tcW w:w="3514"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65.9 (2.1)</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1974"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2</w:t>
            </w:r>
          </w:p>
        </w:tc>
        <w:tc>
          <w:tcPr>
            <w:tcW w:w="187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1766</w:t>
            </w:r>
          </w:p>
        </w:tc>
        <w:tc>
          <w:tcPr>
            <w:tcW w:w="187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1378</w:t>
            </w:r>
          </w:p>
        </w:tc>
        <w:tc>
          <w:tcPr>
            <w:tcW w:w="3514"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70.0 (2.1)</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1974"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3</w:t>
            </w:r>
          </w:p>
        </w:tc>
        <w:tc>
          <w:tcPr>
            <w:tcW w:w="187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432</w:t>
            </w:r>
          </w:p>
        </w:tc>
        <w:tc>
          <w:tcPr>
            <w:tcW w:w="187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360</w:t>
            </w:r>
          </w:p>
        </w:tc>
        <w:tc>
          <w:tcPr>
            <w:tcW w:w="3514"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84.7 (2.4)</w:t>
            </w:r>
          </w:p>
        </w:tc>
      </w:tr>
    </w:tbl>
    <w:p>
      <w:pPr>
        <w:pStyle w:val="1"/>
        <w:spacing w:before="60" w:after="160" w:line="480" w:lineRule="auto"/>
      </w:pPr>
      <w:r>
        <w:rPr>
          <w:rFonts w:ascii="Times New Roman" w:hAnsi="Times New Roman" w:eastAsia="Times New Roman" w:cs="Times New Roman"/>
          <w:i/>
          <w:color w:val="000000"/>
          <w:sz w:val="24"/>
          <w:szCs w:val="22"/>
        </w:rPr>
        <w:t>SE = standard error from Taylor-series linearization. Overall row includes children with outcome data before covariate complete-case restriction (n = 5934).</w:t>
      </w:r>
    </w:p>
    <w:p>
      <w:pPr>
        <w:pStyle w:val="1"/>
        <w:spacing w:after="200" w:line="480" w:lineRule="auto"/>
      </w:pPr>
    </w:p>
    <w:p>
      <w:pPr>
        <w:pStyle w:val="Heading2"/>
        <w:keepNext/>
        <w:spacing w:before="240" w:after="80" w:line="480" w:lineRule="auto"/>
        <w:ind w:left="0" w:right="0" w:firstLine="0"/>
      </w:pPr>
      <w:r>
        <w:rPr>
          <w:rFonts w:ascii="Times New Roman" w:hAnsi="Times New Roman" w:eastAsia="Times New Roman"/>
          <w:color w:val="000000"/>
          <w:sz w:val="24"/>
        </w:rPr>
        <w:t>eTable 3. Year-stratified prevalence ratios and score-by-year interaction</w:t>
      </w:r>
    </w:p>
    <w:tbl>
      <w:tblPr>
        <w:tblStyle w:val="2"/>
        <w:tblW w:w="9240" w:type="dxa"/>
        <w:jc w:val="left"/>
        <w:tblInd w:w="120" w:type="dxa"/>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2369"/>
        <w:gridCol w:w="1678"/>
        <w:gridCol w:w="2527"/>
        <w:gridCol w:w="1283"/>
        <w:gridCol w:w="1383"/>
      </w:tblGrid>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rPr>
          <w:tblHeader w:val="true"/>
        </w:trPr>
        <w:tc>
          <w:tcPr>
            <w:tcW w:w="2369" w:type="dxa"/>
            <w:tcBorders>
              <w:bottom w:val="single" w:color="90A4AE" w:sz="6" w:space="0"/>
            </w:tcBorders>
            <w:tcMar>
              <w:top w:w="80" w:type="dxa"/>
              <w:left w:w="80" w:type="dxa"/>
              <w:bottom w:w="80" w:type="dxa"/>
              <w:right w:w="80" w:type="dxa"/>
              <w:start w:type="dxa" w:w="120"/>
              <w:end w:type="dxa" w:w="120"/>
            </w:tcMar>
            <w:vAlign w:val="center"/>
          </w:tcPr>
          <w:p>
            <w:pPr>
              <w:keepNext/>
              <w:spacing w:before="0" w:after="0" w:line="240" w:lineRule="auto"/>
              <w:jc w:val="left"/>
            </w:pPr>
            <w:r>
              <w:rPr>
                <w:rFonts w:ascii="Times New Roman" w:hAnsi="Times New Roman" w:eastAsia="Times New Roman"/>
                <w:b/>
                <w:color w:val="000000"/>
                <w:sz w:val="18"/>
              </w:rPr>
              <w:t>Period</w:t>
            </w:r>
          </w:p>
        </w:tc>
        <w:tc>
          <w:tcPr>
            <w:tcW w:w="1678" w:type="dxa"/>
            <w:tcBorders>
              <w:bottom w:val="single" w:color="90A4AE" w:sz="6" w:space="0"/>
            </w:tcBorders>
            <w:tcMar>
              <w:top w:w="80" w:type="dxa"/>
              <w:left w:w="80" w:type="dxa"/>
              <w:bottom w:w="80" w:type="dxa"/>
              <w:right w:w="80" w:type="dxa"/>
              <w:start w:type="dxa" w:w="120"/>
              <w:end w:type="dxa" w:w="120"/>
            </w:tcMar>
            <w:vAlign w:val="center"/>
          </w:tcPr>
          <w:p>
            <w:pPr>
              <w:keepNext/>
              <w:spacing w:before="0" w:after="0" w:line="240" w:lineRule="auto"/>
              <w:jc w:val="center"/>
            </w:pPr>
            <w:r>
              <w:rPr>
                <w:rFonts w:ascii="Times New Roman" w:hAnsi="Times New Roman" w:eastAsia="Times New Roman"/>
                <w:b/>
                <w:color w:val="000000"/>
                <w:sz w:val="18"/>
              </w:rPr>
              <w:t>Measure</w:t>
            </w:r>
          </w:p>
        </w:tc>
        <w:tc>
          <w:tcPr>
            <w:tcW w:w="2527" w:type="dxa"/>
            <w:tcBorders>
              <w:bottom w:val="single" w:color="90A4AE" w:sz="6" w:space="0"/>
            </w:tcBorders>
            <w:tcMar>
              <w:top w:w="80" w:type="dxa"/>
              <w:left w:w="80" w:type="dxa"/>
              <w:bottom w:w="80" w:type="dxa"/>
              <w:right w:w="80" w:type="dxa"/>
              <w:start w:type="dxa" w:w="120"/>
              <w:end w:type="dxa" w:w="120"/>
            </w:tcMar>
            <w:vAlign w:val="center"/>
          </w:tcPr>
          <w:p>
            <w:pPr>
              <w:keepNext/>
              <w:spacing w:before="0" w:after="0" w:line="240" w:lineRule="auto"/>
              <w:jc w:val="center"/>
            </w:pPr>
            <w:r>
              <w:rPr>
                <w:rFonts w:ascii="Times New Roman" w:hAnsi="Times New Roman" w:eastAsia="Times New Roman"/>
                <w:b/>
                <w:color w:val="000000"/>
                <w:sz w:val="18"/>
              </w:rPr>
              <w:t>Estimate (95% CI)</w:t>
            </w:r>
          </w:p>
        </w:tc>
        <w:tc>
          <w:tcPr>
            <w:tcW w:w="1283" w:type="dxa"/>
            <w:tcBorders>
              <w:bottom w:val="single" w:color="90A4AE" w:sz="6" w:space="0"/>
            </w:tcBorders>
            <w:tcMar>
              <w:top w:w="80" w:type="dxa"/>
              <w:left w:w="80" w:type="dxa"/>
              <w:bottom w:w="80" w:type="dxa"/>
              <w:right w:w="80" w:type="dxa"/>
              <w:start w:type="dxa" w:w="120"/>
              <w:end w:type="dxa" w:w="120"/>
            </w:tcMar>
            <w:vAlign w:val="center"/>
          </w:tcPr>
          <w:p>
            <w:pPr>
              <w:keepNext/>
              <w:spacing w:before="0" w:after="0" w:line="240" w:lineRule="auto"/>
              <w:jc w:val="center"/>
            </w:pPr>
            <w:r>
              <w:rPr>
                <w:rFonts w:ascii="Times New Roman" w:hAnsi="Times New Roman" w:eastAsia="Times New Roman"/>
                <w:b/>
                <w:color w:val="000000"/>
                <w:sz w:val="18"/>
              </w:rPr>
              <w:t>P value</w:t>
            </w:r>
          </w:p>
        </w:tc>
        <w:tc>
          <w:tcPr>
            <w:tcW w:w="1383" w:type="dxa"/>
            <w:tcBorders>
              <w:bottom w:val="single" w:color="90A4AE" w:sz="6" w:space="0"/>
            </w:tcBorders>
            <w:tcMar>
              <w:top w:w="80" w:type="dxa"/>
              <w:left w:w="80" w:type="dxa"/>
              <w:bottom w:w="80" w:type="dxa"/>
              <w:right w:w="80" w:type="dxa"/>
              <w:start w:type="dxa" w:w="120"/>
              <w:end w:type="dxa" w:w="120"/>
            </w:tcMar>
            <w:vAlign w:val="center"/>
          </w:tcPr>
          <w:p>
            <w:pPr>
              <w:keepNext/>
              <w:spacing w:before="0" w:after="0" w:line="240" w:lineRule="auto"/>
              <w:jc w:val="center"/>
            </w:pPr>
            <w:r>
              <w:rPr>
                <w:rFonts w:ascii="Times New Roman" w:hAnsi="Times New Roman" w:eastAsia="Times New Roman"/>
                <w:b/>
                <w:color w:val="000000"/>
                <w:sz w:val="18"/>
              </w:rPr>
              <w:t>Unweighted n</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2369" w:type="dxa"/>
            <w:tcMar>
              <w:top w:w="80" w:type="dxa"/>
              <w:left w:w="80" w:type="dxa"/>
              <w:bottom w:w="80" w:type="dxa"/>
              <w:right w:w="80" w:type="dxa"/>
              <w:start w:type="dxa" w:w="120"/>
              <w:end w:type="dxa" w:w="120"/>
            </w:tcMar>
            <w:vAlign w:val="center"/>
          </w:tcPr>
          <w:p>
            <w:pPr>
              <w:spacing w:before="0" w:after="0" w:line="240" w:lineRule="auto"/>
              <w:jc w:val="left"/>
            </w:pPr>
            <w:r>
              <w:rPr>
                <w:rFonts w:ascii="Times New Roman" w:hAnsi="Times New Roman" w:eastAsia="Times New Roman"/>
                <w:color w:val="000000"/>
                <w:sz w:val="18"/>
              </w:rPr>
              <w:t>2023</w:t>
            </w:r>
          </w:p>
        </w:tc>
        <w:tc>
          <w:tcPr>
            <w:tcW w:w="1678"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PR</w:t>
            </w:r>
          </w:p>
        </w:tc>
        <w:tc>
          <w:tcPr>
            <w:tcW w:w="2527"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1.10 (1.04–1.17)</w:t>
            </w:r>
          </w:p>
        </w:tc>
        <w:tc>
          <w:tcPr>
            <w:tcW w:w="1283"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.001</w:t>
            </w:r>
          </w:p>
        </w:tc>
        <w:tc>
          <w:tcPr>
            <w:tcW w:w="1383"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2572</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2369" w:type="dxa"/>
            <w:tcMar>
              <w:top w:w="80" w:type="dxa"/>
              <w:left w:w="80" w:type="dxa"/>
              <w:bottom w:w="80" w:type="dxa"/>
              <w:right w:w="80" w:type="dxa"/>
              <w:start w:type="dxa" w:w="120"/>
              <w:end w:type="dxa" w:w="120"/>
            </w:tcMar>
            <w:vAlign w:val="center"/>
          </w:tcPr>
          <w:p>
            <w:pPr>
              <w:spacing w:before="0" w:after="0" w:line="240" w:lineRule="auto"/>
              <w:jc w:val="left"/>
            </w:pPr>
            <w:r>
              <w:rPr>
                <w:rFonts w:ascii="Times New Roman" w:hAnsi="Times New Roman" w:eastAsia="Times New Roman"/>
                <w:color w:val="000000"/>
                <w:sz w:val="18"/>
              </w:rPr>
              <w:t>2024</w:t>
            </w:r>
          </w:p>
        </w:tc>
        <w:tc>
          <w:tcPr>
            <w:tcW w:w="1678"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PR</w:t>
            </w:r>
          </w:p>
        </w:tc>
        <w:tc>
          <w:tcPr>
            <w:tcW w:w="2527"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1.11 (1.05–1.18)</w:t>
            </w:r>
          </w:p>
        </w:tc>
        <w:tc>
          <w:tcPr>
            <w:tcW w:w="1283"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&lt;.001</w:t>
            </w:r>
          </w:p>
        </w:tc>
        <w:tc>
          <w:tcPr>
            <w:tcW w:w="1383"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3073</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2369" w:type="dxa"/>
            <w:tcMar>
              <w:top w:w="80" w:type="dxa"/>
              <w:left w:w="80" w:type="dxa"/>
              <w:bottom w:w="80" w:type="dxa"/>
              <w:right w:w="80" w:type="dxa"/>
              <w:start w:type="dxa" w:w="120"/>
              <w:end w:type="dxa" w:w="120"/>
            </w:tcMar>
            <w:vAlign w:val="center"/>
          </w:tcPr>
          <w:p>
            <w:pPr>
              <w:spacing w:before="0" w:after="0" w:line="240" w:lineRule="auto"/>
              <w:jc w:val="left"/>
            </w:pPr>
            <w:r>
              <w:t>Movement-guideline score × survey year interaction</w:t>
            </w:r>
          </w:p>
        </w:tc>
        <w:tc>
          <w:tcPr>
            <w:tcW w:w="1678"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Interaction PR</w:t>
            </w:r>
          </w:p>
        </w:tc>
        <w:tc>
          <w:tcPr>
            <w:tcW w:w="2527"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1.00 (0.92–1.08)</w:t>
            </w:r>
          </w:p>
        </w:tc>
        <w:tc>
          <w:tcPr>
            <w:tcW w:w="1283"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.938</w:t>
            </w:r>
          </w:p>
        </w:tc>
        <w:tc>
          <w:tcPr>
            <w:tcW w:w="1383"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5645</w:t>
            </w:r>
          </w:p>
        </w:tc>
      </w:tr>
    </w:tbl>
    <w:p>
      <w:pPr>
        <w:pStyle w:val="1"/>
        <w:spacing w:before="60" w:after="160" w:line="480" w:lineRule="auto"/>
      </w:pPr>
      <w:r>
        <w:rPr>
          <w:rFonts w:ascii="Times New Roman" w:hAnsi="Times New Roman" w:eastAsia="Times New Roman" w:cs="Times New Roman"/>
          <w:i/>
          <w:color w:val="000000"/>
          <w:sz w:val="24"/>
          <w:szCs w:val="22"/>
        </w:rPr>
        <w:t>PRs are from survey-weighted modified Poisson models with the primary adjustment set excluding survey year in year-specific models. CI indicates confidence interval.</w:t>
      </w:r>
    </w:p>
    <w:p>
      <w:pPr>
        <w:pStyle w:val="1"/>
        <w:spacing w:after="200" w:line="480" w:lineRule="auto"/>
      </w:pPr>
    </w:p>
    <w:p>
      <w:pPr>
        <w:pStyle w:val="Heading2"/>
        <w:keepNext/>
        <w:spacing w:before="240" w:after="80" w:line="480" w:lineRule="auto"/>
        <w:ind w:left="0" w:right="0" w:firstLine="0"/>
      </w:pPr>
      <w:r>
        <w:rPr>
          <w:rFonts w:ascii="Times New Roman" w:hAnsi="Times New Roman" w:eastAsia="Times New Roman"/>
          <w:color w:val="000000"/>
          <w:sz w:val="24"/>
        </w:rPr>
        <w:t>eTable 4. Primary prevalence-ratio and secondary logistic sensitivity analyses</w:t>
      </w:r>
    </w:p>
    <w:tbl>
      <w:tblPr>
        <w:tblStyle w:val="2"/>
        <w:tblW w:w="9240" w:type="dxa"/>
        <w:jc w:val="left"/>
        <w:tblInd w:w="120" w:type="dxa"/>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3613"/>
        <w:gridCol w:w="1086"/>
        <w:gridCol w:w="2330"/>
        <w:gridCol w:w="1086"/>
        <w:gridCol w:w="1125"/>
      </w:tblGrid>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rPr>
          <w:tblHeader w:val="true"/>
        </w:trPr>
        <w:tc>
          <w:tcPr>
            <w:tcW w:w="3613" w:type="dxa"/>
            <w:tcBorders>
              <w:bottom w:val="single" w:color="90A4AE" w:sz="6" w:space="0"/>
            </w:tcBorders>
            <w:tcMar>
              <w:top w:w="80" w:type="dxa"/>
              <w:left w:w="80" w:type="dxa"/>
              <w:bottom w:w="80" w:type="dxa"/>
              <w:right w:w="80" w:type="dxa"/>
              <w:start w:type="dxa" w:w="120"/>
              <w:end w:type="dxa" w:w="120"/>
            </w:tcMar>
            <w:vAlign w:val="center"/>
          </w:tcPr>
          <w:p>
            <w:pPr>
              <w:keepNext/>
              <w:spacing w:before="0" w:after="0" w:line="240" w:lineRule="auto"/>
              <w:jc w:val="left"/>
            </w:pPr>
            <w:r>
              <w:rPr>
                <w:rFonts w:ascii="Times New Roman" w:hAnsi="Times New Roman" w:eastAsia="Times New Roman"/>
                <w:b/>
                <w:color w:val="000000"/>
                <w:sz w:val="18"/>
              </w:rPr>
              <w:t>Model</w:t>
            </w:r>
          </w:p>
        </w:tc>
        <w:tc>
          <w:tcPr>
            <w:tcW w:w="1086" w:type="dxa"/>
            <w:tcBorders>
              <w:bottom w:val="single" w:color="90A4AE" w:sz="6" w:space="0"/>
            </w:tcBorders>
            <w:tcMar>
              <w:top w:w="80" w:type="dxa"/>
              <w:left w:w="80" w:type="dxa"/>
              <w:bottom w:w="80" w:type="dxa"/>
              <w:right w:w="80" w:type="dxa"/>
              <w:start w:type="dxa" w:w="120"/>
              <w:end w:type="dxa" w:w="120"/>
            </w:tcMar>
            <w:vAlign w:val="center"/>
          </w:tcPr>
          <w:p>
            <w:pPr>
              <w:keepNext/>
              <w:spacing w:before="0" w:after="0" w:line="240" w:lineRule="auto"/>
              <w:jc w:val="center"/>
            </w:pPr>
            <w:r>
              <w:rPr>
                <w:rFonts w:ascii="Times New Roman" w:hAnsi="Times New Roman" w:eastAsia="Times New Roman"/>
                <w:b/>
                <w:color w:val="000000"/>
                <w:sz w:val="18"/>
              </w:rPr>
              <w:t>Measure</w:t>
            </w:r>
          </w:p>
        </w:tc>
        <w:tc>
          <w:tcPr>
            <w:tcW w:w="2330" w:type="dxa"/>
            <w:tcBorders>
              <w:bottom w:val="single" w:color="90A4AE" w:sz="6" w:space="0"/>
            </w:tcBorders>
            <w:tcMar>
              <w:top w:w="80" w:type="dxa"/>
              <w:left w:w="80" w:type="dxa"/>
              <w:bottom w:w="80" w:type="dxa"/>
              <w:right w:w="80" w:type="dxa"/>
              <w:start w:type="dxa" w:w="120"/>
              <w:end w:type="dxa" w:w="120"/>
            </w:tcMar>
            <w:vAlign w:val="center"/>
          </w:tcPr>
          <w:p>
            <w:pPr>
              <w:keepNext/>
              <w:spacing w:before="0" w:after="0" w:line="240" w:lineRule="auto"/>
              <w:jc w:val="center"/>
            </w:pPr>
            <w:r>
              <w:rPr>
                <w:rFonts w:ascii="Times New Roman" w:hAnsi="Times New Roman" w:eastAsia="Times New Roman"/>
                <w:b/>
                <w:color w:val="000000"/>
                <w:sz w:val="18"/>
              </w:rPr>
              <w:t>Estimate (95% CI)</w:t>
            </w:r>
          </w:p>
        </w:tc>
        <w:tc>
          <w:tcPr>
            <w:tcW w:w="1086" w:type="dxa"/>
            <w:tcBorders>
              <w:bottom w:val="single" w:color="90A4AE" w:sz="6" w:space="0"/>
            </w:tcBorders>
            <w:tcMar>
              <w:top w:w="80" w:type="dxa"/>
              <w:left w:w="80" w:type="dxa"/>
              <w:bottom w:w="80" w:type="dxa"/>
              <w:right w:w="80" w:type="dxa"/>
              <w:start w:type="dxa" w:w="120"/>
              <w:end w:type="dxa" w:w="120"/>
            </w:tcMar>
            <w:vAlign w:val="center"/>
          </w:tcPr>
          <w:p>
            <w:pPr>
              <w:keepNext/>
              <w:spacing w:before="0" w:after="0" w:line="240" w:lineRule="auto"/>
              <w:jc w:val="center"/>
            </w:pPr>
            <w:r>
              <w:rPr>
                <w:rFonts w:ascii="Times New Roman" w:hAnsi="Times New Roman" w:eastAsia="Times New Roman"/>
                <w:b/>
                <w:color w:val="000000"/>
                <w:sz w:val="18"/>
              </w:rPr>
              <w:t>P value</w:t>
            </w:r>
          </w:p>
        </w:tc>
        <w:tc>
          <w:tcPr>
            <w:tcW w:w="1125" w:type="dxa"/>
            <w:tcBorders>
              <w:bottom w:val="single" w:color="90A4AE" w:sz="6" w:space="0"/>
            </w:tcBorders>
            <w:tcMar>
              <w:top w:w="80" w:type="dxa"/>
              <w:left w:w="80" w:type="dxa"/>
              <w:bottom w:w="80" w:type="dxa"/>
              <w:right w:w="80" w:type="dxa"/>
              <w:start w:type="dxa" w:w="120"/>
              <w:end w:type="dxa" w:w="120"/>
            </w:tcMar>
            <w:vAlign w:val="center"/>
          </w:tcPr>
          <w:p>
            <w:pPr>
              <w:keepNext/>
              <w:spacing w:before="0" w:after="0" w:line="240" w:lineRule="auto"/>
              <w:jc w:val="center"/>
            </w:pPr>
            <w:r>
              <w:rPr>
                <w:rFonts w:ascii="Times New Roman" w:hAnsi="Times New Roman" w:eastAsia="Times New Roman"/>
                <w:b/>
                <w:color w:val="000000"/>
                <w:sz w:val="18"/>
              </w:rPr>
              <w:t>Unweighted n</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3613" w:type="dxa"/>
            <w:tcMar>
              <w:top w:w="80" w:type="dxa"/>
              <w:left w:w="80" w:type="dxa"/>
              <w:bottom w:w="80" w:type="dxa"/>
              <w:right w:w="80" w:type="dxa"/>
              <w:start w:type="dxa" w:w="120"/>
              <w:end w:type="dxa" w:w="120"/>
            </w:tcMar>
            <w:vAlign w:val="center"/>
          </w:tcPr>
          <w:p>
            <w:pPr>
              <w:spacing w:before="0" w:after="0" w:line="240" w:lineRule="auto"/>
              <w:jc w:val="left"/>
            </w:pPr>
            <w:r>
              <w:rPr>
                <w:rFonts w:ascii="Times New Roman" w:hAnsi="Times New Roman" w:eastAsia="Times New Roman"/>
                <w:color w:val="000000"/>
                <w:sz w:val="18"/>
              </w:rPr>
              <w:t>Primary adjusted prevalence ratio</w:t>
            </w:r>
          </w:p>
        </w:tc>
        <w:tc>
          <w:tcPr>
            <w:tcW w:w="1086"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PR</w:t>
            </w:r>
          </w:p>
        </w:tc>
        <w:tc>
          <w:tcPr>
            <w:tcW w:w="2330"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1.11 (1.06–1.16)</w:t>
            </w:r>
          </w:p>
        </w:tc>
        <w:tc>
          <w:tcPr>
            <w:tcW w:w="1086"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&lt;.001</w:t>
            </w:r>
          </w:p>
        </w:tc>
        <w:tc>
          <w:tcPr>
            <w:tcW w:w="1125"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5645</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3613" w:type="dxa"/>
            <w:tcMar>
              <w:top w:w="80" w:type="dxa"/>
              <w:left w:w="80" w:type="dxa"/>
              <w:bottom w:w="80" w:type="dxa"/>
              <w:right w:w="80" w:type="dxa"/>
              <w:start w:type="dxa" w:w="120"/>
              <w:end w:type="dxa" w:w="120"/>
            </w:tcMar>
            <w:vAlign w:val="center"/>
          </w:tcPr>
          <w:p>
            <w:pPr>
              <w:spacing w:before="0" w:after="0" w:line="240" w:lineRule="auto"/>
              <w:jc w:val="left"/>
            </w:pPr>
            <w:r>
              <w:rPr>
                <w:rFonts w:ascii="Times New Roman" w:hAnsi="Times New Roman" w:eastAsia="Times New Roman"/>
                <w:color w:val="000000"/>
                <w:sz w:val="18"/>
              </w:rPr>
              <w:t>Demographic adjustment</w:t>
            </w:r>
          </w:p>
        </w:tc>
        <w:tc>
          <w:tcPr>
            <w:tcW w:w="1086"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OR</w:t>
            </w:r>
          </w:p>
        </w:tc>
        <w:tc>
          <w:tcPr>
            <w:tcW w:w="2330"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1.38 (1.20–1.59)</w:t>
            </w:r>
          </w:p>
        </w:tc>
        <w:tc>
          <w:tcPr>
            <w:tcW w:w="1086"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&lt;.001</w:t>
            </w:r>
          </w:p>
        </w:tc>
        <w:tc>
          <w:tcPr>
            <w:tcW w:w="1125"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5934</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3613" w:type="dxa"/>
            <w:tcMar>
              <w:top w:w="80" w:type="dxa"/>
              <w:left w:w="80" w:type="dxa"/>
              <w:bottom w:w="80" w:type="dxa"/>
              <w:right w:w="80" w:type="dxa"/>
              <w:start w:type="dxa" w:w="120"/>
              <w:end w:type="dxa" w:w="120"/>
            </w:tcMar>
            <w:vAlign w:val="center"/>
          </w:tcPr>
          <w:p>
            <w:pPr>
              <w:spacing w:before="0" w:after="0" w:line="240" w:lineRule="auto"/>
              <w:jc w:val="left"/>
            </w:pPr>
            <w:r>
              <w:rPr>
                <w:rFonts w:ascii="Times New Roman" w:hAnsi="Times New Roman" w:eastAsia="Times New Roman"/>
                <w:color w:val="000000"/>
                <w:sz w:val="18"/>
              </w:rPr>
              <w:t>Primary adjustment</w:t>
            </w:r>
          </w:p>
        </w:tc>
        <w:tc>
          <w:tcPr>
            <w:tcW w:w="1086"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OR</w:t>
            </w:r>
          </w:p>
        </w:tc>
        <w:tc>
          <w:tcPr>
            <w:tcW w:w="2330"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1.43 (1.25–1.65)</w:t>
            </w:r>
          </w:p>
        </w:tc>
        <w:tc>
          <w:tcPr>
            <w:tcW w:w="1086"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&lt;.001</w:t>
            </w:r>
          </w:p>
        </w:tc>
        <w:tc>
          <w:tcPr>
            <w:tcW w:w="1125"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5645</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3613" w:type="dxa"/>
            <w:tcMar>
              <w:top w:w="80" w:type="dxa"/>
              <w:left w:w="80" w:type="dxa"/>
              <w:bottom w:w="80" w:type="dxa"/>
              <w:right w:w="80" w:type="dxa"/>
              <w:start w:type="dxa" w:w="120"/>
              <w:end w:type="dxa" w:w="120"/>
            </w:tcMar>
            <w:vAlign w:val="center"/>
          </w:tcPr>
          <w:p>
            <w:pPr>
              <w:spacing w:before="0" w:after="0" w:line="240" w:lineRule="auto"/>
              <w:jc w:val="left"/>
            </w:pPr>
            <w:r>
              <w:rPr>
                <w:rFonts w:ascii="Times New Roman" w:hAnsi="Times New Roman" w:eastAsia="Times New Roman"/>
                <w:color w:val="000000"/>
                <w:sz w:val="18"/>
              </w:rPr>
              <w:t>Extended adjustment: BMI and multimorbidity</w:t>
            </w:r>
          </w:p>
        </w:tc>
        <w:tc>
          <w:tcPr>
            <w:tcW w:w="1086"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OR</w:t>
            </w:r>
          </w:p>
        </w:tc>
        <w:tc>
          <w:tcPr>
            <w:tcW w:w="2330"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1.46 (1.26–1.69)</w:t>
            </w:r>
          </w:p>
        </w:tc>
        <w:tc>
          <w:tcPr>
            <w:tcW w:w="1086"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&lt;.001</w:t>
            </w:r>
          </w:p>
        </w:tc>
        <w:tc>
          <w:tcPr>
            <w:tcW w:w="1125"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5456</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3613" w:type="dxa"/>
            <w:tcMar>
              <w:top w:w="80" w:type="dxa"/>
              <w:left w:w="80" w:type="dxa"/>
              <w:bottom w:w="80" w:type="dxa"/>
              <w:right w:w="80" w:type="dxa"/>
              <w:start w:type="dxa" w:w="120"/>
              <w:end w:type="dxa" w:w="120"/>
            </w:tcMar>
            <w:vAlign w:val="center"/>
          </w:tcPr>
          <w:p>
            <w:pPr>
              <w:spacing w:before="0" w:after="0" w:line="240" w:lineRule="auto"/>
              <w:jc w:val="left"/>
            </w:pPr>
            <w:r>
              <w:rPr>
                <w:rFonts w:ascii="Times New Roman" w:hAnsi="Times New Roman" w:eastAsia="Times New Roman"/>
                <w:color w:val="000000"/>
                <w:sz w:val="18"/>
              </w:rPr>
              <w:t>Restricted to asthma only (no additional listed condition)</w:t>
            </w:r>
          </w:p>
        </w:tc>
        <w:tc>
          <w:tcPr>
            <w:tcW w:w="1086"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OR</w:t>
            </w:r>
          </w:p>
        </w:tc>
        <w:tc>
          <w:tcPr>
            <w:tcW w:w="2330"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1.34 (0.98–1.83)</w:t>
            </w:r>
          </w:p>
        </w:tc>
        <w:tc>
          <w:tcPr>
            <w:tcW w:w="1086"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.065</w:t>
            </w:r>
          </w:p>
        </w:tc>
        <w:tc>
          <w:tcPr>
            <w:tcW w:w="1125"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921</w:t>
            </w:r>
          </w:p>
        </w:tc>
      </w:tr>
    </w:tbl>
    <w:p>
      <w:pPr>
        <w:pStyle w:val="1"/>
        <w:spacing w:before="60" w:after="160" w:line="480" w:lineRule="auto"/>
      </w:pPr>
      <w:r>
        <w:rPr>
          <w:rFonts w:ascii="Times New Roman" w:hAnsi="Times New Roman" w:eastAsia="Times New Roman" w:cs="Times New Roman"/>
          <w:i/>
          <w:color w:val="000000"/>
          <w:sz w:val="24"/>
          <w:szCs w:val="22"/>
        </w:rPr>
        <w:t>Minimal sociodemographic adjustment includes age group, sex, race and ethnicity, household poverty (6 implicates), and survey year. The primary adjustment additionally includes adult education, insurance, preterm birth, low birth weight, and asthma severity. The extended model additionally includes BMI category and multimorbidity. PR is primary; OR estimates are secondary sensitivity analyses.</w:t>
      </w:r>
      <w:r>
        <w:rPr>
          <w:rFonts w:ascii="Times New Roman" w:hAnsi="Times New Roman" w:eastAsia="Times New Roman"/>
          <w:color w:val="000000"/>
          <w:sz w:val="24"/>
        </w:rPr>
      </w:r>
    </w:p>
    <w:p>
      <w:pPr>
        <w:pStyle w:val="1"/>
        <w:spacing w:after="200" w:line="480" w:lineRule="auto"/>
      </w:pPr>
    </w:p>
    <w:p>
      <w:pPr>
        <w:pStyle w:val="Heading2"/>
        <w:keepNext/>
        <w:spacing w:before="240" w:after="80" w:line="480" w:lineRule="auto"/>
        <w:ind w:left="0" w:right="0" w:firstLine="0"/>
      </w:pPr>
      <w:r>
        <w:rPr>
          <w:rFonts w:ascii="Times New Roman" w:hAnsi="Times New Roman" w:eastAsia="Times New Roman"/>
          <w:color w:val="000000"/>
          <w:sz w:val="24"/>
        </w:rPr>
        <w:t>eTable 5. Secondary oral-health outcomes per additional movement guideline met</w:t>
      </w:r>
    </w:p>
    <w:tbl>
      <w:tblPr>
        <w:tblStyle w:val="2"/>
        <w:tblW w:w="9240" w:type="dxa"/>
        <w:jc w:val="left"/>
        <w:tblInd w:w="120" w:type="dxa"/>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3119"/>
        <w:gridCol w:w="888"/>
        <w:gridCol w:w="2132"/>
        <w:gridCol w:w="987"/>
        <w:gridCol w:w="987"/>
        <w:gridCol w:w="1127"/>
      </w:tblGrid>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rPr>
          <w:tblHeader w:val="true"/>
        </w:trPr>
        <w:tc>
          <w:tcPr>
            <w:tcW w:w="3119" w:type="dxa"/>
            <w:tcBorders>
              <w:bottom w:val="single" w:color="90A4AE" w:sz="6" w:space="0"/>
            </w:tcBorders>
            <w:tcMar>
              <w:top w:w="80" w:type="dxa"/>
              <w:left w:w="80" w:type="dxa"/>
              <w:bottom w:w="80" w:type="dxa"/>
              <w:right w:w="80" w:type="dxa"/>
              <w:start w:type="dxa" w:w="120"/>
              <w:end w:type="dxa" w:w="120"/>
            </w:tcMar>
            <w:vAlign w:val="center"/>
          </w:tcPr>
          <w:p>
            <w:pPr>
              <w:keepNext/>
              <w:spacing w:before="0" w:after="0" w:line="240" w:lineRule="auto"/>
              <w:jc w:val="left"/>
            </w:pPr>
            <w:r>
              <w:rPr>
                <w:rFonts w:ascii="Times New Roman" w:hAnsi="Times New Roman" w:eastAsia="Times New Roman"/>
                <w:b/>
                <w:color w:val="000000"/>
                <w:sz w:val="18"/>
              </w:rPr>
              <w:t>Outcome</w:t>
            </w:r>
          </w:p>
        </w:tc>
        <w:tc>
          <w:tcPr>
            <w:tcW w:w="888" w:type="dxa"/>
            <w:tcBorders>
              <w:bottom w:val="single" w:color="90A4AE" w:sz="6" w:space="0"/>
            </w:tcBorders>
            <w:tcMar>
              <w:top w:w="80" w:type="dxa"/>
              <w:left w:w="80" w:type="dxa"/>
              <w:bottom w:w="80" w:type="dxa"/>
              <w:right w:w="80" w:type="dxa"/>
              <w:start w:type="dxa" w:w="120"/>
              <w:end w:type="dxa" w:w="120"/>
            </w:tcMar>
            <w:vAlign w:val="center"/>
          </w:tcPr>
          <w:p>
            <w:pPr>
              <w:keepNext/>
              <w:spacing w:before="0" w:after="0" w:line="240" w:lineRule="auto"/>
              <w:jc w:val="center"/>
            </w:pPr>
            <w:r>
              <w:rPr>
                <w:rFonts w:ascii="Times New Roman" w:hAnsi="Times New Roman" w:eastAsia="Times New Roman"/>
                <w:b/>
                <w:color w:val="000000"/>
                <w:sz w:val="18"/>
              </w:rPr>
              <w:t>Measure</w:t>
            </w:r>
          </w:p>
        </w:tc>
        <w:tc>
          <w:tcPr>
            <w:tcW w:w="2132" w:type="dxa"/>
            <w:tcBorders>
              <w:bottom w:val="single" w:color="90A4AE" w:sz="6" w:space="0"/>
            </w:tcBorders>
            <w:tcMar>
              <w:top w:w="80" w:type="dxa"/>
              <w:left w:w="80" w:type="dxa"/>
              <w:bottom w:w="80" w:type="dxa"/>
              <w:right w:w="80" w:type="dxa"/>
              <w:start w:type="dxa" w:w="120"/>
              <w:end w:type="dxa" w:w="120"/>
            </w:tcMar>
            <w:vAlign w:val="center"/>
          </w:tcPr>
          <w:p>
            <w:pPr>
              <w:keepNext/>
              <w:spacing w:before="0" w:after="0" w:line="240" w:lineRule="auto"/>
              <w:jc w:val="center"/>
            </w:pPr>
            <w:r>
              <w:rPr>
                <w:rFonts w:ascii="Times New Roman" w:hAnsi="Times New Roman" w:eastAsia="Times New Roman"/>
                <w:b/>
                <w:color w:val="000000"/>
                <w:sz w:val="18"/>
              </w:rPr>
              <w:t>Estimate (95% CI)</w:t>
            </w:r>
          </w:p>
        </w:tc>
        <w:tc>
          <w:tcPr>
            <w:tcW w:w="987" w:type="dxa"/>
            <w:tcBorders>
              <w:bottom w:val="single" w:color="90A4AE" w:sz="6" w:space="0"/>
            </w:tcBorders>
            <w:tcMar>
              <w:top w:w="80" w:type="dxa"/>
              <w:left w:w="80" w:type="dxa"/>
              <w:bottom w:w="80" w:type="dxa"/>
              <w:right w:w="80" w:type="dxa"/>
              <w:start w:type="dxa" w:w="120"/>
              <w:end w:type="dxa" w:w="120"/>
            </w:tcMar>
            <w:vAlign w:val="center"/>
          </w:tcPr>
          <w:p>
            <w:pPr>
              <w:keepNext/>
              <w:spacing w:before="0" w:after="0" w:line="240" w:lineRule="auto"/>
              <w:jc w:val="center"/>
            </w:pPr>
            <w:r>
              <w:rPr>
                <w:rFonts w:ascii="Times New Roman" w:hAnsi="Times New Roman" w:eastAsia="Times New Roman"/>
                <w:b/>
                <w:color w:val="000000"/>
                <w:sz w:val="18"/>
              </w:rPr>
              <w:t>P value</w:t>
            </w:r>
          </w:p>
        </w:tc>
        <w:tc>
          <w:tcPr>
            <w:tcW w:w="987" w:type="dxa"/>
            <w:tcBorders>
              <w:bottom w:val="single" w:color="90A4AE" w:sz="6" w:space="0"/>
            </w:tcBorders>
            <w:tcMar>
              <w:top w:w="80" w:type="dxa"/>
              <w:left w:w="80" w:type="dxa"/>
              <w:bottom w:w="80" w:type="dxa"/>
              <w:right w:w="80" w:type="dxa"/>
              <w:start w:type="dxa" w:w="120"/>
              <w:end w:type="dxa" w:w="120"/>
            </w:tcMar>
            <w:vAlign w:val="center"/>
          </w:tcPr>
          <w:p>
            <w:pPr>
              <w:keepNext/>
              <w:spacing w:before="0" w:after="0" w:line="240" w:lineRule="auto"/>
              <w:jc w:val="center"/>
            </w:pPr>
            <w:r>
              <w:rPr>
                <w:rFonts w:ascii="Times New Roman" w:hAnsi="Times New Roman" w:eastAsia="Times New Roman"/>
                <w:b/>
                <w:color w:val="000000"/>
                <w:sz w:val="18"/>
              </w:rPr>
              <w:t>q value</w:t>
            </w:r>
          </w:p>
        </w:tc>
        <w:tc>
          <w:tcPr>
            <w:tcW w:w="1127" w:type="dxa"/>
            <w:tcBorders>
              <w:bottom w:val="single" w:color="90A4AE" w:sz="6" w:space="0"/>
            </w:tcBorders>
            <w:tcMar>
              <w:top w:w="80" w:type="dxa"/>
              <w:left w:w="80" w:type="dxa"/>
              <w:bottom w:w="80" w:type="dxa"/>
              <w:right w:w="80" w:type="dxa"/>
              <w:start w:type="dxa" w:w="120"/>
              <w:end w:type="dxa" w:w="120"/>
            </w:tcMar>
            <w:vAlign w:val="center"/>
          </w:tcPr>
          <w:p>
            <w:pPr>
              <w:keepNext/>
              <w:spacing w:before="0" w:after="0" w:line="240" w:lineRule="auto"/>
              <w:jc w:val="center"/>
            </w:pPr>
            <w:r>
              <w:rPr>
                <w:rFonts w:ascii="Times New Roman" w:hAnsi="Times New Roman" w:eastAsia="Times New Roman"/>
                <w:b/>
                <w:color w:val="000000"/>
                <w:sz w:val="18"/>
              </w:rPr>
              <w:t>Unweighted n</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3119" w:type="dxa"/>
            <w:tcMar>
              <w:top w:w="80" w:type="dxa"/>
              <w:left w:w="80" w:type="dxa"/>
              <w:bottom w:w="80" w:type="dxa"/>
              <w:right w:w="80" w:type="dxa"/>
              <w:start w:type="dxa" w:w="120"/>
              <w:end w:type="dxa" w:w="120"/>
            </w:tcMar>
            <w:vAlign w:val="center"/>
          </w:tcPr>
          <w:p>
            <w:pPr>
              <w:spacing w:before="0" w:after="0" w:line="240" w:lineRule="auto"/>
              <w:jc w:val="left"/>
            </w:pPr>
            <w:r>
              <w:rPr>
                <w:rFonts w:ascii="Times New Roman" w:hAnsi="Times New Roman" w:eastAsia="Times New Roman"/>
                <w:color w:val="000000"/>
                <w:sz w:val="18"/>
              </w:rPr>
              <w:t>No oral health problem in the past 12 months</w:t>
            </w:r>
          </w:p>
        </w:tc>
        <w:tc>
          <w:tcPr>
            <w:tcW w:w="888"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PR</w:t>
            </w:r>
          </w:p>
        </w:tc>
        <w:tc>
          <w:tcPr>
            <w:tcW w:w="2132"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1.05 (1.01–1.09)</w:t>
            </w:r>
          </w:p>
        </w:tc>
        <w:tc>
          <w:tcPr>
            <w:tcW w:w="987"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.007</w:t>
            </w:r>
          </w:p>
        </w:tc>
        <w:tc>
          <w:tcPr>
            <w:tcW w:w="987"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.013</w:t>
            </w:r>
          </w:p>
        </w:tc>
        <w:tc>
          <w:tcPr>
            <w:tcW w:w="1127"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5631</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3119" w:type="dxa"/>
            <w:tcMar>
              <w:top w:w="80" w:type="dxa"/>
              <w:left w:w="80" w:type="dxa"/>
              <w:bottom w:w="80" w:type="dxa"/>
              <w:right w:w="80" w:type="dxa"/>
              <w:start w:type="dxa" w:w="120"/>
              <w:end w:type="dxa" w:w="120"/>
            </w:tcMar>
            <w:vAlign w:val="center"/>
          </w:tcPr>
          <w:p>
            <w:pPr>
              <w:spacing w:before="0" w:after="0" w:line="240" w:lineRule="auto"/>
              <w:jc w:val="left"/>
            </w:pPr>
            <w:r>
              <w:rPr>
                <w:rFonts w:ascii="Times New Roman" w:hAnsi="Times New Roman" w:eastAsia="Times New Roman"/>
                <w:color w:val="000000"/>
                <w:sz w:val="18"/>
              </w:rPr>
              <w:t>No toothache in the past 12 months</w:t>
            </w:r>
          </w:p>
        </w:tc>
        <w:tc>
          <w:tcPr>
            <w:tcW w:w="888"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PR</w:t>
            </w:r>
          </w:p>
        </w:tc>
        <w:tc>
          <w:tcPr>
            <w:tcW w:w="2132"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0.99 (0.97–1.01)</w:t>
            </w:r>
          </w:p>
        </w:tc>
        <w:tc>
          <w:tcPr>
            <w:tcW w:w="987"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.545</w:t>
            </w:r>
          </w:p>
        </w:tc>
        <w:tc>
          <w:tcPr>
            <w:tcW w:w="987"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.545</w:t>
            </w:r>
          </w:p>
        </w:tc>
        <w:tc>
          <w:tcPr>
            <w:tcW w:w="1127"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5606</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3119" w:type="dxa"/>
            <w:tcMar>
              <w:top w:w="80" w:type="dxa"/>
              <w:left w:w="80" w:type="dxa"/>
              <w:bottom w:w="80" w:type="dxa"/>
              <w:right w:w="80" w:type="dxa"/>
              <w:start w:type="dxa" w:w="120"/>
              <w:end w:type="dxa" w:w="120"/>
            </w:tcMar>
            <w:vAlign w:val="center"/>
          </w:tcPr>
          <w:p>
            <w:pPr>
              <w:spacing w:before="0" w:after="0" w:line="240" w:lineRule="auto"/>
              <w:jc w:val="left"/>
            </w:pPr>
            <w:r>
              <w:rPr>
                <w:rFonts w:ascii="Times New Roman" w:hAnsi="Times New Roman" w:eastAsia="Times New Roman"/>
                <w:color w:val="000000"/>
                <w:sz w:val="18"/>
              </w:rPr>
              <w:t>No bleeding gums in the past 12 months</w:t>
            </w:r>
          </w:p>
        </w:tc>
        <w:tc>
          <w:tcPr>
            <w:tcW w:w="888"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PR</w:t>
            </w:r>
          </w:p>
        </w:tc>
        <w:tc>
          <w:tcPr>
            <w:tcW w:w="2132"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1.00 (0.99–1.01)</w:t>
            </w:r>
          </w:p>
        </w:tc>
        <w:tc>
          <w:tcPr>
            <w:tcW w:w="987"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.481</w:t>
            </w:r>
          </w:p>
        </w:tc>
        <w:tc>
          <w:tcPr>
            <w:tcW w:w="987"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.545</w:t>
            </w:r>
          </w:p>
        </w:tc>
        <w:tc>
          <w:tcPr>
            <w:tcW w:w="1127"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5604</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3119" w:type="dxa"/>
            <w:tcMar>
              <w:top w:w="80" w:type="dxa"/>
              <w:left w:w="80" w:type="dxa"/>
              <w:bottom w:w="80" w:type="dxa"/>
              <w:right w:w="80" w:type="dxa"/>
              <w:start w:type="dxa" w:w="120"/>
              <w:end w:type="dxa" w:w="120"/>
            </w:tcMar>
            <w:vAlign w:val="center"/>
          </w:tcPr>
          <w:p>
            <w:pPr>
              <w:spacing w:before="0" w:after="0" w:line="240" w:lineRule="auto"/>
              <w:jc w:val="left"/>
            </w:pPr>
            <w:r>
              <w:rPr>
                <w:rFonts w:ascii="Times New Roman" w:hAnsi="Times New Roman" w:eastAsia="Times New Roman"/>
                <w:color w:val="000000"/>
                <w:sz w:val="18"/>
              </w:rPr>
              <w:t>No decayed teeth or cavities in the past 12 months</w:t>
            </w:r>
          </w:p>
        </w:tc>
        <w:tc>
          <w:tcPr>
            <w:tcW w:w="888"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PR</w:t>
            </w:r>
          </w:p>
        </w:tc>
        <w:tc>
          <w:tcPr>
            <w:tcW w:w="2132"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1.04 (1.01–1.07)</w:t>
            </w:r>
          </w:p>
        </w:tc>
        <w:tc>
          <w:tcPr>
            <w:tcW w:w="987"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.004</w:t>
            </w:r>
          </w:p>
        </w:tc>
        <w:tc>
          <w:tcPr>
            <w:tcW w:w="987"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.013</w:t>
            </w:r>
          </w:p>
        </w:tc>
        <w:tc>
          <w:tcPr>
            <w:tcW w:w="1127"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5620</w:t>
            </w:r>
          </w:p>
        </w:tc>
      </w:tr>
    </w:tbl>
    <w:p>
      <w:pPr>
        <w:pStyle w:val="1"/>
        <w:spacing w:before="60" w:after="160" w:line="480" w:lineRule="auto"/>
      </w:pPr>
      <w:r>
        <w:rPr>
          <w:rFonts w:ascii="Times New Roman" w:hAnsi="Times New Roman" w:eastAsia="Times New Roman" w:cs="Times New Roman"/>
          <w:i/>
          <w:color w:val="000000"/>
          <w:sz w:val="24"/>
          <w:szCs w:val="22"/>
        </w:rPr>
        <w:t>q values are Benjamini–Hochberg adjusted across the 4 secondary outcomes. Results are exploratory.</w:t>
      </w:r>
    </w:p>
    <w:p>
      <w:pPr>
        <w:pStyle w:val="1"/>
        <w:spacing w:after="200" w:line="480" w:lineRule="auto"/>
      </w:pPr>
    </w:p>
    <w:p>
      <w:pPr>
        <w:pStyle w:val="Heading2"/>
        <w:keepNext/>
        <w:spacing w:before="240" w:after="80" w:line="480" w:lineRule="auto"/>
        <w:ind w:left="0" w:right="0" w:firstLine="0"/>
      </w:pPr>
      <w:r>
        <w:rPr>
          <w:rFonts w:ascii="Times New Roman" w:hAnsi="Times New Roman" w:eastAsia="Times New Roman"/>
          <w:color w:val="000000"/>
          <w:sz w:val="24"/>
        </w:rPr>
        <w:t>eTable 6. Current-asthma interaction for movement-guideline adherence</w:t>
      </w:r>
    </w:p>
    <w:tbl>
      <w:tblPr>
        <w:tblStyle w:val="2"/>
        <w:tblW w:w="9240" w:type="dxa"/>
        <w:jc w:val="left"/>
        <w:tblInd w:w="120" w:type="dxa"/>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4304"/>
        <w:gridCol w:w="1579"/>
        <w:gridCol w:w="2330"/>
        <w:gridCol w:w="1027"/>
      </w:tblGrid>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rPr>
          <w:tblHeader w:val="true"/>
        </w:trPr>
        <w:tc>
          <w:tcPr>
            <w:tcW w:w="4304" w:type="dxa"/>
            <w:tcBorders>
              <w:bottom w:val="single" w:color="90A4AE" w:sz="6" w:space="0"/>
            </w:tcBorders>
            <w:tcMar>
              <w:top w:w="80" w:type="dxa"/>
              <w:left w:w="80" w:type="dxa"/>
              <w:bottom w:w="80" w:type="dxa"/>
              <w:right w:w="80" w:type="dxa"/>
              <w:start w:type="dxa" w:w="120"/>
              <w:end w:type="dxa" w:w="120"/>
            </w:tcMar>
            <w:vAlign w:val="center"/>
          </w:tcPr>
          <w:p>
            <w:pPr>
              <w:keepNext/>
              <w:spacing w:before="0" w:after="0" w:line="240" w:lineRule="auto"/>
              <w:jc w:val="left"/>
            </w:pPr>
            <w:r>
              <w:rPr>
                <w:rFonts w:ascii="Times New Roman" w:hAnsi="Times New Roman" w:eastAsia="Times New Roman"/>
                <w:b/>
                <w:color w:val="000000"/>
                <w:sz w:val="18"/>
              </w:rPr>
              <w:t>Group</w:t>
            </w:r>
          </w:p>
        </w:tc>
        <w:tc>
          <w:tcPr>
            <w:tcW w:w="1579" w:type="dxa"/>
            <w:tcBorders>
              <w:bottom w:val="single" w:color="90A4AE" w:sz="6" w:space="0"/>
            </w:tcBorders>
            <w:tcMar>
              <w:top w:w="80" w:type="dxa"/>
              <w:left w:w="80" w:type="dxa"/>
              <w:bottom w:w="80" w:type="dxa"/>
              <w:right w:w="80" w:type="dxa"/>
              <w:start w:type="dxa" w:w="120"/>
              <w:end w:type="dxa" w:w="120"/>
            </w:tcMar>
            <w:vAlign w:val="center"/>
          </w:tcPr>
          <w:p>
            <w:pPr>
              <w:keepNext/>
              <w:spacing w:before="0" w:after="0" w:line="240" w:lineRule="auto"/>
              <w:jc w:val="center"/>
            </w:pPr>
            <w:r>
              <w:rPr>
                <w:rFonts w:ascii="Times New Roman" w:hAnsi="Times New Roman" w:eastAsia="Times New Roman"/>
                <w:b/>
                <w:color w:val="000000"/>
                <w:sz w:val="18"/>
              </w:rPr>
              <w:t>Measure</w:t>
            </w:r>
          </w:p>
        </w:tc>
        <w:tc>
          <w:tcPr>
            <w:tcW w:w="2330" w:type="dxa"/>
            <w:tcBorders>
              <w:bottom w:val="single" w:color="90A4AE" w:sz="6" w:space="0"/>
            </w:tcBorders>
            <w:tcMar>
              <w:top w:w="80" w:type="dxa"/>
              <w:left w:w="80" w:type="dxa"/>
              <w:bottom w:w="80" w:type="dxa"/>
              <w:right w:w="80" w:type="dxa"/>
              <w:start w:type="dxa" w:w="120"/>
              <w:end w:type="dxa" w:w="120"/>
            </w:tcMar>
            <w:vAlign w:val="center"/>
          </w:tcPr>
          <w:p>
            <w:pPr>
              <w:keepNext/>
              <w:spacing w:before="0" w:after="0" w:line="240" w:lineRule="auto"/>
              <w:jc w:val="center"/>
            </w:pPr>
            <w:r>
              <w:rPr>
                <w:rFonts w:ascii="Times New Roman" w:hAnsi="Times New Roman" w:eastAsia="Times New Roman"/>
                <w:b/>
                <w:color w:val="000000"/>
                <w:sz w:val="18"/>
              </w:rPr>
              <w:t>Estimate (95% CI)</w:t>
            </w:r>
          </w:p>
        </w:tc>
        <w:tc>
          <w:tcPr>
            <w:tcW w:w="1027" w:type="dxa"/>
            <w:tcBorders>
              <w:bottom w:val="single" w:color="90A4AE" w:sz="6" w:space="0"/>
            </w:tcBorders>
            <w:tcMar>
              <w:top w:w="80" w:type="dxa"/>
              <w:left w:w="80" w:type="dxa"/>
              <w:bottom w:w="80" w:type="dxa"/>
              <w:right w:w="80" w:type="dxa"/>
              <w:start w:type="dxa" w:w="120"/>
              <w:end w:type="dxa" w:w="120"/>
            </w:tcMar>
            <w:vAlign w:val="center"/>
          </w:tcPr>
          <w:p>
            <w:pPr>
              <w:keepNext/>
              <w:spacing w:before="0" w:after="0" w:line="240" w:lineRule="auto"/>
              <w:jc w:val="center"/>
            </w:pPr>
            <w:r>
              <w:rPr>
                <w:rFonts w:ascii="Times New Roman" w:hAnsi="Times New Roman" w:eastAsia="Times New Roman"/>
                <w:b/>
                <w:color w:val="000000"/>
                <w:sz w:val="18"/>
              </w:rPr>
              <w:t>P value</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4304" w:type="dxa"/>
            <w:tcMar>
              <w:top w:w="80" w:type="dxa"/>
              <w:left w:w="80" w:type="dxa"/>
              <w:bottom w:w="80" w:type="dxa"/>
              <w:right w:w="80" w:type="dxa"/>
              <w:start w:type="dxa" w:w="120"/>
              <w:end w:type="dxa" w:w="120"/>
            </w:tcMar>
            <w:vAlign w:val="center"/>
          </w:tcPr>
          <w:p>
            <w:pPr>
              <w:spacing w:before="0" w:after="0" w:line="240" w:lineRule="auto"/>
              <w:jc w:val="left"/>
            </w:pPr>
            <w:r>
              <w:rPr>
                <w:rFonts w:ascii="Times New Roman" w:hAnsi="Times New Roman" w:eastAsia="Times New Roman"/>
                <w:color w:val="000000"/>
                <w:sz w:val="18"/>
              </w:rPr>
              <w:t>No current asthma</w:t>
            </w:r>
          </w:p>
        </w:tc>
        <w:tc>
          <w:tcPr>
            <w:tcW w:w="1579"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PR</w:t>
            </w:r>
          </w:p>
        </w:tc>
        <w:tc>
          <w:tcPr>
            <w:tcW w:w="2330"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1.07 (1.06–1.08)</w:t>
            </w:r>
          </w:p>
        </w:tc>
        <w:tc>
          <w:tcPr>
            <w:tcW w:w="1027"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&lt;.001</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4304" w:type="dxa"/>
            <w:tcMar>
              <w:top w:w="80" w:type="dxa"/>
              <w:left w:w="80" w:type="dxa"/>
              <w:bottom w:w="80" w:type="dxa"/>
              <w:right w:w="80" w:type="dxa"/>
              <w:start w:type="dxa" w:w="120"/>
              <w:end w:type="dxa" w:w="120"/>
            </w:tcMar>
            <w:vAlign w:val="center"/>
          </w:tcPr>
          <w:p>
            <w:pPr>
              <w:spacing w:before="0" w:after="0" w:line="240" w:lineRule="auto"/>
              <w:jc w:val="left"/>
            </w:pPr>
            <w:r>
              <w:rPr>
                <w:rFonts w:ascii="Times New Roman" w:hAnsi="Times New Roman" w:eastAsia="Times New Roman"/>
                <w:color w:val="000000"/>
                <w:sz w:val="18"/>
              </w:rPr>
              <w:t>Current asthma</w:t>
            </w:r>
          </w:p>
        </w:tc>
        <w:tc>
          <w:tcPr>
            <w:tcW w:w="1579"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PR</w:t>
            </w:r>
          </w:p>
        </w:tc>
        <w:tc>
          <w:tcPr>
            <w:tcW w:w="2330"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1.12 (1.07–1.16)</w:t>
            </w:r>
          </w:p>
        </w:tc>
        <w:tc>
          <w:tcPr>
            <w:tcW w:w="1027"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&lt;.001</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4304" w:type="dxa"/>
            <w:tcMar>
              <w:top w:w="80" w:type="dxa"/>
              <w:left w:w="80" w:type="dxa"/>
              <w:bottom w:w="80" w:type="dxa"/>
              <w:right w:w="80" w:type="dxa"/>
              <w:start w:type="dxa" w:w="120"/>
              <w:end w:type="dxa" w:w="120"/>
            </w:tcMar>
            <w:vAlign w:val="center"/>
          </w:tcPr>
          <w:p>
            <w:pPr>
              <w:spacing w:before="0" w:after="0" w:line="240" w:lineRule="auto"/>
              <w:jc w:val="left"/>
            </w:pPr>
            <w:r>
              <w:rPr>
                <w:rFonts w:ascii="Times New Roman" w:hAnsi="Times New Roman" w:eastAsia="Times New Roman"/>
                <w:color w:val="000000"/>
                <w:sz w:val="18"/>
              </w:rPr>
              <w:t>Movement-guideline score × current asthma interaction</w:t>
            </w:r>
          </w:p>
        </w:tc>
        <w:tc>
          <w:tcPr>
            <w:tcW w:w="1579"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Interaction PR</w:t>
            </w:r>
          </w:p>
        </w:tc>
        <w:tc>
          <w:tcPr>
            <w:tcW w:w="2330"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1.047 (1.004–1.092)</w:t>
            </w:r>
          </w:p>
        </w:tc>
        <w:tc>
          <w:tcPr>
            <w:tcW w:w="1027"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.030</w:t>
            </w:r>
          </w:p>
        </w:tc>
      </w:tr>
      <w:tr>
        <w:tc>
          <w:tcPr>
            <w:tcW w:type="dxa" w:w="4304"/>
          </w:tcPr>
          <w:p>
            <w:r>
              <w:t>Score × current asthma</w:t>
            </w:r>
          </w:p>
        </w:tc>
        <w:tc>
          <w:tcPr>
            <w:tcW w:type="dxa" w:w="1579"/>
          </w:tcPr>
          <w:p>
            <w:r>
              <w:t>Interaction OR</w:t>
            </w:r>
          </w:p>
        </w:tc>
        <w:tc>
          <w:tcPr>
            <w:tcW w:type="dxa" w:w="2330"/>
          </w:tcPr>
          <w:p>
            <w:r>
              <w:t>1.053 (0.914–1.213)</w:t>
            </w:r>
          </w:p>
        </w:tc>
        <w:tc>
          <w:tcPr>
            <w:tcW w:type="dxa" w:w="1027"/>
          </w:tcPr>
          <w:p>
            <w:r>
              <w:t>.478</w:t>
            </w:r>
          </w:p>
        </w:tc>
      </w:tr>
    </w:tbl>
    <w:p>
      <w:pPr>
        <w:pStyle w:val="1"/>
        <w:spacing w:before="60" w:after="160" w:line="480" w:lineRule="auto"/>
      </w:pPr>
      <w:r>
        <w:t>PRs are from survey-weighted modified Poisson models; ORs are from secondary survey-weighted logistic models. Models were fitted in the full eligible sample (N=65476) with the population adjustment set; asthma severity was omitted because it applies only to children with asthma.</w:t>
      </w:r>
    </w:p>
    <w:p>
      <w:pPr>
        <w:pStyle w:val="1"/>
        <w:spacing w:after="200" w:line="480" w:lineRule="auto"/>
      </w:pPr>
    </w:p>
    <w:p>
      <w:pPr>
        <w:pStyle w:val="Heading2"/>
        <w:keepNext/>
        <w:spacing w:before="240" w:after="80" w:line="480" w:lineRule="auto"/>
        <w:ind w:left="0" w:right="0" w:firstLine="0"/>
      </w:pPr>
      <w:r>
        <w:rPr>
          <w:rFonts w:ascii="Times New Roman" w:hAnsi="Times New Roman" w:eastAsia="Times New Roman"/>
          <w:color w:val="000000"/>
          <w:sz w:val="24"/>
        </w:rPr>
        <w:t>eTable 7. Characteristics of included and excluded eligible children</w:t>
      </w:r>
    </w:p>
    <w:tbl>
      <w:tblPr>
        <w:tblStyle w:val="2"/>
        <w:tblW w:w="9240" w:type="dxa"/>
        <w:jc w:val="left"/>
        <w:tblInd w:w="120" w:type="dxa"/>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2203"/>
        <w:gridCol w:w="2488"/>
        <w:gridCol w:w="1493"/>
        <w:gridCol w:w="1493"/>
        <w:gridCol w:w="1563"/>
      </w:tblGrid>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rPr>
          <w:tblHeader/>
        </w:trPr>
        <w:tc>
          <w:tcPr>
            <w:tcW w:w="2203" w:type="dxa"/>
            <w:tcBorders>
              <w:bottom w:val="single" w:color="90A4AE" w:sz="6" w:space="0"/>
            </w:tcBorders>
            <w:tcMar>
              <w:top w:w="80" w:type="dxa"/>
              <w:left w:w="80" w:type="dxa"/>
              <w:bottom w:w="80" w:type="dxa"/>
              <w:right w:w="80" w:type="dxa"/>
              <w:start w:type="dxa" w:w="120"/>
              <w:end w:type="dxa" w:w="120"/>
            </w:tcMar>
            <w:vAlign w:val="center"/>
          </w:tcPr>
          <w:p>
            <w:pPr>
              <w:pStyle w:val="1"/>
              <w:keepNext/>
              <w:spacing w:before="0" w:after="0" w:line="240" w:lineRule="auto"/>
              <w:jc w:val="left"/>
            </w:pPr>
            <w:r>
              <w:rPr>
                <w:rFonts w:ascii="Times New Roman" w:hAnsi="Times New Roman" w:eastAsia="Times New Roman" w:cs="Times New Roman"/>
                <w:b/>
                <w:color w:val="000000"/>
                <w:sz w:val="18"/>
                <w:szCs w:val="22"/>
              </w:rPr>
              <w:t>Characteristic</w:t>
            </w:r>
          </w:p>
        </w:tc>
        <w:tc>
          <w:tcPr>
            <w:tcW w:w="2488" w:type="dxa"/>
            <w:tcBorders>
              <w:bottom w:val="single" w:color="90A4AE" w:sz="6" w:space="0"/>
            </w:tcBorders>
            <w:tcMar>
              <w:top w:w="80" w:type="dxa"/>
              <w:left w:w="80" w:type="dxa"/>
              <w:bottom w:w="80" w:type="dxa"/>
              <w:right w:w="80" w:type="dxa"/>
              <w:start w:type="dxa" w:w="120"/>
              <w:end w:type="dxa" w:w="120"/>
            </w:tcMar>
            <w:vAlign w:val="center"/>
          </w:tcPr>
          <w:p>
            <w:pPr>
              <w:pStyle w:val="1"/>
              <w:keepNext/>
              <w:spacing w:before="0" w:after="0" w:line="240" w:lineRule="auto"/>
              <w:jc w:val="center"/>
            </w:pPr>
            <w:r>
              <w:rPr>
                <w:rFonts w:ascii="Times New Roman" w:hAnsi="Times New Roman" w:eastAsia="Times New Roman" w:cs="Times New Roman"/>
                <w:b/>
                <w:color w:val="000000"/>
                <w:sz w:val="18"/>
                <w:szCs w:val="22"/>
              </w:rPr>
              <w:t>Level</w:t>
            </w:r>
          </w:p>
        </w:tc>
        <w:tc>
          <w:tcPr>
            <w:tcW w:w="1493" w:type="dxa"/>
            <w:tcBorders>
              <w:bottom w:val="single" w:color="90A4AE" w:sz="6" w:space="0"/>
            </w:tcBorders>
            <w:tcMar>
              <w:top w:w="80" w:type="dxa"/>
              <w:left w:w="80" w:type="dxa"/>
              <w:bottom w:w="80" w:type="dxa"/>
              <w:right w:w="80" w:type="dxa"/>
              <w:start w:type="dxa" w:w="120"/>
              <w:end w:type="dxa" w:w="120"/>
            </w:tcMar>
            <w:vAlign w:val="center"/>
          </w:tcPr>
          <w:p>
            <w:pPr>
              <w:pStyle w:val="1"/>
              <w:keepNext/>
              <w:spacing w:before="0" w:after="0" w:line="240" w:lineRule="auto"/>
              <w:jc w:val="center"/>
            </w:pPr>
            <w:r>
              <w:rPr>
                <w:rFonts w:ascii="Times New Roman" w:hAnsi="Times New Roman" w:eastAsia="Times New Roman" w:cs="Times New Roman"/>
                <w:b/>
                <w:color w:val="000000"/>
                <w:sz w:val="18"/>
                <w:szCs w:val="22"/>
              </w:rPr>
              <w:t>Included, % (SE)</w:t>
            </w:r>
          </w:p>
        </w:tc>
        <w:tc>
          <w:tcPr>
            <w:tcW w:w="1493" w:type="dxa"/>
            <w:tcBorders>
              <w:bottom w:val="single" w:color="90A4AE" w:sz="6" w:space="0"/>
            </w:tcBorders>
            <w:tcMar>
              <w:top w:w="80" w:type="dxa"/>
              <w:left w:w="80" w:type="dxa"/>
              <w:bottom w:w="80" w:type="dxa"/>
              <w:right w:w="80" w:type="dxa"/>
              <w:start w:type="dxa" w:w="120"/>
              <w:end w:type="dxa" w:w="120"/>
            </w:tcMar>
            <w:vAlign w:val="center"/>
          </w:tcPr>
          <w:p>
            <w:pPr>
              <w:pStyle w:val="1"/>
              <w:keepNext/>
              <w:spacing w:before="0" w:after="0" w:line="240" w:lineRule="auto"/>
              <w:jc w:val="center"/>
            </w:pPr>
            <w:r>
              <w:rPr>
                <w:rFonts w:ascii="Times New Roman" w:hAnsi="Times New Roman" w:eastAsia="Times New Roman" w:cs="Times New Roman"/>
                <w:b/>
                <w:color w:val="000000"/>
                <w:sz w:val="18"/>
                <w:szCs w:val="22"/>
              </w:rPr>
              <w:t>Excluded, % (SE)</w:t>
            </w:r>
          </w:p>
        </w:tc>
        <w:tc>
          <w:tcPr>
            <w:tcW w:w="1563" w:type="dxa"/>
            <w:tcBorders>
              <w:bottom w:val="single" w:color="90A4AE" w:sz="6" w:space="0"/>
            </w:tcBorders>
            <w:tcMar>
              <w:top w:w="80" w:type="dxa"/>
              <w:left w:w="80" w:type="dxa"/>
              <w:bottom w:w="80" w:type="dxa"/>
              <w:right w:w="80" w:type="dxa"/>
              <w:start w:type="dxa" w:w="120"/>
              <w:end w:type="dxa" w:w="120"/>
            </w:tcMar>
            <w:vAlign w:val="center"/>
          </w:tcPr>
          <w:p>
            <w:pPr>
              <w:pStyle w:val="1"/>
              <w:keepNext/>
              <w:spacing w:before="0" w:after="0" w:line="240" w:lineRule="auto"/>
              <w:jc w:val="center"/>
            </w:pPr>
            <w:r>
              <w:rPr>
                <w:rFonts w:ascii="Times New Roman" w:hAnsi="Times New Roman" w:eastAsia="Times New Roman" w:cs="Times New Roman"/>
                <w:b/>
                <w:color w:val="000000"/>
                <w:sz w:val="18"/>
                <w:szCs w:val="22"/>
              </w:rPr>
              <w:t>Standardized difference</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2203"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Age group</w:t>
            </w:r>
          </w:p>
        </w:tc>
        <w:tc>
          <w:tcPr>
            <w:tcW w:w="248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12-17 years</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54.2 (1.3)</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52.5 (5.0)</w:t>
            </w:r>
          </w:p>
        </w:tc>
        <w:tc>
          <w:tcPr>
            <w:tcW w:w="156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0.03</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2203"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Age group</w:t>
            </w:r>
          </w:p>
        </w:tc>
        <w:tc>
          <w:tcPr>
            <w:tcW w:w="248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6-11 years</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45.8 (1.3)</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47.5 (5.0)</w:t>
            </w:r>
          </w:p>
        </w:tc>
        <w:tc>
          <w:tcPr>
            <w:tcW w:w="156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-0.03</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2203"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Sex</w:t>
            </w:r>
          </w:p>
        </w:tc>
        <w:tc>
          <w:tcPr>
            <w:tcW w:w="248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Female</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43.4 (1.3)</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39.6 (4.9)</w:t>
            </w:r>
          </w:p>
        </w:tc>
        <w:tc>
          <w:tcPr>
            <w:tcW w:w="156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0.08</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2203"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Sex</w:t>
            </w:r>
          </w:p>
        </w:tc>
        <w:tc>
          <w:tcPr>
            <w:tcW w:w="248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Male</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56.6 (1.3)</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60.4 (4.9)</w:t>
            </w:r>
          </w:p>
        </w:tc>
        <w:tc>
          <w:tcPr>
            <w:tcW w:w="156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-0.08</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2203"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Race/ethnicity</w:t>
            </w:r>
          </w:p>
        </w:tc>
        <w:tc>
          <w:tcPr>
            <w:tcW w:w="248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Black, non-Hispanic</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21.2 (1.1)</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37.0 (5.3)</w:t>
            </w:r>
          </w:p>
        </w:tc>
        <w:tc>
          <w:tcPr>
            <w:tcW w:w="156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-0.35</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2203"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Race/ethnicity</w:t>
            </w:r>
          </w:p>
        </w:tc>
        <w:tc>
          <w:tcPr>
            <w:tcW w:w="248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Hispanic</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25.1 (1.2)</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30.0 (4.4)</w:t>
            </w:r>
          </w:p>
        </w:tc>
        <w:tc>
          <w:tcPr>
            <w:tcW w:w="156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-0.11</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2203"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Race/ethnicity</w:t>
            </w:r>
          </w:p>
        </w:tc>
        <w:tc>
          <w:tcPr>
            <w:tcW w:w="248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Other, non-Hispanic</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10.9 (0.7)</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4.7 (0.9)</w:t>
            </w:r>
          </w:p>
        </w:tc>
        <w:tc>
          <w:tcPr>
            <w:tcW w:w="156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0.23</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2203"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Race/ethnicity</w:t>
            </w:r>
          </w:p>
        </w:tc>
        <w:tc>
          <w:tcPr>
            <w:tcW w:w="248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White, non-Hispanic</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42.8 (1.2)</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28.3 (3.7)</w:t>
            </w:r>
          </w:p>
        </w:tc>
        <w:tc>
          <w:tcPr>
            <w:tcW w:w="156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0.31</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2203"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Household poverty level</w:t>
            </w:r>
          </w:p>
        </w:tc>
        <w:tc>
          <w:tcPr>
            <w:tcW w:w="248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0-99% FPL</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18.8 (1.1)</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31.8 (6.3)</w:t>
            </w:r>
          </w:p>
        </w:tc>
        <w:tc>
          <w:tcPr>
            <w:tcW w:w="156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-0.30</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2203"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Household poverty level</w:t>
            </w:r>
          </w:p>
        </w:tc>
        <w:tc>
          <w:tcPr>
            <w:tcW w:w="248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100-199% FPL</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20.8 (1.2)</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28.0 (5.5)</w:t>
            </w:r>
          </w:p>
        </w:tc>
        <w:tc>
          <w:tcPr>
            <w:tcW w:w="156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-0.17</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2203"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Household poverty level</w:t>
            </w:r>
          </w:p>
        </w:tc>
        <w:tc>
          <w:tcPr>
            <w:tcW w:w="248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200-399% FPL</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28.3 (1.2)</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24.8 (5.2)</w:t>
            </w:r>
          </w:p>
        </w:tc>
        <w:tc>
          <w:tcPr>
            <w:tcW w:w="156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0.08</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2203"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Household poverty level</w:t>
            </w:r>
          </w:p>
        </w:tc>
        <w:tc>
          <w:tcPr>
            <w:tcW w:w="248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400%+ FPL</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32.2 (1.1)</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15.4 (3.1)</w:t>
            </w:r>
          </w:p>
        </w:tc>
        <w:tc>
          <w:tcPr>
            <w:tcW w:w="156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0.40</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2203"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Highest adult education</w:t>
            </w:r>
          </w:p>
        </w:tc>
        <w:tc>
          <w:tcPr>
            <w:tcW w:w="248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&lt;High school</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7.3 (1.0)</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17.4 (5.1)</w:t>
            </w:r>
          </w:p>
        </w:tc>
        <w:tc>
          <w:tcPr>
            <w:tcW w:w="156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-0.31</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2203"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Highest adult education</w:t>
            </w:r>
          </w:p>
        </w:tc>
        <w:tc>
          <w:tcPr>
            <w:tcW w:w="248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College+</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48.9 (1.3)</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26.0 (3.4)</w:t>
            </w:r>
          </w:p>
        </w:tc>
        <w:tc>
          <w:tcPr>
            <w:tcW w:w="156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0.49</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2203"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Highest adult education</w:t>
            </w:r>
          </w:p>
        </w:tc>
        <w:tc>
          <w:tcPr>
            <w:tcW w:w="248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High school/GED</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20.7 (1.2)</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32.1 (4.7)</w:t>
            </w:r>
          </w:p>
        </w:tc>
        <w:tc>
          <w:tcPr>
            <w:tcW w:w="156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-0.26</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2203"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Highest adult education</w:t>
            </w:r>
          </w:p>
        </w:tc>
        <w:tc>
          <w:tcPr>
            <w:tcW w:w="248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Some college/technical</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23.1 (1.0)</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24.5 (3.8)</w:t>
            </w:r>
          </w:p>
        </w:tc>
        <w:tc>
          <w:tcPr>
            <w:tcW w:w="156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-0.03</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2203"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Insurance</w:t>
            </w:r>
          </w:p>
        </w:tc>
        <w:tc>
          <w:tcPr>
            <w:tcW w:w="248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Adequate and continuous</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60.6 (1.3)</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53.6 (4.9)</w:t>
            </w:r>
          </w:p>
        </w:tc>
        <w:tc>
          <w:tcPr>
            <w:tcW w:w="156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0.14</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2203"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Insurance</w:t>
            </w:r>
          </w:p>
        </w:tc>
        <w:tc>
          <w:tcPr>
            <w:tcW w:w="248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Inadequate/gap/uninsured</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39.4 (1.3)</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36.7 (4.8)</w:t>
            </w:r>
          </w:p>
        </w:tc>
        <w:tc>
          <w:tcPr>
            <w:tcW w:w="156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0.06</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2203"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Preterm birth</w:t>
            </w:r>
          </w:p>
        </w:tc>
        <w:tc>
          <w:tcPr>
            <w:tcW w:w="248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No</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82.3 (1.0)</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72.6 (4.0)</w:t>
            </w:r>
          </w:p>
        </w:tc>
        <w:tc>
          <w:tcPr>
            <w:tcW w:w="156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0.23</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2203"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Preterm birth</w:t>
            </w:r>
          </w:p>
        </w:tc>
        <w:tc>
          <w:tcPr>
            <w:tcW w:w="248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Yes</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17.7 (1.0)</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12.1 (3.2)</w:t>
            </w:r>
          </w:p>
        </w:tc>
        <w:tc>
          <w:tcPr>
            <w:tcW w:w="156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0.16</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2203"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Low birth weight</w:t>
            </w:r>
          </w:p>
        </w:tc>
        <w:tc>
          <w:tcPr>
            <w:tcW w:w="248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No</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86.3 (0.8)</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40.3 (4.8)</w:t>
            </w:r>
          </w:p>
        </w:tc>
        <w:tc>
          <w:tcPr>
            <w:tcW w:w="156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1.08</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2203"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Low birth weight</w:t>
            </w:r>
          </w:p>
        </w:tc>
        <w:tc>
          <w:tcPr>
            <w:tcW w:w="248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Yes</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13.7 (0.8)</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10.5 (2.8)</w:t>
            </w:r>
          </w:p>
        </w:tc>
        <w:tc>
          <w:tcPr>
            <w:tcW w:w="156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0.10</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2203"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Parent-rated asthma severity</w:t>
            </w:r>
          </w:p>
        </w:tc>
        <w:tc>
          <w:tcPr>
            <w:tcW w:w="248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Mild</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70.9 (1.1)</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55.9 (5.2)</w:t>
            </w:r>
          </w:p>
        </w:tc>
        <w:tc>
          <w:tcPr>
            <w:tcW w:w="156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0.31</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2203"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Parent-rated asthma severity</w:t>
            </w:r>
          </w:p>
        </w:tc>
        <w:tc>
          <w:tcPr>
            <w:tcW w:w="248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Moderate/severe</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29.1 (1.1)</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42.0 (5.3)</w:t>
            </w:r>
          </w:p>
        </w:tc>
        <w:tc>
          <w:tcPr>
            <w:tcW w:w="156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-0.27</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2203"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BMI category</w:t>
            </w:r>
          </w:p>
        </w:tc>
        <w:tc>
          <w:tcPr>
            <w:tcW w:w="248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Normal weight</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49.4 (1.3)</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30.4 (3.9)</w:t>
            </w:r>
          </w:p>
        </w:tc>
        <w:tc>
          <w:tcPr>
            <w:tcW w:w="156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0.39</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2203"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BMI category</w:t>
            </w:r>
          </w:p>
        </w:tc>
        <w:tc>
          <w:tcPr>
            <w:tcW w:w="248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Obese</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22.1 (1.2)</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21.7 (3.7)</w:t>
            </w:r>
          </w:p>
        </w:tc>
        <w:tc>
          <w:tcPr>
            <w:tcW w:w="156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0.01</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2203"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BMI category</w:t>
            </w:r>
          </w:p>
        </w:tc>
        <w:tc>
          <w:tcPr>
            <w:tcW w:w="248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Overweight</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17.3 (1.0)</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16.0 (4.0)</w:t>
            </w:r>
          </w:p>
        </w:tc>
        <w:tc>
          <w:tcPr>
            <w:tcW w:w="156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0.04</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2203"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BMI category</w:t>
            </w:r>
          </w:p>
        </w:tc>
        <w:tc>
          <w:tcPr>
            <w:tcW w:w="248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Underweight</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6.9 (0.6)</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12.7 (5.2)</w:t>
            </w:r>
          </w:p>
        </w:tc>
        <w:tc>
          <w:tcPr>
            <w:tcW w:w="156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-0.20</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2203"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Multimorbidity</w:t>
            </w:r>
          </w:p>
        </w:tc>
        <w:tc>
          <w:tcPr>
            <w:tcW w:w="248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Asthma only</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17.3 (0.9)</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23.2 (3.6)</w:t>
            </w:r>
          </w:p>
        </w:tc>
        <w:tc>
          <w:tcPr>
            <w:tcW w:w="156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-0.15</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2203"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Multimorbidity</w:t>
            </w:r>
          </w:p>
        </w:tc>
        <w:tc>
          <w:tcPr>
            <w:tcW w:w="248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Asthma plus at least 1 other condition</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82.7 (0.9)</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76.8 (3.6)</w:t>
            </w:r>
          </w:p>
        </w:tc>
        <w:tc>
          <w:tcPr>
            <w:tcW w:w="156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0.15</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2203"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Survey year</w:t>
            </w:r>
          </w:p>
        </w:tc>
        <w:tc>
          <w:tcPr>
            <w:tcW w:w="248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2023</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49.3 (1.3)</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42.2 (4.7)</w:t>
            </w:r>
          </w:p>
        </w:tc>
        <w:tc>
          <w:tcPr>
            <w:tcW w:w="156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0.14</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2203"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Survey year</w:t>
            </w:r>
          </w:p>
        </w:tc>
        <w:tc>
          <w:tcPr>
            <w:tcW w:w="2488"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2024</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50.7 (1.3)</w:t>
            </w:r>
          </w:p>
        </w:tc>
        <w:tc>
          <w:tcPr>
            <w:tcW w:w="149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57.8 (4.7)</w:t>
            </w:r>
          </w:p>
        </w:tc>
        <w:tc>
          <w:tcPr>
            <w:tcW w:w="156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-0.14</w:t>
            </w:r>
          </w:p>
        </w:tc>
      </w:tr>
    </w:tbl>
    <w:p>
      <w:pPr>
        <w:pStyle w:val="1"/>
        <w:spacing w:before="60" w:after="160" w:line="480" w:lineRule="auto"/>
      </w:pPr>
      <w:r>
        <w:t>Excluded children (n=440) were eligible by age/current asthma but lacked exposure, outcome, or covariate data. Percentages are survey weighted and use the included or excluded group as the denominator; displayed categories may therefore sum to less than 100% when values are missing. Missing categories are not displayed; low birth weight was missing for 49.1% of excluded records. Standardized differences do not incorporate complex-survey variance.</w:t>
      </w:r>
    </w:p>
    <w:p>
      <w:pPr>
        <w:pStyle w:val="1"/>
        <w:spacing w:after="200" w:line="480" w:lineRule="auto"/>
      </w:pPr>
    </w:p>
    <w:p>
      <w:pPr>
        <w:pStyle w:val="Heading2"/>
        <w:keepNext/>
        <w:spacing w:before="240" w:after="80" w:line="480" w:lineRule="auto"/>
        <w:ind w:left="0" w:right="0" w:firstLine="0"/>
      </w:pPr>
      <w:r>
        <w:rPr>
          <w:rFonts w:ascii="Times New Roman" w:hAnsi="Times New Roman" w:eastAsia="Times New Roman"/>
          <w:color w:val="000000"/>
          <w:sz w:val="24"/>
        </w:rPr>
        <w:t>eTable 8. Diagnostics across six family-poverty implicates</w:t>
      </w:r>
    </w:p>
    <w:tbl>
      <w:tblPr>
        <w:tblStyle w:val="2"/>
        <w:tblW w:w="9240" w:type="dxa"/>
        <w:jc w:val="left"/>
        <w:tblInd w:w="120" w:type="dxa"/>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1974"/>
        <w:gridCol w:w="3317"/>
        <w:gridCol w:w="1876"/>
        <w:gridCol w:w="2073"/>
      </w:tblGrid>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rPr>
          <w:tblHeader/>
        </w:trPr>
        <w:tc>
          <w:tcPr>
            <w:tcW w:w="1974" w:type="dxa"/>
            <w:tcBorders>
              <w:bottom w:val="single" w:color="90A4AE" w:sz="6" w:space="0"/>
            </w:tcBorders>
            <w:tcMar>
              <w:top w:w="80" w:type="dxa"/>
              <w:left w:w="80" w:type="dxa"/>
              <w:bottom w:w="80" w:type="dxa"/>
              <w:right w:w="80" w:type="dxa"/>
              <w:start w:type="dxa" w:w="120"/>
              <w:end w:type="dxa" w:w="120"/>
            </w:tcMar>
            <w:vAlign w:val="center"/>
          </w:tcPr>
          <w:p>
            <w:pPr>
              <w:pStyle w:val="1"/>
              <w:keepNext/>
              <w:spacing w:before="0" w:after="0" w:line="240" w:lineRule="auto"/>
              <w:jc w:val="left"/>
            </w:pPr>
            <w:r>
              <w:rPr>
                <w:rFonts w:ascii="Times New Roman" w:hAnsi="Times New Roman" w:eastAsia="Times New Roman" w:cs="Times New Roman"/>
                <w:b/>
                <w:color w:val="000000"/>
                <w:sz w:val="18"/>
                <w:szCs w:val="22"/>
              </w:rPr>
              <w:t>Implicate</w:t>
            </w:r>
          </w:p>
        </w:tc>
        <w:tc>
          <w:tcPr>
            <w:tcW w:w="3317" w:type="dxa"/>
            <w:tcBorders>
              <w:bottom w:val="single" w:color="90A4AE" w:sz="6" w:space="0"/>
            </w:tcBorders>
            <w:tcMar>
              <w:top w:w="80" w:type="dxa"/>
              <w:left w:w="80" w:type="dxa"/>
              <w:bottom w:w="80" w:type="dxa"/>
              <w:right w:w="80" w:type="dxa"/>
              <w:start w:type="dxa" w:w="120"/>
              <w:end w:type="dxa" w:w="120"/>
            </w:tcMar>
            <w:vAlign w:val="center"/>
          </w:tcPr>
          <w:p>
            <w:pPr>
              <w:pStyle w:val="1"/>
              <w:keepNext/>
              <w:spacing w:before="0" w:after="0" w:line="240" w:lineRule="auto"/>
              <w:jc w:val="center"/>
            </w:pPr>
            <w:r>
              <w:rPr>
                <w:rFonts w:ascii="Times New Roman" w:hAnsi="Times New Roman" w:eastAsia="Times New Roman" w:cs="Times New Roman"/>
                <w:b/>
                <w:color w:val="000000"/>
                <w:sz w:val="18"/>
                <w:szCs w:val="22"/>
              </w:rPr>
              <w:t>Adjusted OR (95% CI)</w:t>
            </w:r>
          </w:p>
        </w:tc>
        <w:tc>
          <w:tcPr>
            <w:tcW w:w="1876" w:type="dxa"/>
            <w:tcBorders>
              <w:bottom w:val="single" w:color="90A4AE" w:sz="6" w:space="0"/>
            </w:tcBorders>
            <w:tcMar>
              <w:top w:w="80" w:type="dxa"/>
              <w:left w:w="80" w:type="dxa"/>
              <w:bottom w:w="80" w:type="dxa"/>
              <w:right w:w="80" w:type="dxa"/>
              <w:start w:type="dxa" w:w="120"/>
              <w:end w:type="dxa" w:w="120"/>
            </w:tcMar>
            <w:vAlign w:val="center"/>
          </w:tcPr>
          <w:p>
            <w:pPr>
              <w:pStyle w:val="1"/>
              <w:keepNext/>
              <w:spacing w:before="0" w:after="0" w:line="240" w:lineRule="auto"/>
              <w:jc w:val="center"/>
            </w:pPr>
            <w:r>
              <w:rPr>
                <w:rFonts w:ascii="Times New Roman" w:hAnsi="Times New Roman" w:eastAsia="Times New Roman" w:cs="Times New Roman"/>
                <w:b/>
                <w:color w:val="000000"/>
                <w:sz w:val="18"/>
                <w:szCs w:val="22"/>
              </w:rPr>
              <w:t>P value</w:t>
            </w:r>
          </w:p>
        </w:tc>
        <w:tc>
          <w:tcPr>
            <w:tcW w:w="2073" w:type="dxa"/>
            <w:tcBorders>
              <w:bottom w:val="single" w:color="90A4AE" w:sz="6" w:space="0"/>
            </w:tcBorders>
            <w:tcMar>
              <w:top w:w="80" w:type="dxa"/>
              <w:left w:w="80" w:type="dxa"/>
              <w:bottom w:w="80" w:type="dxa"/>
              <w:right w:w="80" w:type="dxa"/>
              <w:start w:type="dxa" w:w="120"/>
              <w:end w:type="dxa" w:w="120"/>
            </w:tcMar>
            <w:vAlign w:val="center"/>
          </w:tcPr>
          <w:p>
            <w:pPr>
              <w:pStyle w:val="1"/>
              <w:keepNext/>
              <w:spacing w:before="0" w:after="0" w:line="240" w:lineRule="auto"/>
              <w:jc w:val="center"/>
            </w:pPr>
            <w:r>
              <w:rPr>
                <w:rFonts w:ascii="Times New Roman" w:hAnsi="Times New Roman" w:eastAsia="Times New Roman" w:cs="Times New Roman"/>
                <w:b/>
                <w:color w:val="000000"/>
                <w:sz w:val="18"/>
                <w:szCs w:val="22"/>
              </w:rPr>
              <w:t>Converged</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1974"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Implicate 1</w:t>
            </w:r>
          </w:p>
        </w:tc>
        <w:tc>
          <w:tcPr>
            <w:tcW w:w="3317"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1.42 (1.24–1.64)</w:t>
            </w:r>
          </w:p>
        </w:tc>
        <w:tc>
          <w:tcPr>
            <w:tcW w:w="187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&lt;.001</w:t>
            </w:r>
          </w:p>
        </w:tc>
        <w:tc>
          <w:tcPr>
            <w:tcW w:w="207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Yes</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1974"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Implicate 2</w:t>
            </w:r>
          </w:p>
        </w:tc>
        <w:tc>
          <w:tcPr>
            <w:tcW w:w="3317"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1.44 (1.25–1.66)</w:t>
            </w:r>
          </w:p>
        </w:tc>
        <w:tc>
          <w:tcPr>
            <w:tcW w:w="187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&lt;.001</w:t>
            </w:r>
          </w:p>
        </w:tc>
        <w:tc>
          <w:tcPr>
            <w:tcW w:w="207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Yes</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1974"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Implicate 3</w:t>
            </w:r>
          </w:p>
        </w:tc>
        <w:tc>
          <w:tcPr>
            <w:tcW w:w="3317"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1.44 (1.25–1.65)</w:t>
            </w:r>
          </w:p>
        </w:tc>
        <w:tc>
          <w:tcPr>
            <w:tcW w:w="187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&lt;.001</w:t>
            </w:r>
          </w:p>
        </w:tc>
        <w:tc>
          <w:tcPr>
            <w:tcW w:w="207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Yes</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1974"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Implicate 4</w:t>
            </w:r>
          </w:p>
        </w:tc>
        <w:tc>
          <w:tcPr>
            <w:tcW w:w="3317"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1.43 (1.24–1.65)</w:t>
            </w:r>
          </w:p>
        </w:tc>
        <w:tc>
          <w:tcPr>
            <w:tcW w:w="187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&lt;.001</w:t>
            </w:r>
          </w:p>
        </w:tc>
        <w:tc>
          <w:tcPr>
            <w:tcW w:w="207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Yes</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1974"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Implicate 5</w:t>
            </w:r>
          </w:p>
        </w:tc>
        <w:tc>
          <w:tcPr>
            <w:tcW w:w="3317"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1.45 (1.26–1.67)</w:t>
            </w:r>
          </w:p>
        </w:tc>
        <w:tc>
          <w:tcPr>
            <w:tcW w:w="187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&lt;.001</w:t>
            </w:r>
          </w:p>
        </w:tc>
        <w:tc>
          <w:tcPr>
            <w:tcW w:w="207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Yes</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1974"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Implicate 6</w:t>
            </w:r>
          </w:p>
        </w:tc>
        <w:tc>
          <w:tcPr>
            <w:tcW w:w="3317"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1.43 (1.24–1.64)</w:t>
            </w:r>
          </w:p>
        </w:tc>
        <w:tc>
          <w:tcPr>
            <w:tcW w:w="187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&lt;.001</w:t>
            </w:r>
          </w:p>
        </w:tc>
        <w:tc>
          <w:tcPr>
            <w:tcW w:w="2073"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Yes</w:t>
            </w:r>
          </w:p>
        </w:tc>
      </w:tr>
    </w:tbl>
    <w:p>
      <w:pPr>
        <w:pStyle w:val="1"/>
        <w:spacing w:before="60" w:after="160" w:line="480" w:lineRule="auto"/>
      </w:pPr>
      <w:r>
        <w:rPr>
          <w:rFonts w:ascii="Times New Roman" w:hAnsi="Times New Roman" w:eastAsia="Times New Roman" w:cs="Times New Roman"/>
          <w:i/>
          <w:color w:val="000000"/>
          <w:sz w:val="24"/>
          <w:szCs w:val="22"/>
        </w:rPr>
        <w:t>The OR range across implicates was 0.022. Primary estimates combined coefficients and covariance matrices with Rubin’s rules.</w:t>
      </w:r>
    </w:p>
    <w:p>
      <w:pPr>
        <w:pStyle w:val="1"/>
        <w:spacing w:after="200" w:line="480" w:lineRule="auto"/>
      </w:pPr>
    </w:p>
    <w:p>
      <w:pPr>
        <w:pStyle w:val="Heading2"/>
        <w:keepNext/>
        <w:spacing w:before="240" w:after="80" w:line="480" w:lineRule="auto"/>
        <w:ind w:left="0" w:right="0" w:firstLine="0"/>
      </w:pPr>
      <w:r>
        <w:rPr>
          <w:rFonts w:ascii="Times New Roman" w:hAnsi="Times New Roman" w:eastAsia="Times New Roman"/>
          <w:color w:val="000000"/>
          <w:sz w:val="24"/>
        </w:rPr>
        <w:t>eTable 9. Sensitivity analyses adjusting for dental care and sugary drinks</w:t>
      </w:r>
    </w:p>
    <w:tbl>
      <w:tblPr>
        <w:tblStyle w:val="2"/>
        <w:tblW w:w="9240" w:type="dxa"/>
        <w:jc w:val="left"/>
        <w:tblInd w:w="120" w:type="dxa"/>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3416"/>
        <w:gridCol w:w="1086"/>
        <w:gridCol w:w="2330"/>
        <w:gridCol w:w="1086"/>
        <w:gridCol w:w="1322"/>
      </w:tblGrid>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rPr>
          <w:tblHeader/>
        </w:trPr>
        <w:tc>
          <w:tcPr>
            <w:tcW w:w="3416" w:type="dxa"/>
            <w:tcBorders>
              <w:bottom w:val="single" w:color="90A4AE" w:sz="6" w:space="0"/>
            </w:tcBorders>
            <w:tcMar>
              <w:top w:w="80" w:type="dxa"/>
              <w:left w:w="80" w:type="dxa"/>
              <w:bottom w:w="80" w:type="dxa"/>
              <w:right w:w="80" w:type="dxa"/>
              <w:start w:type="dxa" w:w="120"/>
              <w:end w:type="dxa" w:w="120"/>
            </w:tcMar>
            <w:vAlign w:val="center"/>
          </w:tcPr>
          <w:p>
            <w:pPr>
              <w:pStyle w:val="1"/>
              <w:keepNext/>
              <w:spacing w:before="0" w:after="0" w:line="240" w:lineRule="auto"/>
              <w:jc w:val="left"/>
            </w:pPr>
            <w:r>
              <w:rPr>
                <w:rFonts w:ascii="Times New Roman" w:hAnsi="Times New Roman" w:eastAsia="Times New Roman" w:cs="Times New Roman"/>
                <w:b/>
                <w:color w:val="000000"/>
                <w:sz w:val="18"/>
                <w:szCs w:val="22"/>
              </w:rPr>
              <w:t>Model</w:t>
            </w:r>
          </w:p>
        </w:tc>
        <w:tc>
          <w:tcPr>
            <w:tcW w:w="1086" w:type="dxa"/>
            <w:tcBorders>
              <w:bottom w:val="single" w:color="90A4AE" w:sz="6" w:space="0"/>
            </w:tcBorders>
            <w:tcMar>
              <w:top w:w="80" w:type="dxa"/>
              <w:left w:w="80" w:type="dxa"/>
              <w:bottom w:w="80" w:type="dxa"/>
              <w:right w:w="80" w:type="dxa"/>
              <w:start w:type="dxa" w:w="120"/>
              <w:end w:type="dxa" w:w="120"/>
            </w:tcMar>
            <w:vAlign w:val="center"/>
          </w:tcPr>
          <w:p>
            <w:pPr>
              <w:pStyle w:val="1"/>
              <w:keepNext/>
              <w:spacing w:before="0" w:after="0" w:line="240" w:lineRule="auto"/>
              <w:jc w:val="center"/>
            </w:pPr>
            <w:r>
              <w:rPr>
                <w:rFonts w:ascii="Times New Roman" w:hAnsi="Times New Roman" w:eastAsia="Times New Roman" w:cs="Times New Roman"/>
                <w:b/>
                <w:color w:val="000000"/>
                <w:sz w:val="18"/>
                <w:szCs w:val="22"/>
              </w:rPr>
              <w:t>Measure</w:t>
            </w:r>
          </w:p>
        </w:tc>
        <w:tc>
          <w:tcPr>
            <w:tcW w:w="2330" w:type="dxa"/>
            <w:tcBorders>
              <w:bottom w:val="single" w:color="90A4AE" w:sz="6" w:space="0"/>
            </w:tcBorders>
            <w:tcMar>
              <w:top w:w="80" w:type="dxa"/>
              <w:left w:w="80" w:type="dxa"/>
              <w:bottom w:w="80" w:type="dxa"/>
              <w:right w:w="80" w:type="dxa"/>
              <w:start w:type="dxa" w:w="120"/>
              <w:end w:type="dxa" w:w="120"/>
            </w:tcMar>
            <w:vAlign w:val="center"/>
          </w:tcPr>
          <w:p>
            <w:pPr>
              <w:pStyle w:val="1"/>
              <w:keepNext/>
              <w:spacing w:before="0" w:after="0" w:line="240" w:lineRule="auto"/>
              <w:jc w:val="center"/>
            </w:pPr>
            <w:r>
              <w:rPr>
                <w:rFonts w:ascii="Times New Roman" w:hAnsi="Times New Roman" w:eastAsia="Times New Roman" w:cs="Times New Roman"/>
                <w:b/>
                <w:color w:val="000000"/>
                <w:sz w:val="18"/>
                <w:szCs w:val="22"/>
              </w:rPr>
              <w:t>Estimate (95% CI)</w:t>
            </w:r>
          </w:p>
        </w:tc>
        <w:tc>
          <w:tcPr>
            <w:tcW w:w="1086" w:type="dxa"/>
            <w:tcBorders>
              <w:bottom w:val="single" w:color="90A4AE" w:sz="6" w:space="0"/>
            </w:tcBorders>
            <w:tcMar>
              <w:top w:w="80" w:type="dxa"/>
              <w:left w:w="80" w:type="dxa"/>
              <w:bottom w:w="80" w:type="dxa"/>
              <w:right w:w="80" w:type="dxa"/>
              <w:start w:type="dxa" w:w="120"/>
              <w:end w:type="dxa" w:w="120"/>
            </w:tcMar>
            <w:vAlign w:val="center"/>
          </w:tcPr>
          <w:p>
            <w:pPr>
              <w:pStyle w:val="1"/>
              <w:keepNext/>
              <w:spacing w:before="0" w:after="0" w:line="240" w:lineRule="auto"/>
              <w:jc w:val="center"/>
            </w:pPr>
            <w:r>
              <w:rPr>
                <w:rFonts w:ascii="Times New Roman" w:hAnsi="Times New Roman" w:eastAsia="Times New Roman" w:cs="Times New Roman"/>
                <w:b/>
                <w:color w:val="000000"/>
                <w:sz w:val="18"/>
                <w:szCs w:val="22"/>
              </w:rPr>
              <w:t>P value</w:t>
            </w:r>
          </w:p>
        </w:tc>
        <w:tc>
          <w:tcPr>
            <w:tcW w:w="1322" w:type="dxa"/>
            <w:tcBorders>
              <w:bottom w:val="single" w:color="90A4AE" w:sz="6" w:space="0"/>
            </w:tcBorders>
            <w:tcMar>
              <w:top w:w="80" w:type="dxa"/>
              <w:left w:w="80" w:type="dxa"/>
              <w:bottom w:w="80" w:type="dxa"/>
              <w:right w:w="80" w:type="dxa"/>
              <w:start w:type="dxa" w:w="120"/>
              <w:end w:type="dxa" w:w="120"/>
            </w:tcMar>
            <w:vAlign w:val="center"/>
          </w:tcPr>
          <w:p>
            <w:pPr>
              <w:pStyle w:val="1"/>
              <w:keepNext/>
              <w:spacing w:before="0" w:after="0" w:line="240" w:lineRule="auto"/>
              <w:jc w:val="center"/>
            </w:pPr>
            <w:r>
              <w:rPr>
                <w:rFonts w:ascii="Times New Roman" w:hAnsi="Times New Roman" w:eastAsia="Times New Roman" w:cs="Times New Roman"/>
                <w:b/>
                <w:color w:val="000000"/>
                <w:sz w:val="18"/>
                <w:szCs w:val="22"/>
              </w:rPr>
              <w:t>Unweighted n</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3416"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Primary model</w:t>
            </w:r>
          </w:p>
        </w:tc>
        <w:tc>
          <w:tcPr>
            <w:tcW w:w="108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OR</w:t>
            </w:r>
          </w:p>
        </w:tc>
        <w:tc>
          <w:tcPr>
            <w:tcW w:w="2330"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1.43 (1.25–1.65)</w:t>
            </w:r>
          </w:p>
        </w:tc>
        <w:tc>
          <w:tcPr>
            <w:tcW w:w="108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&lt;.001</w:t>
            </w:r>
          </w:p>
        </w:tc>
        <w:tc>
          <w:tcPr>
            <w:tcW w:w="1322"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olor w:val="000000"/>
                <w:sz w:val="18"/>
              </w:rPr>
              <w:t>5645</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3416"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Dental access/utilization adjustment</w:t>
            </w:r>
          </w:p>
        </w:tc>
        <w:tc>
          <w:tcPr>
            <w:tcW w:w="108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OR</w:t>
            </w:r>
          </w:p>
        </w:tc>
        <w:tc>
          <w:tcPr>
            <w:tcW w:w="2330"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1.39 (1.21–1.59)</w:t>
            </w:r>
          </w:p>
        </w:tc>
        <w:tc>
          <w:tcPr>
            <w:tcW w:w="108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&lt;.001</w:t>
            </w:r>
          </w:p>
        </w:tc>
        <w:tc>
          <w:tcPr>
            <w:tcW w:w="1322"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olor w:val="000000"/>
                <w:sz w:val="18"/>
              </w:rPr>
              <w:t>5628</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3416"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Detailed dental service adjustment</w:t>
            </w:r>
          </w:p>
        </w:tc>
        <w:tc>
          <w:tcPr>
            <w:tcW w:w="108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OR</w:t>
            </w:r>
          </w:p>
        </w:tc>
        <w:tc>
          <w:tcPr>
            <w:tcW w:w="2330"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1.41 (1.22–1.62)</w:t>
            </w:r>
          </w:p>
        </w:tc>
        <w:tc>
          <w:tcPr>
            <w:tcW w:w="108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&lt;.001</w:t>
            </w:r>
          </w:p>
        </w:tc>
        <w:tc>
          <w:tcPr>
            <w:tcW w:w="1322"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olor w:val="000000"/>
                <w:sz w:val="18"/>
              </w:rPr>
              <w:t>5606</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3416" w:type="dxa"/>
            <w:tcMar>
              <w:top w:w="80" w:type="dxa"/>
              <w:left w:w="80" w:type="dxa"/>
              <w:bottom w:w="80" w:type="dxa"/>
              <w:right w:w="80" w:type="dxa"/>
              <w:start w:type="dxa" w:w="120"/>
              <w:end w:type="dxa" w:w="120"/>
            </w:tcMar>
            <w:vAlign w:val="center"/>
          </w:tcPr>
          <w:p>
            <w:pPr>
              <w:pStyle w:val="1"/>
              <w:spacing w:before="0" w:after="0" w:line="240" w:lineRule="auto"/>
              <w:jc w:val="left"/>
            </w:pPr>
            <w:r>
              <w:rPr>
                <w:rFonts w:ascii="Times New Roman" w:hAnsi="Times New Roman" w:eastAsia="Times New Roman" w:cs="Times New Roman"/>
                <w:color w:val="000000"/>
                <w:sz w:val="18"/>
                <w:szCs w:val="22"/>
              </w:rPr>
              <w:t>2024 sugar-drink plus dental adjustment</w:t>
            </w:r>
          </w:p>
        </w:tc>
        <w:tc>
          <w:tcPr>
            <w:tcW w:w="108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OR</w:t>
            </w:r>
          </w:p>
        </w:tc>
        <w:tc>
          <w:tcPr>
            <w:tcW w:w="2330"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1.33 (1.11–1.59)</w:t>
            </w:r>
          </w:p>
        </w:tc>
        <w:tc>
          <w:tcPr>
            <w:tcW w:w="1086"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s="Times New Roman"/>
                <w:color w:val="000000"/>
                <w:sz w:val="18"/>
                <w:szCs w:val="22"/>
              </w:rPr>
              <w:t>.002</w:t>
            </w:r>
          </w:p>
        </w:tc>
        <w:tc>
          <w:tcPr>
            <w:tcW w:w="1322" w:type="dxa"/>
            <w:tcMar>
              <w:top w:w="80" w:type="dxa"/>
              <w:left w:w="80" w:type="dxa"/>
              <w:bottom w:w="80" w:type="dxa"/>
              <w:right w:w="80" w:type="dxa"/>
              <w:start w:type="dxa" w:w="120"/>
              <w:end w:type="dxa" w:w="120"/>
            </w:tcMar>
            <w:vAlign w:val="center"/>
          </w:tcPr>
          <w:p>
            <w:pPr>
              <w:pStyle w:val="1"/>
              <w:spacing w:before="0" w:after="0" w:line="240" w:lineRule="auto"/>
              <w:jc w:val="center"/>
            </w:pPr>
            <w:r>
              <w:rPr>
                <w:rFonts w:ascii="Times New Roman" w:hAnsi="Times New Roman" w:eastAsia="Times New Roman"/>
                <w:color w:val="000000"/>
                <w:sz w:val="18"/>
              </w:rPr>
              <w:t>3063</w:t>
            </w:r>
          </w:p>
        </w:tc>
      </w:tr>
    </w:tbl>
    <w:p>
      <w:pPr>
        <w:pStyle w:val="1"/>
        <w:spacing w:before="60" w:after="160" w:line="480" w:lineRule="auto"/>
      </w:pPr>
      <w:r>
        <w:rPr>
          <w:rFonts w:ascii="Times New Roman" w:hAnsi="Times New Roman" w:eastAsia="Times New Roman" w:cs="Times New Roman"/>
          <w:i/>
          <w:color w:val="000000"/>
          <w:sz w:val="24"/>
          <w:szCs w:val="22"/>
        </w:rPr>
        <w:t>Sugar-sweetened beverage intake was measured only in the 2024 survey cycle; that model is therefore restricted to 2024 participants.</w:t>
      </w:r>
      <w:r>
        <w:rPr>
          <w:rFonts w:ascii="Times New Roman" w:hAnsi="Times New Roman" w:eastAsia="Times New Roman"/>
          <w:color w:val="000000"/>
          <w:sz w:val="24"/>
        </w:rPr>
        <w:t xml:space="preserve"> Dental access/utilization variables: any dental/oral care (DentCare2_2324) and one or more preventive dental visits (PrevDent_2324). Detailed dental service variables: check-up and cleaning receipt (DentCheck_2324, DentCleaning_2324), each with three levels (received check-up/cleaning; preventive care without check-up/cleaning; no preventive visit). Sugar-sweetened beverage intake (SUGARDRINK) was coded in six levels (none; 1–3/week; 4–6/week; 1/day; 2/day; 3+/day).</w:t>
      </w:r>
      <w:r>
        <w:rPr>
          <w:rFonts w:ascii="Times New Roman" w:hAnsi="Times New Roman" w:eastAsia="Times New Roman"/>
          <w:color w:val="000000"/>
          <w:sz w:val="24"/>
        </w:rPr>
      </w:r>
    </w:p>
    <w:p>
      <w:pPr>
        <w:pStyle w:val="1"/>
        <w:spacing w:after="200" w:line="480" w:lineRule="auto"/>
      </w:pPr>
    </w:p>
    <w:p>
      <w:pPr>
        <w:pStyle w:val="Heading2"/>
        <w:keepNext/>
        <w:spacing w:before="240" w:after="80" w:line="480" w:lineRule="auto"/>
        <w:ind w:left="0" w:right="0" w:firstLine="0"/>
      </w:pPr>
      <w:r>
        <w:rPr>
          <w:rFonts w:ascii="Times New Roman" w:hAnsi="Times New Roman" w:eastAsia="Times New Roman"/>
          <w:color w:val="000000"/>
          <w:sz w:val="24"/>
        </w:rPr>
        <w:t>eTable 10. Subgroup prevalence ratios by age, sex, and asthma severity</w:t>
      </w:r>
    </w:p>
    <w:tbl>
      <w:tblPr>
        <w:tblStyle w:val="2"/>
        <w:tblW w:w="9240" w:type="dxa"/>
        <w:jc w:val="left"/>
        <w:tblInd w:w="120" w:type="dxa"/>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1577"/>
        <w:gridCol w:w="1670"/>
        <w:gridCol w:w="1911"/>
        <w:gridCol w:w="891"/>
        <w:gridCol w:w="1076"/>
        <w:gridCol w:w="1076"/>
        <w:gridCol w:w="1039"/>
      </w:tblGrid>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rPr>
          <w:tblHeader w:val="true"/>
        </w:trPr>
        <w:tc>
          <w:tcPr>
            <w:tcW w:w="1577" w:type="dxa"/>
            <w:tcBorders>
              <w:bottom w:val="single" w:color="90A4AE" w:sz="6" w:space="0"/>
            </w:tcBorders>
            <w:tcMar>
              <w:top w:w="80" w:type="dxa"/>
              <w:left w:w="80" w:type="dxa"/>
              <w:bottom w:w="80" w:type="dxa"/>
              <w:right w:w="80" w:type="dxa"/>
              <w:start w:type="dxa" w:w="120"/>
              <w:end w:type="dxa" w:w="120"/>
            </w:tcMar>
            <w:vAlign w:val="center"/>
          </w:tcPr>
          <w:p>
            <w:pPr>
              <w:keepNext/>
              <w:spacing w:before="0" w:after="0" w:line="240" w:lineRule="auto"/>
              <w:jc w:val="left"/>
            </w:pPr>
            <w:r>
              <w:rPr>
                <w:rFonts w:ascii="Times New Roman" w:hAnsi="Times New Roman" w:eastAsia="Times New Roman"/>
                <w:b/>
                <w:color w:val="000000"/>
                <w:sz w:val="18"/>
              </w:rPr>
              <w:t>Subgroup</w:t>
            </w:r>
          </w:p>
        </w:tc>
        <w:tc>
          <w:tcPr>
            <w:tcW w:w="1670" w:type="dxa"/>
            <w:tcBorders>
              <w:bottom w:val="single" w:color="90A4AE" w:sz="6" w:space="0"/>
            </w:tcBorders>
            <w:tcMar>
              <w:top w:w="80" w:type="dxa"/>
              <w:left w:w="80" w:type="dxa"/>
              <w:bottom w:w="80" w:type="dxa"/>
              <w:right w:w="80" w:type="dxa"/>
              <w:start w:type="dxa" w:w="120"/>
              <w:end w:type="dxa" w:w="120"/>
            </w:tcMar>
            <w:vAlign w:val="center"/>
          </w:tcPr>
          <w:p>
            <w:pPr>
              <w:keepNext/>
              <w:spacing w:before="0" w:after="0" w:line="240" w:lineRule="auto"/>
              <w:jc w:val="left"/>
            </w:pPr>
            <w:r>
              <w:rPr>
                <w:rFonts w:ascii="Times New Roman" w:hAnsi="Times New Roman" w:eastAsia="Times New Roman"/>
                <w:b/>
                <w:color w:val="000000"/>
                <w:sz w:val="18"/>
              </w:rPr>
              <w:t>Level</w:t>
            </w:r>
          </w:p>
        </w:tc>
        <w:tc>
          <w:tcPr>
            <w:tcW w:w="1911" w:type="dxa"/>
            <w:tcBorders>
              <w:bottom w:val="single" w:color="90A4AE" w:sz="6" w:space="0"/>
            </w:tcBorders>
            <w:tcMar>
              <w:top w:w="80" w:type="dxa"/>
              <w:left w:w="80" w:type="dxa"/>
              <w:bottom w:w="80" w:type="dxa"/>
              <w:right w:w="80" w:type="dxa"/>
              <w:start w:type="dxa" w:w="120"/>
              <w:end w:type="dxa" w:w="120"/>
            </w:tcMar>
            <w:vAlign w:val="center"/>
          </w:tcPr>
          <w:p>
            <w:pPr>
              <w:keepNext/>
              <w:spacing w:before="0" w:after="0" w:line="240" w:lineRule="auto"/>
              <w:jc w:val="center"/>
            </w:pPr>
            <w:r>
              <w:rPr>
                <w:rFonts w:ascii="Times New Roman" w:hAnsi="Times New Roman" w:eastAsia="Times New Roman"/>
                <w:b/>
                <w:color w:val="000000"/>
                <w:sz w:val="18"/>
              </w:rPr>
              <w:t>Adjusted PR (95% CI)</w:t>
            </w:r>
          </w:p>
        </w:tc>
        <w:tc>
          <w:tcPr>
            <w:tcW w:w="891" w:type="dxa"/>
            <w:tcBorders>
              <w:bottom w:val="single" w:color="90A4AE" w:sz="6" w:space="0"/>
            </w:tcBorders>
            <w:tcMar>
              <w:top w:w="80" w:type="dxa"/>
              <w:left w:w="80" w:type="dxa"/>
              <w:bottom w:w="80" w:type="dxa"/>
              <w:right w:w="80" w:type="dxa"/>
              <w:start w:type="dxa" w:w="120"/>
              <w:end w:type="dxa" w:w="120"/>
            </w:tcMar>
            <w:vAlign w:val="center"/>
          </w:tcPr>
          <w:p>
            <w:pPr>
              <w:keepNext/>
              <w:spacing w:before="0" w:after="0" w:line="240" w:lineRule="auto"/>
              <w:jc w:val="center"/>
            </w:pPr>
            <w:r>
              <w:rPr>
                <w:rFonts w:ascii="Times New Roman" w:hAnsi="Times New Roman" w:eastAsia="Times New Roman"/>
                <w:b/>
                <w:color w:val="000000"/>
                <w:sz w:val="18"/>
              </w:rPr>
              <w:t>P value</w:t>
            </w:r>
          </w:p>
        </w:tc>
        <w:tc>
          <w:tcPr>
            <w:tcW w:w="1076" w:type="dxa"/>
            <w:tcBorders>
              <w:bottom w:val="single" w:color="90A4AE" w:sz="6" w:space="0"/>
            </w:tcBorders>
            <w:tcMar>
              <w:top w:w="80" w:type="dxa"/>
              <w:left w:w="80" w:type="dxa"/>
              <w:bottom w:w="80" w:type="dxa"/>
              <w:right w:w="80" w:type="dxa"/>
              <w:start w:type="dxa" w:w="120"/>
              <w:end w:type="dxa" w:w="120"/>
            </w:tcMar>
            <w:vAlign w:val="center"/>
          </w:tcPr>
          <w:p>
            <w:pPr>
              <w:keepNext/>
              <w:spacing w:before="0" w:after="0" w:line="240" w:lineRule="auto"/>
              <w:jc w:val="center"/>
            </w:pPr>
            <w:r>
              <w:rPr>
                <w:rFonts w:ascii="Times New Roman" w:hAnsi="Times New Roman" w:eastAsia="Times New Roman"/>
                <w:b/>
                <w:color w:val="000000"/>
                <w:sz w:val="18"/>
              </w:rPr>
              <w:t>Interaction P</w:t>
            </w:r>
          </w:p>
        </w:tc>
        <w:tc>
          <w:tcPr>
            <w:tcW w:w="1076" w:type="dxa"/>
            <w:tcBorders>
              <w:bottom w:val="single" w:color="90A4AE" w:sz="6" w:space="0"/>
            </w:tcBorders>
            <w:tcMar>
              <w:top w:w="80" w:type="dxa"/>
              <w:left w:w="80" w:type="dxa"/>
              <w:bottom w:w="80" w:type="dxa"/>
              <w:right w:w="80" w:type="dxa"/>
              <w:start w:type="dxa" w:w="120"/>
              <w:end w:type="dxa" w:w="120"/>
            </w:tcMar>
            <w:vAlign w:val="center"/>
          </w:tcPr>
          <w:p>
            <w:pPr>
              <w:keepNext/>
              <w:spacing w:before="0" w:after="0" w:line="240" w:lineRule="auto"/>
              <w:jc w:val="center"/>
            </w:pPr>
            <w:r>
              <w:rPr>
                <w:rFonts w:ascii="Times New Roman" w:hAnsi="Times New Roman" w:eastAsia="Times New Roman"/>
                <w:b/>
                <w:color w:val="000000"/>
                <w:sz w:val="18"/>
              </w:rPr>
              <w:t>Interaction q</w:t>
            </w:r>
          </w:p>
        </w:tc>
        <w:tc>
          <w:tcPr>
            <w:tcW w:w="1039" w:type="dxa"/>
            <w:tcBorders>
              <w:bottom w:val="single" w:color="90A4AE" w:sz="6" w:space="0"/>
            </w:tcBorders>
            <w:tcMar>
              <w:top w:w="80" w:type="dxa"/>
              <w:left w:w="80" w:type="dxa"/>
              <w:bottom w:w="80" w:type="dxa"/>
              <w:right w:w="80" w:type="dxa"/>
              <w:start w:type="dxa" w:w="120"/>
              <w:end w:type="dxa" w:w="120"/>
            </w:tcMar>
            <w:vAlign w:val="center"/>
          </w:tcPr>
          <w:p>
            <w:pPr>
              <w:keepNext/>
              <w:spacing w:before="0" w:after="0" w:line="240" w:lineRule="auto"/>
              <w:jc w:val="center"/>
            </w:pPr>
            <w:r>
              <w:rPr>
                <w:rFonts w:ascii="Times New Roman" w:hAnsi="Times New Roman" w:eastAsia="Times New Roman"/>
                <w:b/>
                <w:color w:val="000000"/>
                <w:sz w:val="18"/>
              </w:rPr>
              <w:t>Unweighted n</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1577" w:type="dxa"/>
            <w:tcMar>
              <w:top w:w="80" w:type="dxa"/>
              <w:left w:w="80" w:type="dxa"/>
              <w:bottom w:w="80" w:type="dxa"/>
              <w:right w:w="80" w:type="dxa"/>
              <w:start w:type="dxa" w:w="120"/>
              <w:end w:type="dxa" w:w="120"/>
            </w:tcMar>
            <w:vAlign w:val="center"/>
          </w:tcPr>
          <w:p>
            <w:pPr>
              <w:spacing w:before="0" w:after="0" w:line="240" w:lineRule="auto"/>
              <w:jc w:val="left"/>
            </w:pPr>
            <w:r>
              <w:rPr>
                <w:rFonts w:ascii="Times New Roman" w:hAnsi="Times New Roman" w:eastAsia="Times New Roman"/>
                <w:color w:val="000000"/>
                <w:sz w:val="18"/>
              </w:rPr>
              <w:t>Age group</w:t>
            </w:r>
          </w:p>
        </w:tc>
        <w:tc>
          <w:tcPr>
            <w:tcW w:w="1670" w:type="dxa"/>
            <w:tcMar>
              <w:top w:w="80" w:type="dxa"/>
              <w:left w:w="80" w:type="dxa"/>
              <w:bottom w:w="80" w:type="dxa"/>
              <w:right w:w="80" w:type="dxa"/>
              <w:start w:type="dxa" w:w="120"/>
              <w:end w:type="dxa" w:w="120"/>
            </w:tcMar>
            <w:vAlign w:val="center"/>
          </w:tcPr>
          <w:p>
            <w:pPr>
              <w:spacing w:before="0" w:after="0" w:line="240" w:lineRule="auto"/>
              <w:jc w:val="left"/>
            </w:pPr>
            <w:r>
              <w:rPr>
                <w:rFonts w:ascii="Times New Roman" w:hAnsi="Times New Roman" w:eastAsia="Times New Roman"/>
                <w:color w:val="000000"/>
                <w:sz w:val="18"/>
              </w:rPr>
              <w:t>6-11 years</w:t>
            </w:r>
          </w:p>
        </w:tc>
        <w:tc>
          <w:tcPr>
            <w:tcW w:w="1911"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1.16 (1.09–1.24)</w:t>
            </w:r>
          </w:p>
        </w:tc>
        <w:tc>
          <w:tcPr>
            <w:tcW w:w="891"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&lt;.001</w:t>
            </w:r>
          </w:p>
        </w:tc>
        <w:tc>
          <w:tcPr>
            <w:tcW w:w="1076"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.005</w:t>
            </w:r>
          </w:p>
        </w:tc>
        <w:tc>
          <w:tcPr>
            <w:tcW w:w="1076"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.015</w:t>
            </w:r>
          </w:p>
        </w:tc>
        <w:tc>
          <w:tcPr>
            <w:tcW w:w="1039"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2237</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1577" w:type="dxa"/>
            <w:tcMar>
              <w:top w:w="80" w:type="dxa"/>
              <w:left w:w="80" w:type="dxa"/>
              <w:bottom w:w="80" w:type="dxa"/>
              <w:right w:w="80" w:type="dxa"/>
              <w:start w:type="dxa" w:w="120"/>
              <w:end w:type="dxa" w:w="120"/>
            </w:tcMar>
            <w:vAlign w:val="center"/>
          </w:tcPr>
          <w:p>
            <w:pPr>
              <w:spacing w:before="0" w:after="0" w:line="240" w:lineRule="auto"/>
              <w:jc w:val="left"/>
            </w:pPr>
            <w:r>
              <w:rPr>
                <w:rFonts w:ascii="Times New Roman" w:hAnsi="Times New Roman" w:eastAsia="Times New Roman"/>
                <w:color w:val="000000"/>
                <w:sz w:val="18"/>
              </w:rPr>
              <w:t>Age group</w:t>
            </w:r>
          </w:p>
        </w:tc>
        <w:tc>
          <w:tcPr>
            <w:tcW w:w="1670" w:type="dxa"/>
            <w:tcMar>
              <w:top w:w="80" w:type="dxa"/>
              <w:left w:w="80" w:type="dxa"/>
              <w:bottom w:w="80" w:type="dxa"/>
              <w:right w:w="80" w:type="dxa"/>
              <w:start w:type="dxa" w:w="120"/>
              <w:end w:type="dxa" w:w="120"/>
            </w:tcMar>
            <w:vAlign w:val="center"/>
          </w:tcPr>
          <w:p>
            <w:pPr>
              <w:spacing w:before="0" w:after="0" w:line="240" w:lineRule="auto"/>
              <w:jc w:val="left"/>
            </w:pPr>
            <w:r>
              <w:rPr>
                <w:rFonts w:ascii="Times New Roman" w:hAnsi="Times New Roman" w:eastAsia="Times New Roman"/>
                <w:color w:val="000000"/>
                <w:sz w:val="18"/>
              </w:rPr>
              <w:t>12-17 years</w:t>
            </w:r>
          </w:p>
        </w:tc>
        <w:tc>
          <w:tcPr>
            <w:tcW w:w="1911"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1.05 (1.00–1.11)</w:t>
            </w:r>
          </w:p>
        </w:tc>
        <w:tc>
          <w:tcPr>
            <w:tcW w:w="891"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.035</w:t>
            </w:r>
          </w:p>
        </w:tc>
        <w:tc>
          <w:tcPr>
            <w:tcW w:w="1076"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.005</w:t>
            </w:r>
          </w:p>
        </w:tc>
        <w:tc>
          <w:tcPr>
            <w:tcW w:w="1076"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.015</w:t>
            </w:r>
          </w:p>
        </w:tc>
        <w:tc>
          <w:tcPr>
            <w:tcW w:w="1039"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3408</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1577" w:type="dxa"/>
            <w:tcMar>
              <w:top w:w="80" w:type="dxa"/>
              <w:left w:w="80" w:type="dxa"/>
              <w:bottom w:w="80" w:type="dxa"/>
              <w:right w:w="80" w:type="dxa"/>
              <w:start w:type="dxa" w:w="120"/>
              <w:end w:type="dxa" w:w="120"/>
            </w:tcMar>
            <w:vAlign w:val="center"/>
          </w:tcPr>
          <w:p>
            <w:pPr>
              <w:spacing w:before="0" w:after="0" w:line="240" w:lineRule="auto"/>
              <w:jc w:val="left"/>
            </w:pPr>
            <w:r>
              <w:rPr>
                <w:rFonts w:ascii="Times New Roman" w:hAnsi="Times New Roman" w:eastAsia="Times New Roman"/>
                <w:color w:val="000000"/>
                <w:sz w:val="18"/>
              </w:rPr>
              <w:t>Sex</w:t>
            </w:r>
          </w:p>
        </w:tc>
        <w:tc>
          <w:tcPr>
            <w:tcW w:w="1670" w:type="dxa"/>
            <w:tcMar>
              <w:top w:w="80" w:type="dxa"/>
              <w:left w:w="80" w:type="dxa"/>
              <w:bottom w:w="80" w:type="dxa"/>
              <w:right w:w="80" w:type="dxa"/>
              <w:start w:type="dxa" w:w="120"/>
              <w:end w:type="dxa" w:w="120"/>
            </w:tcMar>
            <w:vAlign w:val="center"/>
          </w:tcPr>
          <w:p>
            <w:pPr>
              <w:spacing w:before="0" w:after="0" w:line="240" w:lineRule="auto"/>
              <w:jc w:val="left"/>
            </w:pPr>
            <w:r>
              <w:rPr>
                <w:rFonts w:ascii="Times New Roman" w:hAnsi="Times New Roman" w:eastAsia="Times New Roman"/>
                <w:color w:val="000000"/>
                <w:sz w:val="18"/>
              </w:rPr>
              <w:t>Male</w:t>
            </w:r>
          </w:p>
        </w:tc>
        <w:tc>
          <w:tcPr>
            <w:tcW w:w="1911"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1.14 (1.08–1.20)</w:t>
            </w:r>
          </w:p>
        </w:tc>
        <w:tc>
          <w:tcPr>
            <w:tcW w:w="891"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&lt;.001</w:t>
            </w:r>
          </w:p>
        </w:tc>
        <w:tc>
          <w:tcPr>
            <w:tcW w:w="1076"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.181</w:t>
            </w:r>
          </w:p>
        </w:tc>
        <w:tc>
          <w:tcPr>
            <w:tcW w:w="1076"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.271</w:t>
            </w:r>
          </w:p>
        </w:tc>
        <w:tc>
          <w:tcPr>
            <w:tcW w:w="1039"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3138</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1577" w:type="dxa"/>
            <w:tcMar>
              <w:top w:w="80" w:type="dxa"/>
              <w:left w:w="80" w:type="dxa"/>
              <w:bottom w:w="80" w:type="dxa"/>
              <w:right w:w="80" w:type="dxa"/>
              <w:start w:type="dxa" w:w="120"/>
              <w:end w:type="dxa" w:w="120"/>
            </w:tcMar>
            <w:vAlign w:val="center"/>
          </w:tcPr>
          <w:p>
            <w:pPr>
              <w:spacing w:before="0" w:after="0" w:line="240" w:lineRule="auto"/>
              <w:jc w:val="left"/>
            </w:pPr>
            <w:r>
              <w:rPr>
                <w:rFonts w:ascii="Times New Roman" w:hAnsi="Times New Roman" w:eastAsia="Times New Roman"/>
                <w:color w:val="000000"/>
                <w:sz w:val="18"/>
              </w:rPr>
              <w:t>Sex</w:t>
            </w:r>
          </w:p>
        </w:tc>
        <w:tc>
          <w:tcPr>
            <w:tcW w:w="1670" w:type="dxa"/>
            <w:tcMar>
              <w:top w:w="80" w:type="dxa"/>
              <w:left w:w="80" w:type="dxa"/>
              <w:bottom w:w="80" w:type="dxa"/>
              <w:right w:w="80" w:type="dxa"/>
              <w:start w:type="dxa" w:w="120"/>
              <w:end w:type="dxa" w:w="120"/>
            </w:tcMar>
            <w:vAlign w:val="center"/>
          </w:tcPr>
          <w:p>
            <w:pPr>
              <w:spacing w:before="0" w:after="0" w:line="240" w:lineRule="auto"/>
              <w:jc w:val="left"/>
            </w:pPr>
            <w:r>
              <w:rPr>
                <w:rFonts w:ascii="Times New Roman" w:hAnsi="Times New Roman" w:eastAsia="Times New Roman"/>
                <w:color w:val="000000"/>
                <w:sz w:val="18"/>
              </w:rPr>
              <w:t>Female</w:t>
            </w:r>
          </w:p>
        </w:tc>
        <w:tc>
          <w:tcPr>
            <w:tcW w:w="1911"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1.07 (1.01–1.14)</w:t>
            </w:r>
          </w:p>
        </w:tc>
        <w:tc>
          <w:tcPr>
            <w:tcW w:w="891"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.032</w:t>
            </w:r>
          </w:p>
        </w:tc>
        <w:tc>
          <w:tcPr>
            <w:tcW w:w="1076"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.181</w:t>
            </w:r>
          </w:p>
        </w:tc>
        <w:tc>
          <w:tcPr>
            <w:tcW w:w="1076"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.271</w:t>
            </w:r>
          </w:p>
        </w:tc>
        <w:tc>
          <w:tcPr>
            <w:tcW w:w="1039"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2507</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1577" w:type="dxa"/>
            <w:tcMar>
              <w:top w:w="80" w:type="dxa"/>
              <w:left w:w="80" w:type="dxa"/>
              <w:bottom w:w="80" w:type="dxa"/>
              <w:right w:w="80" w:type="dxa"/>
              <w:start w:type="dxa" w:w="120"/>
              <w:end w:type="dxa" w:w="120"/>
            </w:tcMar>
            <w:vAlign w:val="center"/>
          </w:tcPr>
          <w:p>
            <w:pPr>
              <w:spacing w:before="0" w:after="0" w:line="240" w:lineRule="auto"/>
              <w:jc w:val="left"/>
            </w:pPr>
            <w:r>
              <w:rPr>
                <w:rFonts w:ascii="Times New Roman" w:hAnsi="Times New Roman" w:eastAsia="Times New Roman"/>
                <w:color w:val="000000"/>
                <w:sz w:val="18"/>
              </w:rPr>
              <w:t>Asthma severity</w:t>
            </w:r>
          </w:p>
        </w:tc>
        <w:tc>
          <w:tcPr>
            <w:tcW w:w="1670" w:type="dxa"/>
            <w:tcMar>
              <w:top w:w="80" w:type="dxa"/>
              <w:left w:w="80" w:type="dxa"/>
              <w:bottom w:w="80" w:type="dxa"/>
              <w:right w:w="80" w:type="dxa"/>
              <w:start w:type="dxa" w:w="120"/>
              <w:end w:type="dxa" w:w="120"/>
            </w:tcMar>
            <w:vAlign w:val="center"/>
          </w:tcPr>
          <w:p>
            <w:pPr>
              <w:spacing w:before="0" w:after="0" w:line="240" w:lineRule="auto"/>
              <w:jc w:val="left"/>
            </w:pPr>
            <w:r>
              <w:rPr>
                <w:rFonts w:ascii="Times New Roman" w:hAnsi="Times New Roman" w:eastAsia="Times New Roman"/>
                <w:color w:val="000000"/>
                <w:sz w:val="18"/>
              </w:rPr>
              <w:t>Mild</w:t>
            </w:r>
          </w:p>
        </w:tc>
        <w:tc>
          <w:tcPr>
            <w:tcW w:w="1911"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1.10 (1.05–1.15)</w:t>
            </w:r>
          </w:p>
        </w:tc>
        <w:tc>
          <w:tcPr>
            <w:tcW w:w="891"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&lt;.001</w:t>
            </w:r>
          </w:p>
        </w:tc>
        <w:tc>
          <w:tcPr>
            <w:tcW w:w="1076"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.393</w:t>
            </w:r>
          </w:p>
        </w:tc>
        <w:tc>
          <w:tcPr>
            <w:tcW w:w="1076"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.393</w:t>
            </w:r>
          </w:p>
        </w:tc>
        <w:tc>
          <w:tcPr>
            <w:tcW w:w="1039"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4079</w:t>
            </w:r>
          </w:p>
        </w:tc>
      </w:tr>
      <w:tr>
        <w:tblPrEx>
          <w:tblBorders>
            <w:top w:val="single" w:color="37474F" w:sz="12" w:space="0"/>
            <w:left w:val="none" w:color="auto" w:sz="0" w:space="0"/>
            <w:bottom w:val="single" w:color="37474F" w:sz="12" w:space="0"/>
            <w:right w:val="none" w:color="auto" w:sz="0" w:space="0"/>
            <w:insideH w:val="none" w:color="auto" w:sz="0" w:space="0"/>
            <w:insideV w:val="none" w:color="auto" w:sz="0" w:space="0"/>
          </w:tblBorders>
          <w:tblCellMar>
            <w:top w:w="0" w:type="dxa"/>
            <w:left w:w="10" w:type="dxa"/>
            <w:bottom w:w="0" w:type="dxa"/>
            <w:right w:w="10" w:type="dxa"/>
          </w:tblCellMar>
        </w:tblPrEx>
        <w:tc>
          <w:tcPr>
            <w:tcW w:w="1577" w:type="dxa"/>
            <w:tcMar>
              <w:top w:w="80" w:type="dxa"/>
              <w:left w:w="80" w:type="dxa"/>
              <w:bottom w:w="80" w:type="dxa"/>
              <w:right w:w="80" w:type="dxa"/>
              <w:start w:type="dxa" w:w="120"/>
              <w:end w:type="dxa" w:w="120"/>
            </w:tcMar>
            <w:vAlign w:val="center"/>
          </w:tcPr>
          <w:p>
            <w:pPr>
              <w:spacing w:before="0" w:after="0" w:line="240" w:lineRule="auto"/>
              <w:jc w:val="left"/>
            </w:pPr>
            <w:r>
              <w:rPr>
                <w:rFonts w:ascii="Times New Roman" w:hAnsi="Times New Roman" w:eastAsia="Times New Roman"/>
                <w:color w:val="000000"/>
                <w:sz w:val="18"/>
              </w:rPr>
              <w:t>Asthma severity</w:t>
            </w:r>
          </w:p>
        </w:tc>
        <w:tc>
          <w:tcPr>
            <w:tcW w:w="1670" w:type="dxa"/>
            <w:tcMar>
              <w:top w:w="80" w:type="dxa"/>
              <w:left w:w="80" w:type="dxa"/>
              <w:bottom w:w="80" w:type="dxa"/>
              <w:right w:w="80" w:type="dxa"/>
              <w:start w:type="dxa" w:w="120"/>
              <w:end w:type="dxa" w:w="120"/>
            </w:tcMar>
            <w:vAlign w:val="center"/>
          </w:tcPr>
          <w:p>
            <w:pPr>
              <w:spacing w:before="0" w:after="0" w:line="240" w:lineRule="auto"/>
              <w:jc w:val="left"/>
            </w:pPr>
            <w:r>
              <w:rPr>
                <w:rFonts w:ascii="Times New Roman" w:hAnsi="Times New Roman" w:eastAsia="Times New Roman"/>
                <w:color w:val="000000"/>
                <w:sz w:val="18"/>
              </w:rPr>
              <w:t>Moderate/severe</w:t>
            </w:r>
          </w:p>
        </w:tc>
        <w:tc>
          <w:tcPr>
            <w:tcW w:w="1911"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1.14 (1.04–1.24)</w:t>
            </w:r>
          </w:p>
        </w:tc>
        <w:tc>
          <w:tcPr>
            <w:tcW w:w="891"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.003</w:t>
            </w:r>
          </w:p>
        </w:tc>
        <w:tc>
          <w:tcPr>
            <w:tcW w:w="1076"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.393</w:t>
            </w:r>
          </w:p>
        </w:tc>
        <w:tc>
          <w:tcPr>
            <w:tcW w:w="1076"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.393</w:t>
            </w:r>
          </w:p>
        </w:tc>
        <w:tc>
          <w:tcPr>
            <w:tcW w:w="1039" w:type="dxa"/>
            <w:tcMar>
              <w:top w:w="80" w:type="dxa"/>
              <w:left w:w="80" w:type="dxa"/>
              <w:bottom w:w="80" w:type="dxa"/>
              <w:right w:w="80" w:type="dxa"/>
              <w:start w:type="dxa" w:w="120"/>
              <w:end w:type="dxa" w:w="120"/>
            </w:tcMar>
            <w:vAlign w:val="center"/>
          </w:tcPr>
          <w:p>
            <w:pPr>
              <w:spacing w:before="0" w:after="0" w:line="240" w:lineRule="auto"/>
              <w:jc w:val="center"/>
            </w:pPr>
            <w:r>
              <w:rPr>
                <w:rFonts w:ascii="Times New Roman" w:hAnsi="Times New Roman" w:eastAsia="Times New Roman"/>
                <w:color w:val="000000"/>
                <w:sz w:val="18"/>
              </w:rPr>
              <w:t>1566</w:t>
            </w:r>
          </w:p>
        </w:tc>
      </w:tr>
    </w:tbl>
    <w:p>
      <w:pPr>
        <w:pStyle w:val="1"/>
        <w:spacing w:before="60" w:after="160" w:line="480" w:lineRule="auto"/>
      </w:pPr>
      <w:r>
        <w:rPr>
          <w:rFonts w:ascii="Times New Roman" w:hAnsi="Times New Roman" w:eastAsia="Times New Roman" w:cs="Times New Roman"/>
          <w:i/>
          <w:color w:val="000000"/>
          <w:sz w:val="24"/>
          <w:szCs w:val="22"/>
        </w:rPr>
        <w:t>Interaction P values are from multiplicative terms; interaction q values are BH adjusted across the 3 subgroup families.</w:t>
      </w:r>
    </w:p>
    <w:p>
      <w:pPr>
        <w:pStyle w:val="1"/>
        <w:spacing w:after="200" w:line="480" w:lineRule="auto"/>
      </w:pPr>
    </w:p>
    <w:p>
      <w:pPr>
        <w:keepNext/>
        <w:spacing w:before="240" w:after="80" w:line="480" w:lineRule="auto"/>
        <w:ind w:left="0" w:right="0" w:firstLine="0"/>
      </w:pPr>
      <w:r>
        <w:rPr>
          <w:rFonts w:ascii="Times New Roman" w:hAnsi="Times New Roman" w:eastAsia="Times New Roman"/>
          <w:color w:val="000000"/>
          <w:sz w:val="24"/>
        </w:rPr>
        <w:t>eFigure 1. Sensitivity analyses for parent-rated tooth condition. Points are ratios with 95% CIs; OR and PR estimates should not be compared as the same measure.</w:t>
      </w:r>
    </w:p>
    <w:p>
      <w:pPr>
        <w:pStyle w:val="1"/>
        <w:keepNext/>
        <w:spacing w:before="160" w:after="80" w:line="480" w:lineRule="auto"/>
        <w:jc w:val="center"/>
      </w:pPr>
      <w:r>
        <w:rPr>
          <w:rFonts w:ascii="Times New Roman" w:hAnsi="Times New Roman" w:eastAsia="Times New Roman"/>
          <w:color w:val="000000"/>
          <w:sz w:val="24"/>
        </w:rPr>
      </w:r>
      <w:r>
        <w:rPr>
          <w:rFonts w:ascii="Times New Roman" w:hAnsi="Times New Roman" w:eastAsia="Times New Roman"/>
          <w:color w:val="000000"/>
          <w:sz w:val="24"/>
        </w:rPr>
      </w:r>
      <w:r>
        <w:rPr>
          <w:rFonts w:ascii="Times New Roman" w:hAnsi="Times New Roman" w:eastAsia="Times New Roman"/>
          <w:color w:val="000000"/>
          <w:sz w:val="24"/>
        </w:rPr>
        <w:drawing>
          <wp:inline>
            <wp:extent cx="5715000" cy="2712835"/>
            <wp:docPr id="1" name="Picture 1" descr="Forest plot of sensitivity analyses for parent-reported tooth condition" title="Sensitivity analyses forest plot"/>
            <wp:cNvGraphicFramePr>
              <a:graphicFrameLocks noChangeAspect="1"/>
            </wp:cNvGraphicFramePr>
            <a:graphic>
              <a:graphicData uri="http://schemas.openxmlformats.org/drawingml/2006/picture">
                <pic:pic>
                  <pic:nvPicPr>
                    <pic:cNvPr id="0" name="eFigure_1.png"/>
                    <pic:cNvPicPr/>
                  </pic:nvPicPr>
                  <pic:blipFill>
                    <a:blip r:embed="rId14"/>
                    <a:stretch>
                      <a:fillRect/>
                    </a:stretch>
                  </pic:blipFill>
                  <pic:spPr>
                    <a:xfrm>
                      <a:off x="0" y="0"/>
                      <a:ext cx="5715000" cy="2712835"/>
                    </a:xfrm>
                    <a:prstGeom prst="rect"/>
                  </pic:spPr>
                </pic:pic>
              </a:graphicData>
            </a:graphic>
          </wp:inline>
        </w:drawing>
      </w:r>
    </w:p>
    <w:sectPr>
      <w:lnNumType w:countBy="1" w:start="1" w:restart="continuous" w:distance="360"/>
      <w:headerReference r:id="rId5" w:type="default"/>
      <w:footerReference r:id="rId6" w:type="default"/>
      <w:headerReference w:type="first" r:id="rId15"/>
      <w:headerReference w:type="even" r:id="rId16"/>
      <w:pgSz w:w="12240" w:h="15840"/>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FA46D">
    <w:pPr>
      <w:jc w:val="center"/>
    </w:pPr>
    <w:r>
      <w:t xml:space="preserve">Page </w:t>
    </w:r>
    <w:r>
      <w:fldChar w:fldCharType="begin"/>
      <w:instrText xml:space="preserve"> PAGE </w:instrText>
      <w:fldChar w:fldCharType="separate"/>
      <w:t>1</w: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E3F17">
    <w:pPr>
      <w:jc w:val="right"/>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C5D7FB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line="480" w:lineRule="auto" w:before="0" w:after="0"/>
    </w:pPr>
    <w:rPr>
      <w:rFonts w:ascii="Times New Roman" w:hAnsi="Times New Roman" w:eastAsia="Times New Roman"/>
      <w:color w:val="000000"/>
      <w:sz w:val="24"/>
      <w:szCs w:val="22"/>
    </w:rPr>
  </w:style>
  <w:style w:type="character" w:default="1" w:styleId="3">
    <w:name w:val="Default Paragraph Font"/>
    <w:uiPriority w:val="0"/>
    <w:semiHidden/>
  </w:style>
  <w:style w:type="table" w:default="1" w:styleId="2">
    <w:name w:val="Normal Table"/>
    <w:uiPriority w:val="0"/>
    <w:semiHidden/>
    <w:tblPr>
      <w:tblCellMar>
        <w:top w:w="0" w:type="dxa"/>
        <w:left w:w="108" w:type="dxa"/>
        <w:bottom w:w="0" w:type="dxa"/>
        <w:right w:w="108" w:type="dxa"/>
      </w:tblCellMar>
    </w:tblPr>
  </w:style>
  <w:style w:type="paragraph" w:customStyle="1" w:styleId="Title">
    <w:name w:val="Title"/>
    <w:pPr>
      <w:spacing w:line="480" w:lineRule="auto" w:after="120"/>
      <w:jc w:val="center"/>
    </w:pPr>
    <w:rPr>
      <w:rFonts w:ascii="Times New Roman" w:hAnsi="Times New Roman"/>
      <w:b/>
      <w:color w:val="000000"/>
      <w:sz w:val="32"/>
    </w:rPr>
  </w:style>
  <w:style w:type="paragraph" w:customStyle="1" w:styleId="Heading1">
    <w:name w:val="heading 1"/>
    <w:pPr>
      <w:keepNext/>
      <w:spacing w:before="240" w:after="120" w:line="480" w:lineRule="auto"/>
    </w:pPr>
    <w:rPr>
      <w:rFonts w:ascii="Times New Roman" w:hAnsi="Times New Roman"/>
      <w:b/>
      <w:color w:val="000000"/>
      <w:sz w:val="28"/>
    </w:rPr>
  </w:style>
  <w:style w:type="paragraph" w:customStyle="1" w:styleId="Heading2">
    <w:name w:val="heading 2"/>
    <w:pPr>
      <w:keepNext/>
      <w:spacing w:before="200" w:after="80" w:line="480" w:lineRule="auto"/>
    </w:pPr>
    <w:rPr>
      <w:rFonts w:ascii="Times New Roman" w:hAnsi="Times New Roman"/>
      <w:b/>
      <w:color w:val="000000"/>
      <w:sz w:val="24"/>
    </w:rPr>
  </w:style>
  <w:style w:type="paragraph" w:customStyle="1" w:styleId="Heading3">
    <w:name w:val="heading 3"/>
    <w:pPr>
      <w:keepNext/>
      <w:spacing w:before="160" w:after="40" w:line="480" w:lineRule="auto"/>
    </w:pPr>
    <w:rPr>
      <w:rFonts w:ascii="Times New Roman" w:hAnsi="Times New Roman"/>
      <w:b/>
      <w:color w:val="000000"/>
      <w:sz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fontTable" Target="fontTable.xml"/><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2.xml"/><Relationship Id="rId16"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25</Pages>
  <Words>4195</Words>
  <Characters>25303</Characters>
  <TotalTime>0</TotalTime>
  <ScaleCrop>false</ScaleCrop>
  <LinksUpToDate>false</LinksUpToDate>
  <CharactersWithSpaces>29300</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2026-07-30T12:30:48Z</dcterms:created>
  <dc:creator/>
  <cp:lastModifiedBy/>
  <dcterms:modified xsi:type="dcterms:W3CDTF">2026-07-30T12:31:37Z</dcterms:modified>
  <dc:title>Supplementary tables and figure</dc:title>
  <dc:subject>BMC Oral Health submission</dc:subject>
  <cp:keywords/>
  <dc:description/>
  <cp:category/>
  <cp:contentStatus/>
  <dc:identifier/>
  <dc:language>en</dc:language>
  <cp:version/>
</cp:coreProperties>
</file>