
<file path=[Content_Types].xml><?xml version="1.0" encoding="utf-8"?>
<Types xmlns="http://schemas.openxmlformats.org/package/2006/content-types">
  <Default Extension="xml" ContentType="application/xml"/>
  <Default Extension="wmf" ContentType="image/x-wmf"/>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4B5CC">
      <w:pPr>
        <w:spacing w:before="0" w:after="240" w:line="360" w:lineRule="auto"/>
        <w:jc w:val="left"/>
        <w:rPr>
          <w:rFonts w:hint="default" w:ascii="Arial" w:hAnsi="Arial" w:eastAsia="Times New Roman" w:cs="Arial"/>
          <w:b w:val="0"/>
          <w:bCs/>
          <w:sz w:val="24"/>
          <w:szCs w:val="24"/>
        </w:rPr>
      </w:pPr>
      <w:r>
        <w:rPr>
          <w:rFonts w:hint="default" w:ascii="Arial" w:hAnsi="Arial" w:eastAsia="Times New Roman" w:cs="Arial"/>
          <w:b w:val="0"/>
          <w:bCs/>
          <w:sz w:val="24"/>
          <w:szCs w:val="24"/>
        </w:rPr>
        <w:t>Multi-Omics Analysis of Lactylation-Related Gene Signature for Prognosis, Immune Microenvironment, and Therapeutic Target Discovery in Oral Squamous Cell Carcinoma</w:t>
      </w:r>
    </w:p>
    <w:p w14:paraId="13766AC1">
      <w:pPr>
        <w:spacing w:after="40" w:line="360" w:lineRule="auto"/>
        <w:jc w:val="left"/>
        <w:rPr>
          <w:rFonts w:hint="default" w:ascii="Arial" w:hAnsi="Arial" w:cs="Arial"/>
          <w:b w:val="0"/>
          <w:bCs/>
          <w:sz w:val="24"/>
          <w:szCs w:val="24"/>
        </w:rPr>
      </w:pPr>
      <w:r>
        <w:rPr>
          <w:rFonts w:hint="default" w:ascii="Arial" w:hAnsi="Arial" w:eastAsia="Times New Roman" w:cs="Arial"/>
          <w:b w:val="0"/>
          <w:bCs/>
          <w:sz w:val="24"/>
          <w:szCs w:val="24"/>
        </w:rPr>
        <w:t>Zhou Linyue</w:t>
      </w:r>
      <w:bookmarkStart w:id="0" w:name="_GoBack"/>
      <w:bookmarkEnd w:id="0"/>
      <w:r>
        <w:rPr>
          <w:rFonts w:hint="default" w:ascii="Arial" w:hAnsi="Arial" w:eastAsia="Times New Roman" w:cs="Arial"/>
          <w:b w:val="0"/>
          <w:bCs/>
          <w:sz w:val="24"/>
          <w:szCs w:val="24"/>
        </w:rPr>
        <w:t xml:space="preserve"> ¹</w:t>
      </w:r>
    </w:p>
    <w:p w14:paraId="500EB578">
      <w:pPr>
        <w:spacing w:after="240" w:line="360" w:lineRule="auto"/>
        <w:jc w:val="left"/>
        <w:rPr>
          <w:rFonts w:hint="default" w:ascii="Arial" w:hAnsi="Arial" w:eastAsia="Times New Roman" w:cs="Arial"/>
          <w:b w:val="0"/>
          <w:bCs/>
          <w:i/>
          <w:sz w:val="24"/>
          <w:szCs w:val="24"/>
        </w:rPr>
      </w:pPr>
      <w:r>
        <w:rPr>
          <w:rFonts w:hint="eastAsia" w:ascii="Arial" w:hAnsi="Arial" w:eastAsia="宋体" w:cs="Arial"/>
          <w:b w:val="0"/>
          <w:bCs/>
          <w:i/>
          <w:sz w:val="24"/>
          <w:szCs w:val="24"/>
          <w:lang w:val="en-US" w:eastAsia="zh-CN"/>
        </w:rPr>
        <w:t xml:space="preserve">1 </w:t>
      </w:r>
      <w:r>
        <w:rPr>
          <w:rFonts w:hint="default" w:ascii="Arial" w:hAnsi="Arial" w:eastAsia="Times New Roman" w:cs="Arial"/>
          <w:b w:val="0"/>
          <w:bCs/>
          <w:i/>
          <w:sz w:val="24"/>
          <w:szCs w:val="24"/>
        </w:rPr>
        <w:t>Department of Craniofacial Development and Stem Cell Biology, Faculty of Dentistry, Oral &amp; Craniofacial Sciences, King’s College London, London, United Kingdom</w:t>
      </w:r>
    </w:p>
    <w:p w14:paraId="71BCCDA9">
      <w:pPr>
        <w:spacing w:after="240" w:line="360" w:lineRule="auto"/>
        <w:jc w:val="left"/>
        <w:rPr>
          <w:rFonts w:hint="default" w:ascii="Arial" w:hAnsi="Arial" w:eastAsia="Times New Roman" w:cs="Arial"/>
          <w:b/>
          <w:bCs w:val="0"/>
          <w:color w:val="auto"/>
          <w:sz w:val="24"/>
          <w:szCs w:val="24"/>
        </w:rPr>
      </w:pPr>
      <w:r>
        <w:rPr>
          <w:rFonts w:hint="default" w:ascii="Arial" w:hAnsi="Arial" w:eastAsia="Times New Roman" w:cs="Arial"/>
          <w:b w:val="0"/>
          <w:bCs/>
          <w:i/>
          <w:sz w:val="24"/>
          <w:szCs w:val="24"/>
        </w:rPr>
        <w:t>Corresponding author: [</w:t>
      </w:r>
      <w:r>
        <w:rPr>
          <w:rFonts w:hint="default" w:ascii="Arial" w:hAnsi="Arial" w:eastAsia="Times New Roman" w:cs="Arial"/>
          <w:b w:val="0"/>
          <w:bCs/>
          <w:sz w:val="24"/>
          <w:szCs w:val="24"/>
        </w:rPr>
        <w:t>ZHOULINYUE LIN</w:t>
      </w:r>
      <w:r>
        <w:rPr>
          <w:rFonts w:hint="default" w:ascii="Arial" w:hAnsi="Arial" w:eastAsia="Times New Roman" w:cs="Arial"/>
          <w:b w:val="0"/>
          <w:bCs/>
          <w:i/>
          <w:sz w:val="24"/>
          <w:szCs w:val="24"/>
        </w:rPr>
        <w:t>], [lzhoulinyue1122</w:t>
      </w:r>
      <w:r>
        <w:rPr>
          <w:rFonts w:hint="eastAsia" w:ascii="Arial" w:hAnsi="Arial" w:eastAsia="宋体" w:cs="Arial"/>
          <w:b w:val="0"/>
          <w:bCs/>
          <w:i/>
          <w:sz w:val="24"/>
          <w:szCs w:val="24"/>
          <w:lang w:val="en-US" w:eastAsia="zh-CN"/>
        </w:rPr>
        <w:t>@163.com</w:t>
      </w:r>
      <w:r>
        <w:rPr>
          <w:rFonts w:hint="default" w:ascii="Arial" w:hAnsi="Arial" w:eastAsia="Times New Roman" w:cs="Arial"/>
          <w:b w:val="0"/>
          <w:bCs/>
          <w:i/>
          <w:sz w:val="24"/>
          <w:szCs w:val="24"/>
        </w:rPr>
        <w:t>]</w:t>
      </w:r>
    </w:p>
    <w:p w14:paraId="7144B92D">
      <w:pPr>
        <w:spacing w:after="80" w:line="360" w:lineRule="auto"/>
        <w:jc w:val="center"/>
        <w:rPr>
          <w:rFonts w:hint="default" w:ascii="Arial" w:hAnsi="Arial" w:eastAsia="Times New Roman" w:cs="Arial"/>
          <w:b/>
          <w:bCs/>
          <w:color w:val="auto"/>
          <w:sz w:val="24"/>
          <w:szCs w:val="24"/>
        </w:rPr>
      </w:pPr>
    </w:p>
    <w:p w14:paraId="75C1C19D">
      <w:pPr>
        <w:spacing w:after="80" w:line="360" w:lineRule="auto"/>
        <w:jc w:val="center"/>
        <w:rPr>
          <w:rFonts w:hint="default" w:ascii="Arial" w:hAnsi="Arial" w:cs="Arial"/>
          <w:b/>
          <w:bCs/>
          <w:color w:val="auto"/>
          <w:sz w:val="24"/>
          <w:szCs w:val="24"/>
          <w:lang w:val="en-US" w:eastAsia="zh-CN"/>
        </w:rPr>
      </w:pPr>
      <w:r>
        <w:rPr>
          <w:rFonts w:hint="default" w:ascii="Arial" w:hAnsi="Arial" w:eastAsia="Times New Roman" w:cs="Arial"/>
          <w:b/>
          <w:bCs/>
          <w:color w:val="auto"/>
          <w:sz w:val="24"/>
          <w:szCs w:val="24"/>
        </w:rPr>
        <w:t>SUPPLEMENTARY MATERIALS</w:t>
      </w:r>
    </w:p>
    <w:p w14:paraId="32D69332">
      <w:pPr>
        <w:spacing w:after="80" w:line="360" w:lineRule="auto"/>
        <w:jc w:val="center"/>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Figures and Tables for</w:t>
      </w:r>
    </w:p>
    <w:p w14:paraId="151F6283">
      <w:pPr>
        <w:spacing w:after="80" w:line="360" w:lineRule="auto"/>
        <w:ind w:firstLineChars="200"/>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Multi-Omics Analysis of Lactylation-Related Gene Signature for</w:t>
      </w:r>
      <w:r>
        <w:rPr>
          <w:rFonts w:hint="default" w:ascii="Arial" w:hAnsi="Arial" w:cs="Arial"/>
          <w:b w:val="0"/>
          <w:bCs w:val="0"/>
          <w:color w:val="auto"/>
          <w:sz w:val="24"/>
          <w:szCs w:val="24"/>
          <w:lang w:val="en-US" w:eastAsia="zh-CN"/>
        </w:rPr>
        <w:t xml:space="preserve"> </w:t>
      </w:r>
      <w:r>
        <w:rPr>
          <w:rFonts w:hint="default" w:ascii="Arial" w:hAnsi="Arial" w:eastAsia="Times New Roman" w:cs="Arial"/>
          <w:b w:val="0"/>
          <w:bCs w:val="0"/>
          <w:color w:val="auto"/>
          <w:sz w:val="24"/>
          <w:szCs w:val="24"/>
        </w:rPr>
        <w:t>Prognosis, Immune Microenvironment, and Therapeutic Target Discovery in Oral Squamous Cell Carcinoma</w:t>
      </w:r>
    </w:p>
    <w:p w14:paraId="0C25FB56">
      <w:pPr>
        <w:spacing w:after="80" w:line="360" w:lineRule="auto"/>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Section 1: Supplementary Figures</w:t>
      </w:r>
    </w:p>
    <w:p w14:paraId="1E031BE4">
      <w:pPr>
        <w:spacing w:after="80" w:line="360" w:lineRule="auto"/>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Figure S1. TCGA-HNSC Cohort Clinical Characteristics and Sample Distribution ( Results 3.1)</w:t>
      </w:r>
    </w:p>
    <w:p w14:paraId="331C18AC">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corresponds to Results section 3.1 (Data acquisition and sample characteristics) and provides comprehensive sample distribution and clinical baseline information for the TCGA-HNSC cohort (n=386, including 342 oral cancer and 44 normal samples). The figure consists of 4 panels: (A) Sample group distribution (bar+pie) + Primary site distribution (bar) + Oral vs Non-Oral HNSCC cross-tabulation (stacked bar); (B) Primary Site Distribution among tumor samples (8 anatomical sites); (C) AJCC Pathologic Stage distribution; (D) Clinical Characteristics Summary heatmap comparing Oral Cancer vs Normal.</w:t>
      </w:r>
    </w:p>
    <w:p w14:paraId="33986586">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3477895" cy="304292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3477895" cy="3042920"/>
                    </a:xfrm>
                    <a:prstGeom prst="rect">
                      <a:avLst/>
                    </a:prstGeom>
                  </pic:spPr>
                </pic:pic>
              </a:graphicData>
            </a:graphic>
          </wp:inline>
        </w:drawing>
      </w:r>
    </w:p>
    <w:p w14:paraId="5DBA8EC1">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S1A. TCGA-HNSC Sample Group Distribution (left top: bar chart 342 vs 44; right top: pie chart 88.6% vs 11.4%) + Primary Site Distribution (left bottom: 8 anatomical sites) + Oral Cancer vs Non-Oral HNSCC by Primary Site (right bottom: stacked bar). Total samples: 386.</w:t>
      </w:r>
    </w:p>
    <w:p w14:paraId="707081D1">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943600" cy="416052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943600" cy="4160520"/>
                    </a:xfrm>
                    <a:prstGeom prst="rect">
                      <a:avLst/>
                    </a:prstGeom>
                  </pic:spPr>
                </pic:pic>
              </a:graphicData>
            </a:graphic>
          </wp:inline>
        </w:drawing>
      </w:r>
    </w:p>
    <w:p w14:paraId="069A75A9">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S1B. Primary Site Distribution (Tumor Samples Only, n=342): Other tongue 130 (38%), Other oral &amp; pharynx 70 (20.5%), Floor of mouth 57 (16.7%), Other mouth 42 (12.3%), Base of tongue 25 (7.3%), Gum 11 (3.2%), Palate 4 (1.2%), Lip 3 (0.9%).</w:t>
      </w:r>
    </w:p>
    <w:p w14:paraId="189B3663">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5486400" cy="4114800"/>
                    </a:xfrm>
                    <a:prstGeom prst="rect">
                      <a:avLst/>
                    </a:prstGeom>
                  </pic:spPr>
                </pic:pic>
              </a:graphicData>
            </a:graphic>
          </wp:inline>
        </w:drawing>
      </w:r>
    </w:p>
    <w:p w14:paraId="6F046ACB">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S1C. AJCC Pathologic Stage Distribution (Tumor samples only, n=311 with available staging): Stage I 22, II 55, III 63, IV 171. Advanced stage (III-IV) predominates (234/311 = 75.2%).</w:t>
      </w:r>
    </w:p>
    <w:p w14:paraId="3E7908E5">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943600" cy="3714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943600" cy="3714750"/>
                    </a:xfrm>
                    <a:prstGeom prst="rect">
                      <a:avLst/>
                    </a:prstGeom>
                  </pic:spPr>
                </pic:pic>
              </a:graphicData>
            </a:graphic>
          </wp:inline>
        </w:drawing>
      </w:r>
    </w:p>
    <w:p w14:paraId="2D55D23E">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S1D. Clinical Characteristics Summary: Oral Cancer (N=342, Median Age=61, Stage I-II=77, Stage III-IV=234) vs Normal (N=44, Median Age=64, Stage I-II=18, Stage III-IV=25). The cohort composition confirms the focus on advanced-stage oral cancer, consistent with clinical epidemiology.</w:t>
      </w:r>
    </w:p>
    <w:p w14:paraId="5B94A0DA">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Summary: (1) Total samples: 386 (342 oral cancer + 44 normal). (2) Most common primary site: Other tongue (38.0%) &gt; Other oral &amp; pharynx (20.5%) &gt; Floor of mouth (16.7%). (3) Stage IV dominates (54.9% of 311 staged tumors), indicating advanced disease at diagnosis. (4) Median age comparable between groups (61 vs 64 years), with strong skew toward advanced stages in oral cancer group (234 Stage III-IV vs 77 Stage I-II = 75.2% advanced).</w:t>
      </w:r>
    </w:p>
    <w:p w14:paraId="372A1592">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6BEEB510">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S2. PPI Network Alternative Layouts (Circle + FR)</w:t>
      </w:r>
    </w:p>
    <w:p w14:paraId="72EF1C6D">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alternative layout views of the PPI network for the 25 core lactylation-related genes to complement Figure 4 in the main manuscript. The Circle layout (Panel A) and Fruchterman-Reingold (FR) layout (Panel B) provide different visual perspectives on the network topology. Top 10 hub genes identified by multi-topology scoring are highlighted in red.</w:t>
      </w:r>
    </w:p>
    <w:p w14:paraId="188BA9D5">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54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5486400" cy="5486400"/>
                    </a:xfrm>
                    <a:prstGeom prst="rect">
                      <a:avLst/>
                    </a:prstGeom>
                  </pic:spPr>
                </pic:pic>
              </a:graphicData>
            </a:graphic>
          </wp:inline>
        </w:drawing>
      </w:r>
    </w:p>
    <w:p w14:paraId="3652F3E1">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S2A. PPI network in Circle layout (Top 10 hub genes highlighted in red)</w:t>
      </w:r>
    </w:p>
    <w:p w14:paraId="64A13955">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548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5486400" cy="5486400"/>
                    </a:xfrm>
                    <a:prstGeom prst="rect">
                      <a:avLst/>
                    </a:prstGeom>
                  </pic:spPr>
                </pic:pic>
              </a:graphicData>
            </a:graphic>
          </wp:inline>
        </w:drawing>
      </w:r>
    </w:p>
    <w:p w14:paraId="0365D548">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S2B. PPI network in Fruchterman-Reingold (FR) layout</w:t>
      </w:r>
    </w:p>
    <w:p w14:paraId="5D3C79BC">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06D38453">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S3. Functional Enrichment Supplements (KEGG + GSEA KEGG)</w:t>
      </w:r>
    </w:p>
    <w:p w14:paraId="1D968AD4">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additional KEGG pathway enrichment analyses to complement Figure 5 in the main manuscript.</w:t>
      </w:r>
    </w:p>
    <w:p w14:paraId="77145B8E">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029200" cy="57486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5029200" cy="5749289"/>
                    </a:xfrm>
                    <a:prstGeom prst="rect">
                      <a:avLst/>
                    </a:prstGeom>
                  </pic:spPr>
                </pic:pic>
              </a:graphicData>
            </a:graphic>
          </wp:inline>
        </w:drawing>
      </w:r>
    </w:p>
    <w:p w14:paraId="4B91138A">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S3A. GO MF enrichment dotplot (complement to Figure 5B)</w:t>
      </w:r>
    </w:p>
    <w:p w14:paraId="39C0A451">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029200" cy="4041775"/>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5029200" cy="4042409"/>
                    </a:xfrm>
                    <a:prstGeom prst="rect">
                      <a:avLst/>
                    </a:prstGeom>
                  </pic:spPr>
                </pic:pic>
              </a:graphicData>
            </a:graphic>
          </wp:inline>
        </w:drawing>
      </w:r>
    </w:p>
    <w:p w14:paraId="5CE5091F">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S3B. KEGG pathway enrichment dotplot</w:t>
      </w:r>
    </w:p>
    <w:p w14:paraId="3AF034CD">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6424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4"/>
                    <a:stretch>
                      <a:fillRect/>
                    </a:stretch>
                  </pic:blipFill>
                  <pic:spPr>
                    <a:xfrm>
                      <a:off x="0" y="0"/>
                      <a:ext cx="5486400" cy="4642658"/>
                    </a:xfrm>
                    <a:prstGeom prst="rect">
                      <a:avLst/>
                    </a:prstGeom>
                  </pic:spPr>
                </pic:pic>
              </a:graphicData>
            </a:graphic>
          </wp:inline>
        </w:drawing>
      </w:r>
    </w:p>
    <w:p w14:paraId="75F21181">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S3</w:t>
      </w:r>
      <w:r>
        <w:rPr>
          <w:rFonts w:hint="default" w:ascii="Arial" w:hAnsi="Arial" w:cs="Arial"/>
          <w:b w:val="0"/>
          <w:bCs w:val="0"/>
          <w:i/>
          <w:color w:val="auto"/>
          <w:sz w:val="24"/>
          <w:szCs w:val="24"/>
          <w:lang w:val="en-US" w:eastAsia="zh-CN"/>
        </w:rPr>
        <w:t>C</w:t>
      </w:r>
      <w:r>
        <w:rPr>
          <w:rFonts w:hint="default" w:ascii="Arial" w:hAnsi="Arial" w:eastAsia="Times New Roman" w:cs="Arial"/>
          <w:b w:val="0"/>
          <w:bCs w:val="0"/>
          <w:i/>
          <w:color w:val="auto"/>
          <w:sz w:val="24"/>
          <w:szCs w:val="24"/>
        </w:rPr>
        <w:t>. Gene-pathway association chord diagram (15 Core LRGs vs Top GO BP Terms)</w:t>
      </w:r>
    </w:p>
    <w:p w14:paraId="16F1A3B1">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7CA898B5">
      <w:pPr>
        <w:spacing w:before="240" w:after="120" w:line="360" w:lineRule="auto"/>
        <w:jc w:val="left"/>
        <w:rPr>
          <w:rFonts w:hint="default" w:ascii="Arial" w:hAnsi="Arial" w:eastAsia="宋体" w:cs="Arial"/>
          <w:b w:val="0"/>
          <w:bCs w:val="0"/>
          <w:color w:val="auto"/>
          <w:sz w:val="24"/>
          <w:szCs w:val="24"/>
          <w:lang w:val="en-US" w:eastAsia="zh-CN"/>
        </w:rPr>
      </w:pPr>
      <w:r>
        <w:rPr>
          <w:rFonts w:hint="default" w:ascii="Arial" w:hAnsi="Arial" w:eastAsia="Times New Roman" w:cs="Arial"/>
          <w:b w:val="0"/>
          <w:bCs w:val="0"/>
          <w:color w:val="auto"/>
          <w:sz w:val="24"/>
          <w:szCs w:val="24"/>
        </w:rPr>
        <w:t>Figure S</w:t>
      </w:r>
      <w:r>
        <w:rPr>
          <w:rFonts w:hint="default" w:ascii="Arial" w:hAnsi="Arial" w:cs="Arial"/>
          <w:b w:val="0"/>
          <w:bCs w:val="0"/>
          <w:color w:val="auto"/>
          <w:sz w:val="24"/>
          <w:szCs w:val="24"/>
          <w:lang w:val="en-US" w:eastAsia="zh-CN"/>
        </w:rPr>
        <w:t>4</w:t>
      </w:r>
      <w:r>
        <w:rPr>
          <w:rFonts w:hint="default" w:ascii="Arial" w:hAnsi="Arial" w:eastAsia="Times New Roman" w:cs="Arial"/>
          <w:b w:val="0"/>
          <w:bCs w:val="0"/>
          <w:color w:val="auto"/>
          <w:sz w:val="24"/>
          <w:szCs w:val="24"/>
        </w:rPr>
        <w:t>.</w:t>
      </w:r>
      <w:r>
        <w:rPr>
          <w:rFonts w:hint="default" w:ascii="Arial" w:hAnsi="Arial" w:cs="Arial"/>
          <w:b w:val="0"/>
          <w:bCs w:val="0"/>
          <w:color w:val="auto"/>
          <w:sz w:val="24"/>
          <w:szCs w:val="24"/>
          <w:lang w:val="en-US" w:eastAsia="zh-CN"/>
        </w:rPr>
        <w:t>C</w:t>
      </w:r>
      <w:r>
        <w:rPr>
          <w:rFonts w:hint="default" w:ascii="Arial" w:hAnsi="Arial" w:eastAsia="Times New Roman" w:cs="Arial"/>
          <w:b w:val="0"/>
          <w:bCs w:val="0"/>
          <w:color w:val="auto"/>
          <w:sz w:val="24"/>
          <w:szCs w:val="24"/>
        </w:rPr>
        <w:t>alibration curve</w:t>
      </w:r>
    </w:p>
    <w:p w14:paraId="11F3ADE6">
      <w:pPr>
        <w:spacing w:before="240" w:after="120" w:line="360" w:lineRule="auto"/>
        <w:jc w:val="both"/>
        <w:rPr>
          <w:rFonts w:hint="default" w:ascii="Arial" w:hAnsi="Arial" w:eastAsia="宋体" w:cs="Arial"/>
          <w:b w:val="0"/>
          <w:bCs w:val="0"/>
          <w:sz w:val="24"/>
          <w:szCs w:val="24"/>
          <w:lang w:eastAsia="zh-CN"/>
        </w:rPr>
      </w:pPr>
      <w:r>
        <w:rPr>
          <w:rFonts w:hint="default" w:ascii="Arial" w:hAnsi="Arial" w:eastAsia="宋体" w:cs="Arial"/>
          <w:b w:val="0"/>
          <w:bCs w:val="0"/>
          <w:sz w:val="24"/>
          <w:szCs w:val="24"/>
          <w:lang w:eastAsia="zh-CN"/>
        </w:rPr>
        <w:drawing>
          <wp:inline distT="0" distB="0" distL="114300" distR="114300">
            <wp:extent cx="5629275" cy="3755390"/>
            <wp:effectExtent l="0" t="0" r="0" b="6985"/>
            <wp:docPr id="49" name="图片 49" descr="演示文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演示文稿1"/>
                    <pic:cNvPicPr>
                      <a:picLocks noChangeAspect="1"/>
                    </pic:cNvPicPr>
                  </pic:nvPicPr>
                  <pic:blipFill>
                    <a:blip r:embed="rId15"/>
                    <a:srcRect l="9096" t="4047" r="13974" b="4716"/>
                    <a:stretch>
                      <a:fillRect/>
                    </a:stretch>
                  </pic:blipFill>
                  <pic:spPr>
                    <a:xfrm>
                      <a:off x="0" y="0"/>
                      <a:ext cx="5629275" cy="3755390"/>
                    </a:xfrm>
                    <a:prstGeom prst="rect">
                      <a:avLst/>
                    </a:prstGeom>
                  </pic:spPr>
                </pic:pic>
              </a:graphicData>
            </a:graphic>
          </wp:inline>
        </w:drawing>
      </w:r>
    </w:p>
    <w:p w14:paraId="5394E1D3">
      <w:pPr>
        <w:spacing w:before="240" w:after="120" w:line="360" w:lineRule="auto"/>
        <w:jc w:val="center"/>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 xml:space="preserve">Figure S4 </w:t>
      </w:r>
      <w:r>
        <w:rPr>
          <w:rFonts w:hint="default" w:ascii="Arial" w:hAnsi="Arial" w:cs="Arial"/>
          <w:b w:val="0"/>
          <w:bCs w:val="0"/>
          <w:color w:val="auto"/>
          <w:sz w:val="24"/>
          <w:szCs w:val="24"/>
          <w:lang w:val="en-US" w:eastAsia="zh-CN"/>
        </w:rPr>
        <w:t>S</w:t>
      </w:r>
      <w:r>
        <w:rPr>
          <w:rFonts w:hint="default" w:ascii="Arial" w:hAnsi="Arial" w:eastAsia="Times New Roman" w:cs="Arial"/>
          <w:b w:val="0"/>
          <w:bCs w:val="0"/>
          <w:color w:val="auto"/>
          <w:sz w:val="24"/>
          <w:szCs w:val="24"/>
        </w:rPr>
        <w:t xml:space="preserve">hows calibration curves over </w:t>
      </w:r>
      <w:r>
        <w:rPr>
          <w:rFonts w:hint="default" w:ascii="Arial" w:hAnsi="Arial" w:cs="Arial"/>
          <w:b w:val="0"/>
          <w:bCs w:val="0"/>
          <w:color w:val="auto"/>
          <w:sz w:val="24"/>
          <w:szCs w:val="24"/>
          <w:lang w:val="en-US" w:eastAsia="zh-CN"/>
        </w:rPr>
        <w:t>1-6</w:t>
      </w:r>
      <w:r>
        <w:rPr>
          <w:rFonts w:hint="default" w:ascii="Arial" w:hAnsi="Arial" w:eastAsia="Times New Roman" w:cs="Arial"/>
          <w:b w:val="0"/>
          <w:bCs w:val="0"/>
          <w:color w:val="auto"/>
          <w:sz w:val="24"/>
          <w:szCs w:val="24"/>
        </w:rPr>
        <w:t xml:space="preserve"> years. The gray dashed line represents the ideal calibration curve (45), while the black solid line denotes the observed–predicted calibration curve; the blue X marks the inclusion of a resampling optimism correction (B=200). Calibration quality is satisfactory at all time points, with relatively wide confidence intervals in regions of extreme prediction probabilities (due to reduced sample size).</w:t>
      </w:r>
    </w:p>
    <w:p w14:paraId="1BB18EA7">
      <w:pPr>
        <w:spacing w:before="240" w:after="120" w:line="360" w:lineRule="auto"/>
        <w:jc w:val="both"/>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Figure S</w:t>
      </w:r>
      <w:r>
        <w:rPr>
          <w:rFonts w:hint="default" w:ascii="Arial" w:hAnsi="Arial" w:cs="Arial"/>
          <w:b w:val="0"/>
          <w:bCs w:val="0"/>
          <w:color w:val="auto"/>
          <w:sz w:val="24"/>
          <w:szCs w:val="24"/>
          <w:lang w:val="en-US" w:eastAsia="zh-CN"/>
        </w:rPr>
        <w:t>5</w:t>
      </w:r>
      <w:r>
        <w:rPr>
          <w:rFonts w:hint="default" w:ascii="Arial" w:hAnsi="Arial" w:eastAsia="Times New Roman" w:cs="Arial"/>
          <w:b w:val="0"/>
          <w:bCs w:val="0"/>
          <w:color w:val="auto"/>
          <w:sz w:val="24"/>
          <w:szCs w:val="24"/>
        </w:rPr>
        <w:t xml:space="preserve">. </w:t>
      </w:r>
      <w:r>
        <w:rPr>
          <w:rFonts w:hint="default" w:ascii="Arial" w:hAnsi="Arial" w:cs="Arial"/>
          <w:b w:val="0"/>
          <w:bCs w:val="0"/>
          <w:sz w:val="24"/>
          <w:szCs w:val="24"/>
        </w:rPr>
        <w:t>Number at risk</w:t>
      </w:r>
    </w:p>
    <w:p w14:paraId="6AF06E43">
      <w:pPr>
        <w:pStyle w:val="23"/>
        <w:rPr>
          <w:rFonts w:hint="default" w:ascii="Arial" w:hAnsi="Arial" w:cs="Arial"/>
          <w:b w:val="0"/>
          <w:bCs w:val="0"/>
          <w:sz w:val="24"/>
          <w:szCs w:val="24"/>
        </w:rPr>
      </w:pPr>
      <w:r>
        <w:rPr>
          <w:rFonts w:hint="default" w:ascii="Arial" w:hAnsi="Arial" w:cs="Arial"/>
          <w:b w:val="0"/>
          <w:bCs w:val="0"/>
          <w:sz w:val="24"/>
          <w:szCs w:val="24"/>
        </w:rPr>
        <w:drawing>
          <wp:inline distT="0" distB="0" distL="0" distR="0">
            <wp:extent cx="5486400" cy="1645920"/>
            <wp:effectExtent l="0" t="0" r="0" b="19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486400" cy="1645920"/>
                    </a:xfrm>
                    <a:prstGeom prst="rect">
                      <a:avLst/>
                    </a:prstGeom>
                    <a:noFill/>
                    <a:ln>
                      <a:noFill/>
                    </a:ln>
                  </pic:spPr>
                </pic:pic>
              </a:graphicData>
            </a:graphic>
          </wp:inline>
        </w:drawing>
      </w:r>
    </w:p>
    <w:p w14:paraId="0BA47AE0">
      <w:pPr>
        <w:spacing w:before="240" w:after="120" w:line="360" w:lineRule="auto"/>
        <w:jc w:val="center"/>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 xml:space="preserve">Figure </w:t>
      </w:r>
      <w:r>
        <w:rPr>
          <w:rFonts w:hint="default" w:ascii="Arial" w:hAnsi="Arial" w:cs="Arial"/>
          <w:b w:val="0"/>
          <w:bCs w:val="0"/>
          <w:color w:val="auto"/>
          <w:sz w:val="24"/>
          <w:szCs w:val="24"/>
          <w:lang w:val="en-US" w:eastAsia="zh-CN"/>
        </w:rPr>
        <w:t>S5</w:t>
      </w:r>
      <w:r>
        <w:rPr>
          <w:rFonts w:hint="default" w:ascii="Arial" w:hAnsi="Arial" w:eastAsia="Times New Roman" w:cs="Arial"/>
          <w:b w:val="0"/>
          <w:bCs w:val="0"/>
          <w:color w:val="auto"/>
          <w:sz w:val="24"/>
          <w:szCs w:val="24"/>
        </w:rPr>
        <w:t xml:space="preserve"> Risk table. Shows the number of individuals at risk at different time points.</w:t>
      </w:r>
    </w:p>
    <w:p w14:paraId="573508AB">
      <w:pPr>
        <w:spacing w:before="240" w:after="120" w:line="360" w:lineRule="auto"/>
        <w:jc w:val="both"/>
        <w:rPr>
          <w:rFonts w:hint="default" w:ascii="Arial" w:hAnsi="Arial" w:eastAsia="Times New Roman" w:cs="Arial"/>
          <w:b w:val="0"/>
          <w:bCs w:val="0"/>
          <w:color w:val="auto"/>
          <w:sz w:val="24"/>
          <w:szCs w:val="24"/>
        </w:rPr>
      </w:pPr>
      <w:r>
        <w:rPr>
          <w:rFonts w:hint="default" w:ascii="Arial" w:hAnsi="Arial" w:eastAsia="Times New Roman" w:cs="Arial"/>
          <w:b w:val="0"/>
          <w:bCs w:val="0"/>
          <w:color w:val="auto"/>
          <w:sz w:val="24"/>
          <w:szCs w:val="24"/>
        </w:rPr>
        <w:t>Figure S</w:t>
      </w:r>
      <w:r>
        <w:rPr>
          <w:rFonts w:hint="default" w:ascii="Arial" w:hAnsi="Arial" w:cs="Arial"/>
          <w:b w:val="0"/>
          <w:bCs w:val="0"/>
          <w:color w:val="auto"/>
          <w:sz w:val="24"/>
          <w:szCs w:val="24"/>
          <w:lang w:val="en-US" w:eastAsia="zh-CN"/>
        </w:rPr>
        <w:t>6</w:t>
      </w:r>
      <w:r>
        <w:rPr>
          <w:rFonts w:hint="default" w:ascii="Arial" w:hAnsi="Arial" w:eastAsia="Times New Roman" w:cs="Arial"/>
          <w:b w:val="0"/>
          <w:bCs w:val="0"/>
          <w:color w:val="auto"/>
          <w:sz w:val="24"/>
          <w:szCs w:val="24"/>
        </w:rPr>
        <w:t xml:space="preserve">. </w:t>
      </w:r>
      <w:r>
        <w:rPr>
          <w:rFonts w:hint="default" w:ascii="Arial" w:hAnsi="Arial" w:eastAsia="宋体" w:cs="Arial"/>
          <w:b w:val="0"/>
          <w:bCs w:val="0"/>
          <w:color w:val="auto"/>
          <w:sz w:val="24"/>
          <w:szCs w:val="24"/>
          <w:lang w:eastAsia="zh-CN"/>
        </w:rPr>
        <w:t>Decision Curve Analysis</w:t>
      </w:r>
    </w:p>
    <w:p w14:paraId="5637D503">
      <w:pPr>
        <w:spacing w:before="240" w:after="120" w:line="360" w:lineRule="auto"/>
        <w:jc w:val="center"/>
        <w:rPr>
          <w:rFonts w:hint="default" w:ascii="Arial" w:hAnsi="Arial" w:eastAsia="宋体" w:cs="Arial"/>
          <w:b w:val="0"/>
          <w:bCs w:val="0"/>
          <w:color w:val="auto"/>
          <w:sz w:val="24"/>
          <w:szCs w:val="24"/>
          <w:lang w:eastAsia="zh-CN"/>
        </w:rPr>
      </w:pPr>
      <w:r>
        <w:rPr>
          <w:rFonts w:hint="default" w:ascii="Arial" w:hAnsi="Arial" w:eastAsia="宋体" w:cs="Arial"/>
          <w:b w:val="0"/>
          <w:bCs w:val="0"/>
          <w:color w:val="auto"/>
          <w:sz w:val="24"/>
          <w:szCs w:val="24"/>
          <w:lang w:eastAsia="zh-CN"/>
        </w:rPr>
        <w:drawing>
          <wp:inline distT="0" distB="0" distL="114300" distR="114300">
            <wp:extent cx="6015990" cy="2049780"/>
            <wp:effectExtent l="0" t="0" r="3810" b="7620"/>
            <wp:docPr id="50" name="图片 50" descr="演示文稿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演示文稿1(2)"/>
                    <pic:cNvPicPr>
                      <a:picLocks noChangeAspect="1"/>
                    </pic:cNvPicPr>
                  </pic:nvPicPr>
                  <pic:blipFill>
                    <a:blip r:embed="rId17"/>
                    <a:srcRect t="8048" b="40258"/>
                    <a:stretch>
                      <a:fillRect/>
                    </a:stretch>
                  </pic:blipFill>
                  <pic:spPr>
                    <a:xfrm>
                      <a:off x="0" y="0"/>
                      <a:ext cx="6015990" cy="2049780"/>
                    </a:xfrm>
                    <a:prstGeom prst="rect">
                      <a:avLst/>
                    </a:prstGeom>
                  </pic:spPr>
                </pic:pic>
              </a:graphicData>
            </a:graphic>
          </wp:inline>
        </w:drawing>
      </w:r>
      <w:r>
        <w:rPr>
          <w:rFonts w:hint="default" w:ascii="Arial" w:hAnsi="Arial" w:eastAsia="宋体" w:cs="Arial"/>
          <w:b w:val="0"/>
          <w:bCs w:val="0"/>
          <w:color w:val="auto"/>
          <w:sz w:val="24"/>
          <w:szCs w:val="24"/>
          <w:lang w:eastAsia="zh-CN"/>
        </w:rPr>
        <w:t>Figure S</w:t>
      </w:r>
      <w:r>
        <w:rPr>
          <w:rFonts w:hint="default" w:ascii="Arial" w:hAnsi="Arial" w:cs="Arial"/>
          <w:b w:val="0"/>
          <w:bCs w:val="0"/>
          <w:color w:val="auto"/>
          <w:sz w:val="24"/>
          <w:szCs w:val="24"/>
          <w:lang w:val="en-US" w:eastAsia="zh-CN"/>
        </w:rPr>
        <w:t>6</w:t>
      </w:r>
      <w:r>
        <w:rPr>
          <w:rFonts w:hint="default" w:ascii="Arial" w:hAnsi="Arial" w:eastAsia="宋体" w:cs="Arial"/>
          <w:b w:val="0"/>
          <w:bCs w:val="0"/>
          <w:color w:val="auto"/>
          <w:sz w:val="24"/>
          <w:szCs w:val="24"/>
          <w:lang w:eastAsia="zh-CN"/>
        </w:rPr>
        <w:t>: Decision Curve Analysis (DCA) at 1, 3, and 5 years. Horizontal axis: threshold probability; vertical axis: net benefit.</w:t>
      </w:r>
    </w:p>
    <w:p w14:paraId="521910A8">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S7. ssGSEA 24 Immune Cell Heatmap and Stacked Bar</w:t>
      </w:r>
    </w:p>
    <w:p w14:paraId="01880835">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detailed visualizations of the single-sample Gene Set Enrichment Analysis (ssGSEA) for 24 immune cell types, complementing Figure 7 in the main manuscript.</w:t>
      </w:r>
    </w:p>
    <w:p w14:paraId="4AA98BEB">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91922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8"/>
                    <a:stretch>
                      <a:fillRect/>
                    </a:stretch>
                  </pic:blipFill>
                  <pic:spPr>
                    <a:xfrm>
                      <a:off x="0" y="0"/>
                      <a:ext cx="5486400" cy="3919450"/>
                    </a:xfrm>
                    <a:prstGeom prst="rect">
                      <a:avLst/>
                    </a:prstGeom>
                  </pic:spPr>
                </pic:pic>
              </a:graphicData>
            </a:graphic>
          </wp:inline>
        </w:drawing>
      </w:r>
    </w:p>
    <w:p w14:paraId="07954F5D">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S7A. ssGSEA 24 immune cell infiltration heatmap (sorted by risk score)</w:t>
      </w:r>
    </w:p>
    <w:p w14:paraId="7E3274B8">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9"/>
                    <a:stretch>
                      <a:fillRect/>
                    </a:stretch>
                  </pic:blipFill>
                  <pic:spPr>
                    <a:xfrm>
                      <a:off x="0" y="0"/>
                      <a:ext cx="5486400" cy="3133898"/>
                    </a:xfrm>
                    <a:prstGeom prst="rect">
                      <a:avLst/>
                    </a:prstGeom>
                  </pic:spPr>
                </pic:pic>
              </a:graphicData>
            </a:graphic>
          </wp:inline>
        </w:drawing>
      </w:r>
    </w:p>
    <w:p w14:paraId="1A44CC78">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S7B. ssGSEA immune cell composition stacked bar chart</w:t>
      </w:r>
    </w:p>
    <w:p w14:paraId="099E0BA1">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0"/>
                    <a:stretch>
                      <a:fillRect/>
                    </a:stretch>
                  </pic:blipFill>
                  <pic:spPr>
                    <a:xfrm>
                      <a:off x="0" y="0"/>
                      <a:ext cx="5486400" cy="3133898"/>
                    </a:xfrm>
                    <a:prstGeom prst="rect">
                      <a:avLst/>
                    </a:prstGeom>
                  </pic:spPr>
                </pic:pic>
              </a:graphicData>
            </a:graphic>
          </wp:inline>
        </w:drawing>
      </w:r>
    </w:p>
    <w:p w14:paraId="24A7D275">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S7C. ssGSEA 24 immune cell boxplot (alternative view)</w:t>
      </w:r>
    </w:p>
    <w:p w14:paraId="16B72F5E">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2B631DB0">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S8. CIBERSORT 22 Immune Cell Stacked Bar</w:t>
      </w:r>
    </w:p>
    <w:p w14:paraId="6580A4EC">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the detailed CIBERSORT deconvolution immune cell composition to complement Figure 8 in the main manuscript.</w:t>
      </w:r>
    </w:p>
    <w:p w14:paraId="4D6FB91B">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1"/>
                    <a:stretch>
                      <a:fillRect/>
                    </a:stretch>
                  </pic:blipFill>
                  <pic:spPr>
                    <a:xfrm>
                      <a:off x="0" y="0"/>
                      <a:ext cx="5486400" cy="3133898"/>
                    </a:xfrm>
                    <a:prstGeom prst="rect">
                      <a:avLst/>
                    </a:prstGeom>
                  </pic:spPr>
                </pic:pic>
              </a:graphicData>
            </a:graphic>
          </wp:inline>
        </w:drawing>
      </w:r>
    </w:p>
    <w:p w14:paraId="7F85D507">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S8A. CIBERSORT immune cell proportion boxplot (22 immune cell types)</w:t>
      </w:r>
    </w:p>
    <w:p w14:paraId="24960992">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200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2"/>
                    <a:stretch>
                      <a:fillRect/>
                    </a:stretch>
                  </pic:blipFill>
                  <pic:spPr>
                    <a:xfrm>
                      <a:off x="0" y="0"/>
                      <a:ext cx="5486400" cy="3200400"/>
                    </a:xfrm>
                    <a:prstGeom prst="rect">
                      <a:avLst/>
                    </a:prstGeom>
                  </pic:spPr>
                </pic:pic>
              </a:graphicData>
            </a:graphic>
          </wp:inline>
        </w:drawing>
      </w:r>
    </w:p>
    <w:p w14:paraId="27A26248">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S8B. CIBERSORT differential abundance lollipop chart</w:t>
      </w:r>
    </w:p>
    <w:p w14:paraId="484028B2">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3"/>
                    <a:stretch>
                      <a:fillRect/>
                    </a:stretch>
                  </pic:blipFill>
                  <pic:spPr>
                    <a:xfrm>
                      <a:off x="0" y="0"/>
                      <a:ext cx="5486400" cy="3133898"/>
                    </a:xfrm>
                    <a:prstGeom prst="rect">
                      <a:avLst/>
                    </a:prstGeom>
                  </pic:spPr>
                </pic:pic>
              </a:graphicData>
            </a:graphic>
          </wp:inline>
        </w:drawing>
      </w:r>
    </w:p>
    <w:p w14:paraId="738AE46D">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S8C. CIBERSORT immune cell proportion stacked bar chart</w:t>
      </w:r>
    </w:p>
    <w:p w14:paraId="4C1E0527">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5A1907A3">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S9. 20 Immune Checkpoint Gene Analysis</w:t>
      </w:r>
    </w:p>
    <w:p w14:paraId="1AB292C9">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comprehensive analysis of 20 key immune checkpoint genes across risk groups, complementing the immune-related findings in the main manuscript.</w:t>
      </w:r>
    </w:p>
    <w:p w14:paraId="4A70BC06">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24"/>
                    <a:stretch>
                      <a:fillRect/>
                    </a:stretch>
                  </pic:blipFill>
                  <pic:spPr>
                    <a:xfrm>
                      <a:off x="0" y="0"/>
                      <a:ext cx="5486400" cy="3133898"/>
                    </a:xfrm>
                    <a:prstGeom prst="rect">
                      <a:avLst/>
                    </a:prstGeom>
                  </pic:spPr>
                </pic:pic>
              </a:graphicData>
            </a:graphic>
          </wp:inline>
        </w:drawing>
      </w:r>
    </w:p>
    <w:p w14:paraId="62CF385C">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S9A. 20 immune checkpoint gene expression boxplots</w:t>
      </w:r>
    </w:p>
    <w:p w14:paraId="0488BD39">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389120"/>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5"/>
                    <a:stretch>
                      <a:fillRect/>
                    </a:stretch>
                  </pic:blipFill>
                  <pic:spPr>
                    <a:xfrm>
                      <a:off x="0" y="0"/>
                      <a:ext cx="5486400" cy="4389120"/>
                    </a:xfrm>
                    <a:prstGeom prst="rect">
                      <a:avLst/>
                    </a:prstGeom>
                  </pic:spPr>
                </pic:pic>
              </a:graphicData>
            </a:graphic>
          </wp:inline>
        </w:drawing>
      </w:r>
    </w:p>
    <w:p w14:paraId="7A2F09B3">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S9B. Spearman correlation heatmap of 20 immune checkpoint genes</w:t>
      </w:r>
    </w:p>
    <w:p w14:paraId="021D88D7">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9192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6"/>
                    <a:stretch>
                      <a:fillRect/>
                    </a:stretch>
                  </pic:blipFill>
                  <pic:spPr>
                    <a:xfrm>
                      <a:off x="0" y="0"/>
                      <a:ext cx="5486400" cy="3919450"/>
                    </a:xfrm>
                    <a:prstGeom prst="rect">
                      <a:avLst/>
                    </a:prstGeom>
                  </pic:spPr>
                </pic:pic>
              </a:graphicData>
            </a:graphic>
          </wp:inline>
        </w:drawing>
      </w:r>
    </w:p>
    <w:p w14:paraId="0ADABB6E">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S9C. Tertile-based comparison of selected checkpoints</w:t>
      </w:r>
    </w:p>
    <w:p w14:paraId="30C6A6E3">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0BB80EBB">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S10. Th1/Th2 Balance and TIL Distribution</w:t>
      </w:r>
    </w:p>
    <w:p w14:paraId="09817B52">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examines the Th1/Th2 balance and tumor-infiltrating lymphocyte (TIL) distribution patterns.</w:t>
      </w:r>
    </w:p>
    <w:p w14:paraId="5EA95AF9">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029200" cy="5029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7"/>
                    <a:stretch>
                      <a:fillRect/>
                    </a:stretch>
                  </pic:blipFill>
                  <pic:spPr>
                    <a:xfrm>
                      <a:off x="0" y="0"/>
                      <a:ext cx="5029200" cy="5029200"/>
                    </a:xfrm>
                    <a:prstGeom prst="rect">
                      <a:avLst/>
                    </a:prstGeom>
                  </pic:spPr>
                </pic:pic>
              </a:graphicData>
            </a:graphic>
          </wp:inline>
        </w:drawing>
      </w:r>
    </w:p>
    <w:p w14:paraId="0DD53C31">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S10A. Th1/Th2 ratio violin plot</w:t>
      </w:r>
    </w:p>
    <w:p w14:paraId="4845E45D">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029200" cy="3912870"/>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8"/>
                    <a:stretch>
                      <a:fillRect/>
                    </a:stretch>
                  </pic:blipFill>
                  <pic:spPr>
                    <a:xfrm>
                      <a:off x="0" y="0"/>
                      <a:ext cx="5029200" cy="3912870"/>
                    </a:xfrm>
                    <a:prstGeom prst="rect">
                      <a:avLst/>
                    </a:prstGeom>
                  </pic:spPr>
                </pic:pic>
              </a:graphicData>
            </a:graphic>
          </wp:inline>
        </w:drawing>
      </w:r>
    </w:p>
    <w:p w14:paraId="5BDE6BBD">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S10B. Th1 vs Th2 scatter plot with balance line</w:t>
      </w:r>
    </w:p>
    <w:p w14:paraId="5D568B77">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389120"/>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9"/>
                    <a:stretch>
                      <a:fillRect/>
                    </a:stretch>
                  </pic:blipFill>
                  <pic:spPr>
                    <a:xfrm>
                      <a:off x="0" y="0"/>
                      <a:ext cx="5486400" cy="4389120"/>
                    </a:xfrm>
                    <a:prstGeom prst="rect">
                      <a:avLst/>
                    </a:prstGeom>
                  </pic:spPr>
                </pic:pic>
              </a:graphicData>
            </a:graphic>
          </wp:inline>
        </w:drawing>
      </w:r>
    </w:p>
    <w:p w14:paraId="006D72F0">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S10C. TIL distribution heatmap</w:t>
      </w:r>
    </w:p>
    <w:p w14:paraId="27BC1B04">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5AC87C17">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S11. Risk Score vs Immune Cell Correlations</w:t>
      </w:r>
    </w:p>
    <w:p w14:paraId="737E2B79">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presents the Spearman correlation analysis between Risk Score and immune cell infiltration levels (from ssGSEA).</w:t>
      </w:r>
    </w:p>
    <w:p w14:paraId="333F787C">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5486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30"/>
                    <a:stretch>
                      <a:fillRect/>
                    </a:stretch>
                  </pic:blipFill>
                  <pic:spPr>
                    <a:xfrm>
                      <a:off x="0" y="0"/>
                      <a:ext cx="5486400" cy="5486400"/>
                    </a:xfrm>
                    <a:prstGeom prst="rect">
                      <a:avLst/>
                    </a:prstGeom>
                  </pic:spPr>
                </pic:pic>
              </a:graphicData>
            </a:graphic>
          </wp:inline>
        </w:drawing>
      </w:r>
    </w:p>
    <w:p w14:paraId="0C5B6D0C">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S11A. Risk Score vs ssGSEA immune cell correlation heatmap</w:t>
      </w:r>
    </w:p>
    <w:p w14:paraId="4F6756AF">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9185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1"/>
                    <a:stretch>
                      <a:fillRect/>
                    </a:stretch>
                  </pic:blipFill>
                  <pic:spPr>
                    <a:xfrm>
                      <a:off x="0" y="0"/>
                      <a:ext cx="5486400" cy="3918857"/>
                    </a:xfrm>
                    <a:prstGeom prst="rect">
                      <a:avLst/>
                    </a:prstGeom>
                  </pic:spPr>
                </pic:pic>
              </a:graphicData>
            </a:graphic>
          </wp:inline>
        </w:drawing>
      </w:r>
    </w:p>
    <w:p w14:paraId="27924CBB">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S11B. Top 4 significant Risk Score - immune cell scatter plots</w:t>
      </w:r>
    </w:p>
    <w:p w14:paraId="61BE1989">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197C698A">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S12. Immune Subtype K-means Clustering (K=3)</w:t>
      </w:r>
    </w:p>
    <w:p w14:paraId="760C2C6C">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presents the K-means clustering analysis (K=3) identifying three distinct immune subtypes: Immune Hot, Immune Cold, and Immune Excluded.</w:t>
      </w:r>
    </w:p>
    <w:p w14:paraId="001DAAF6">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800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2"/>
                    <a:stretch>
                      <a:fillRect/>
                    </a:stretch>
                  </pic:blipFill>
                  <pic:spPr>
                    <a:xfrm>
                      <a:off x="0" y="0"/>
                      <a:ext cx="5486400" cy="4800600"/>
                    </a:xfrm>
                    <a:prstGeom prst="rect">
                      <a:avLst/>
                    </a:prstGeom>
                  </pic:spPr>
                </pic:pic>
              </a:graphicData>
            </a:graphic>
          </wp:inline>
        </w:drawing>
      </w:r>
    </w:p>
    <w:p w14:paraId="2546EE08">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S12A. K-means (K=3) immune subtype clustering heatmap</w:t>
      </w:r>
    </w:p>
    <w:p w14:paraId="692E6B4E">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5486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3"/>
                    <a:stretch>
                      <a:fillRect/>
                    </a:stretch>
                  </pic:blipFill>
                  <pic:spPr>
                    <a:xfrm>
                      <a:off x="0" y="0"/>
                      <a:ext cx="5486400" cy="5486400"/>
                    </a:xfrm>
                    <a:prstGeom prst="rect">
                      <a:avLst/>
                    </a:prstGeom>
                  </pic:spPr>
                </pic:pic>
              </a:graphicData>
            </a:graphic>
          </wp:inline>
        </w:drawing>
      </w:r>
    </w:p>
    <w:p w14:paraId="7AB043AB">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S12B. Immune score violin plot across subtypes</w:t>
      </w:r>
    </w:p>
    <w:p w14:paraId="7D2DF331">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800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4"/>
                    <a:stretch>
                      <a:fillRect/>
                    </a:stretch>
                  </pic:blipFill>
                  <pic:spPr>
                    <a:xfrm>
                      <a:off x="0" y="0"/>
                      <a:ext cx="5486400" cy="4800600"/>
                    </a:xfrm>
                    <a:prstGeom prst="rect">
                      <a:avLst/>
                    </a:prstGeom>
                  </pic:spPr>
                </pic:pic>
              </a:graphicData>
            </a:graphic>
          </wp:inline>
        </w:drawing>
      </w:r>
    </w:p>
    <w:p w14:paraId="5635CA24">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S12C. Mosaic plot of immune subtype vs risk group</w:t>
      </w:r>
    </w:p>
    <w:p w14:paraId="503B28B5">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0F2E7766">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S13. Core LRGs vs Immune Cell Correlations</w:t>
      </w:r>
    </w:p>
    <w:p w14:paraId="43C0CA6D">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shows the correlation between 25 core LRGs and immune cell infiltration.</w:t>
      </w:r>
    </w:p>
    <w:p w14:paraId="78E91A76">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9192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35"/>
                    <a:stretch>
                      <a:fillRect/>
                    </a:stretch>
                  </pic:blipFill>
                  <pic:spPr>
                    <a:xfrm>
                      <a:off x="0" y="0"/>
                      <a:ext cx="5486400" cy="3919450"/>
                    </a:xfrm>
                    <a:prstGeom prst="rect">
                      <a:avLst/>
                    </a:prstGeom>
                  </pic:spPr>
                </pic:pic>
              </a:graphicData>
            </a:graphic>
          </wp:inline>
        </w:drawing>
      </w:r>
    </w:p>
    <w:p w14:paraId="2E1B7336">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S13A. Core LRGs vs immune cell bubble plot</w:t>
      </w:r>
    </w:p>
    <w:p w14:paraId="657F2DE4">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572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36"/>
                    <a:stretch>
                      <a:fillRect/>
                    </a:stretch>
                  </pic:blipFill>
                  <pic:spPr>
                    <a:xfrm>
                      <a:off x="0" y="0"/>
                      <a:ext cx="5486400" cy="4572000"/>
                    </a:xfrm>
                    <a:prstGeom prst="rect">
                      <a:avLst/>
                    </a:prstGeom>
                  </pic:spPr>
                </pic:pic>
              </a:graphicData>
            </a:graphic>
          </wp:inline>
        </w:drawing>
      </w:r>
    </w:p>
    <w:p w14:paraId="01ED7D30">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S13B. Top 20 LRG-immune cell correlation bar chart</w:t>
      </w:r>
    </w:p>
    <w:p w14:paraId="65F37154">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52DA23A4">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S14. TIDE Score and Immunotherapy Response Prediction</w:t>
      </w:r>
    </w:p>
    <w:p w14:paraId="2C24FC0E">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presents the TIDE (Tumor Immune Dysfunction and Exclusion) analysis for predicting immunotherapy response.</w:t>
      </w:r>
    </w:p>
    <w:p w14:paraId="530EF129">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2286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37"/>
                    <a:stretch>
                      <a:fillRect/>
                    </a:stretch>
                  </pic:blipFill>
                  <pic:spPr>
                    <a:xfrm>
                      <a:off x="0" y="0"/>
                      <a:ext cx="5486400" cy="2286000"/>
                    </a:xfrm>
                    <a:prstGeom prst="rect">
                      <a:avLst/>
                    </a:prstGeom>
                  </pic:spPr>
                </pic:pic>
              </a:graphicData>
            </a:graphic>
          </wp:inline>
        </w:drawing>
      </w:r>
    </w:p>
    <w:p w14:paraId="73772360">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S14A. TIDE score boxplot (High vs Low risk)</w:t>
      </w:r>
    </w:p>
    <w:p w14:paraId="7458667F">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2286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38"/>
                    <a:stretch>
                      <a:fillRect/>
                    </a:stretch>
                  </pic:blipFill>
                  <pic:spPr>
                    <a:xfrm>
                      <a:off x="0" y="0"/>
                      <a:ext cx="5486400" cy="2286000"/>
                    </a:xfrm>
                    <a:prstGeom prst="rect">
                      <a:avLst/>
                    </a:prstGeom>
                  </pic:spPr>
                </pic:pic>
              </a:graphicData>
            </a:graphic>
          </wp:inline>
        </w:drawing>
      </w:r>
    </w:p>
    <w:p w14:paraId="14242DBA">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S14B. TIDE score vs Risk Score scatter plot</w:t>
      </w:r>
    </w:p>
    <w:p w14:paraId="25401340">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2439670"/>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39"/>
                    <a:stretch>
                      <a:fillRect/>
                    </a:stretch>
                  </pic:blipFill>
                  <pic:spPr>
                    <a:xfrm>
                      <a:off x="0" y="0"/>
                      <a:ext cx="5486400" cy="2439785"/>
                    </a:xfrm>
                    <a:prstGeom prst="rect">
                      <a:avLst/>
                    </a:prstGeom>
                  </pic:spPr>
                </pic:pic>
              </a:graphicData>
            </a:graphic>
          </wp:inline>
        </w:drawing>
      </w:r>
    </w:p>
    <w:p w14:paraId="5A343D8F">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S14C. Comprehensive TIDE analysis (GEP, CYT, Exclusion)</w:t>
      </w:r>
    </w:p>
    <w:p w14:paraId="1E8B3AD5">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7E391643">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S15. Drug IC50: Top 20 Heatmap and 4 Representative Drugs</w:t>
      </w:r>
    </w:p>
    <w:p w14:paraId="179C85F7">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presents drug sensitivity analysis results from the oncoPredict package (265 compounds).</w:t>
      </w:r>
    </w:p>
    <w:p w14:paraId="623294AC">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919220"/>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40"/>
                    <a:stretch>
                      <a:fillRect/>
                    </a:stretch>
                  </pic:blipFill>
                  <pic:spPr>
                    <a:xfrm>
                      <a:off x="0" y="0"/>
                      <a:ext cx="5486400" cy="3919450"/>
                    </a:xfrm>
                    <a:prstGeom prst="rect">
                      <a:avLst/>
                    </a:prstGeom>
                  </pic:spPr>
                </pic:pic>
              </a:graphicData>
            </a:graphic>
          </wp:inline>
        </w:drawing>
      </w:r>
    </w:p>
    <w:p w14:paraId="378D64F8">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S15A. Top 20 drug IC50 heatmap (sensitive drugs)</w:t>
      </w:r>
    </w:p>
    <w:p w14:paraId="284FA0D0">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337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41"/>
                    <a:stretch>
                      <a:fillRect/>
                    </a:stretch>
                  </pic:blipFill>
                  <pic:spPr>
                    <a:xfrm>
                      <a:off x="0" y="0"/>
                      <a:ext cx="5486400" cy="3133898"/>
                    </a:xfrm>
                    <a:prstGeom prst="rect">
                      <a:avLst/>
                    </a:prstGeom>
                  </pic:spPr>
                </pic:pic>
              </a:graphicData>
            </a:graphic>
          </wp:inline>
        </w:drawing>
      </w:r>
    </w:p>
    <w:p w14:paraId="542D9272">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S15B. Boxplot of 4 representative sensitive drugs (Osimertinib, Afatinib, Wee1 Inhibitor, MK-1775)</w:t>
      </w:r>
    </w:p>
    <w:p w14:paraId="482A62A3">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5715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42"/>
                    <a:stretch>
                      <a:fillRect/>
                    </a:stretch>
                  </pic:blipFill>
                  <pic:spPr>
                    <a:xfrm>
                      <a:off x="0" y="0"/>
                      <a:ext cx="5486400" cy="5715000"/>
                    </a:xfrm>
                    <a:prstGeom prst="rect">
                      <a:avLst/>
                    </a:prstGeom>
                  </pic:spPr>
                </pic:pic>
              </a:graphicData>
            </a:graphic>
          </wp:inline>
        </w:drawing>
      </w:r>
    </w:p>
    <w:p w14:paraId="36E9E59C">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S15C. Drug sensitivity - risk score correlation lollipop</w:t>
      </w:r>
    </w:p>
    <w:p w14:paraId="544A3C6C">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6380F9E3">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Figure S16. Molecular Docking Details: 4 Targets + Redocking + 2D</w:t>
      </w:r>
    </w:p>
    <w:p w14:paraId="59EBE09F">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This figure provides detailed molecular docking analysis for 4 key lactylation-related targets (LDHA, AURKA, PKM, CA9).</w:t>
      </w:r>
    </w:p>
    <w:p w14:paraId="739649CE">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3169285"/>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43"/>
                    <a:stretch>
                      <a:fillRect/>
                    </a:stretch>
                  </pic:blipFill>
                  <pic:spPr>
                    <a:xfrm>
                      <a:off x="0" y="0"/>
                      <a:ext cx="5486400" cy="3169551"/>
                    </a:xfrm>
                    <a:prstGeom prst="rect">
                      <a:avLst/>
                    </a:prstGeom>
                  </pic:spPr>
                </pic:pic>
              </a:graphicData>
            </a:graphic>
          </wp:inline>
        </w:drawing>
      </w:r>
    </w:p>
    <w:p w14:paraId="2551A525">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S16A. Binding energy bar chart grouped by 4 targets</w:t>
      </w:r>
    </w:p>
    <w:p w14:paraId="13BE2AD5">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2459990"/>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44"/>
                    <a:stretch>
                      <a:fillRect/>
                    </a:stretch>
                  </pic:blipFill>
                  <pic:spPr>
                    <a:xfrm>
                      <a:off x="0" y="0"/>
                      <a:ext cx="5486400" cy="2460567"/>
                    </a:xfrm>
                    <a:prstGeom prst="rect">
                      <a:avLst/>
                    </a:prstGeom>
                  </pic:spPr>
                </pic:pic>
              </a:graphicData>
            </a:graphic>
          </wp:inline>
        </w:drawing>
      </w:r>
    </w:p>
    <w:p w14:paraId="638257C6">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S16B. Binding energy heatmap (4 targets x candidate drugs)</w:t>
      </w:r>
    </w:p>
    <w:p w14:paraId="497EE535">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5486400" cy="4051300"/>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45"/>
                    <a:stretch>
                      <a:fillRect/>
                    </a:stretch>
                  </pic:blipFill>
                  <pic:spPr>
                    <a:xfrm>
                      <a:off x="0" y="0"/>
                      <a:ext cx="5486400" cy="4051368"/>
                    </a:xfrm>
                    <a:prstGeom prst="rect">
                      <a:avLst/>
                    </a:prstGeom>
                  </pic:spPr>
                </pic:pic>
              </a:graphicData>
            </a:graphic>
          </wp:inline>
        </w:drawing>
      </w:r>
    </w:p>
    <w:p w14:paraId="13A6A370">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S16C. Redocking RMSD validation results</w:t>
      </w:r>
    </w:p>
    <w:p w14:paraId="68CA0B0A">
      <w:pPr>
        <w:spacing w:after="80"/>
        <w:jc w:val="center"/>
        <w:rPr>
          <w:rFonts w:hint="default" w:ascii="Arial" w:hAnsi="Arial" w:cs="Arial"/>
          <w:b w:val="0"/>
          <w:bCs w:val="0"/>
          <w:color w:val="auto"/>
          <w:sz w:val="24"/>
          <w:szCs w:val="24"/>
        </w:rPr>
      </w:pPr>
      <w:r>
        <w:rPr>
          <w:rFonts w:hint="default" w:ascii="Arial" w:hAnsi="Arial" w:cs="Arial"/>
          <w:b w:val="0"/>
          <w:bCs w:val="0"/>
          <w:color w:val="auto"/>
          <w:sz w:val="24"/>
          <w:szCs w:val="24"/>
        </w:rPr>
        <w:drawing>
          <wp:inline distT="0" distB="0" distL="114300" distR="114300">
            <wp:extent cx="4577080" cy="2829560"/>
            <wp:effectExtent l="0" t="0" r="444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46"/>
                    <a:stretch>
                      <a:fillRect/>
                    </a:stretch>
                  </pic:blipFill>
                  <pic:spPr>
                    <a:xfrm>
                      <a:off x="0" y="0"/>
                      <a:ext cx="4577080" cy="2829560"/>
                    </a:xfrm>
                    <a:prstGeom prst="rect">
                      <a:avLst/>
                    </a:prstGeom>
                  </pic:spPr>
                </pic:pic>
              </a:graphicData>
            </a:graphic>
          </wp:inline>
        </w:drawing>
      </w:r>
    </w:p>
    <w:p w14:paraId="13CF67F7">
      <w:pPr>
        <w:spacing w:after="160"/>
        <w:jc w:val="center"/>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Figure S16D. Comprehensive docking analysis summary</w:t>
      </w:r>
    </w:p>
    <w:p w14:paraId="6240A3D8">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29D57357">
      <w:pP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Section 2: Supplementary Tables</w:t>
      </w:r>
    </w:p>
    <w:p w14:paraId="78EC13E7">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Table S1. Complete GSEA HALLMARK Enrichment Results</w:t>
      </w:r>
    </w:p>
    <w:p w14:paraId="4B326FC7">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This table provides the complete GSEA HALLMARK pathway enrichment results with NES, nominal P-value, and FDR for all significantly enriched pathways. Pathways are sorted by absolute NES value.</w:t>
      </w:r>
    </w:p>
    <w:p w14:paraId="180E14F1">
      <w:pPr>
        <w:spacing w:before="120" w:after="8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Table S1. Complete GSEA HALLMARK enrichment results (15 significantly enriched pathways with |NES| &gt; 1.0 and FDR &lt; 0.05).</w:t>
      </w:r>
    </w:p>
    <w:tbl>
      <w:tblPr>
        <w:tblStyle w:val="3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6446"/>
        <w:gridCol w:w="700"/>
        <w:gridCol w:w="1333"/>
        <w:gridCol w:w="1143"/>
      </w:tblGrid>
      <w:tr w14:paraId="6738CA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tcBorders>
              <w:bottom w:val="single" w:color="auto" w:sz="4" w:space="0"/>
            </w:tcBorders>
            <w:shd w:val="clear" w:color="auto" w:fill="FFFFFF" w:themeFill="background1"/>
            <w:vAlign w:val="center"/>
          </w:tcPr>
          <w:p w14:paraId="559A2CD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Pathway</w:t>
            </w:r>
          </w:p>
        </w:tc>
        <w:tc>
          <w:tcPr>
            <w:tcW w:w="2351" w:type="dxa"/>
            <w:tcBorders>
              <w:bottom w:val="single" w:color="auto" w:sz="4" w:space="0"/>
            </w:tcBorders>
            <w:shd w:val="clear" w:color="auto" w:fill="FFFFFF" w:themeFill="background1"/>
            <w:vAlign w:val="center"/>
          </w:tcPr>
          <w:p w14:paraId="6B9735D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NES</w:t>
            </w:r>
          </w:p>
        </w:tc>
        <w:tc>
          <w:tcPr>
            <w:tcW w:w="2351" w:type="dxa"/>
            <w:tcBorders>
              <w:bottom w:val="single" w:color="auto" w:sz="4" w:space="0"/>
            </w:tcBorders>
            <w:shd w:val="clear" w:color="auto" w:fill="FFFFFF" w:themeFill="background1"/>
            <w:vAlign w:val="center"/>
          </w:tcPr>
          <w:p w14:paraId="576F562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FDR</w:t>
            </w:r>
          </w:p>
        </w:tc>
        <w:tc>
          <w:tcPr>
            <w:tcW w:w="2351" w:type="dxa"/>
            <w:tcBorders>
              <w:bottom w:val="single" w:color="auto" w:sz="4" w:space="0"/>
            </w:tcBorders>
            <w:shd w:val="clear" w:color="auto" w:fill="FFFFFF" w:themeFill="background1"/>
            <w:vAlign w:val="center"/>
          </w:tcPr>
          <w:p w14:paraId="6D2256C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Direction</w:t>
            </w:r>
          </w:p>
        </w:tc>
      </w:tr>
      <w:tr w14:paraId="5F2900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tcBorders>
              <w:top w:val="single" w:color="auto" w:sz="4" w:space="0"/>
            </w:tcBorders>
            <w:shd w:val="clear" w:color="auto" w:fill="FFFFFF" w:themeFill="background1"/>
            <w:vAlign w:val="center"/>
          </w:tcPr>
          <w:p w14:paraId="4D7C402D">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HALLMARK_E2F_TARGETS</w:t>
            </w:r>
          </w:p>
        </w:tc>
        <w:tc>
          <w:tcPr>
            <w:tcW w:w="2351" w:type="dxa"/>
            <w:tcBorders>
              <w:top w:val="single" w:color="auto" w:sz="4" w:space="0"/>
            </w:tcBorders>
            <w:shd w:val="clear" w:color="auto" w:fill="FFFFFF" w:themeFill="background1"/>
            <w:vAlign w:val="center"/>
          </w:tcPr>
          <w:p w14:paraId="2472A28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4.00</w:t>
            </w:r>
          </w:p>
        </w:tc>
        <w:tc>
          <w:tcPr>
            <w:tcW w:w="2351" w:type="dxa"/>
            <w:tcBorders>
              <w:top w:val="single" w:color="auto" w:sz="4" w:space="0"/>
            </w:tcBorders>
            <w:shd w:val="clear" w:color="auto" w:fill="FFFFFF" w:themeFill="background1"/>
            <w:vAlign w:val="center"/>
          </w:tcPr>
          <w:p w14:paraId="7C3D735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4.0×10⁻⁴⁰</w:t>
            </w:r>
          </w:p>
        </w:tc>
        <w:tc>
          <w:tcPr>
            <w:tcW w:w="2351" w:type="dxa"/>
            <w:tcBorders>
              <w:top w:val="single" w:color="auto" w:sz="4" w:space="0"/>
            </w:tcBorders>
            <w:shd w:val="clear" w:color="auto" w:fill="FFFFFF" w:themeFill="background1"/>
            <w:vAlign w:val="center"/>
          </w:tcPr>
          <w:p w14:paraId="42EF2F7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1E3223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0EF06C74">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HALLMARK_G2M_CHECKPOINT</w:t>
            </w:r>
          </w:p>
        </w:tc>
        <w:tc>
          <w:tcPr>
            <w:tcW w:w="2351" w:type="dxa"/>
            <w:shd w:val="clear" w:color="auto" w:fill="FFFFFF" w:themeFill="background1"/>
            <w:vAlign w:val="center"/>
          </w:tcPr>
          <w:p w14:paraId="2B76AB1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3.50</w:t>
            </w:r>
          </w:p>
        </w:tc>
        <w:tc>
          <w:tcPr>
            <w:tcW w:w="2351" w:type="dxa"/>
            <w:shd w:val="clear" w:color="auto" w:fill="FFFFFF" w:themeFill="background1"/>
            <w:vAlign w:val="center"/>
          </w:tcPr>
          <w:p w14:paraId="18CA2CA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2.4×10⁻²⁹</w:t>
            </w:r>
          </w:p>
        </w:tc>
        <w:tc>
          <w:tcPr>
            <w:tcW w:w="2351" w:type="dxa"/>
            <w:shd w:val="clear" w:color="auto" w:fill="FFFFFF" w:themeFill="background1"/>
            <w:vAlign w:val="center"/>
          </w:tcPr>
          <w:p w14:paraId="47D62B5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209029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58C36E5F">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HALLMARK_INTERFERON_GAMMA_RESPONSE</w:t>
            </w:r>
          </w:p>
        </w:tc>
        <w:tc>
          <w:tcPr>
            <w:tcW w:w="2351" w:type="dxa"/>
            <w:shd w:val="clear" w:color="auto" w:fill="FFFFFF" w:themeFill="background1"/>
            <w:vAlign w:val="center"/>
          </w:tcPr>
          <w:p w14:paraId="60B2DF1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3.20</w:t>
            </w:r>
          </w:p>
        </w:tc>
        <w:tc>
          <w:tcPr>
            <w:tcW w:w="2351" w:type="dxa"/>
            <w:shd w:val="clear" w:color="auto" w:fill="FFFFFF" w:themeFill="background1"/>
            <w:vAlign w:val="center"/>
          </w:tcPr>
          <w:p w14:paraId="16760B6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3.1×10⁻²⁰</w:t>
            </w:r>
          </w:p>
        </w:tc>
        <w:tc>
          <w:tcPr>
            <w:tcW w:w="2351" w:type="dxa"/>
            <w:shd w:val="clear" w:color="auto" w:fill="FFFFFF" w:themeFill="background1"/>
            <w:vAlign w:val="center"/>
          </w:tcPr>
          <w:p w14:paraId="15219D6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224C4A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26FAE8BE">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HALLMARK_EPITHELIAL_MESENCHYMAL_TRANSITION</w:t>
            </w:r>
          </w:p>
        </w:tc>
        <w:tc>
          <w:tcPr>
            <w:tcW w:w="2351" w:type="dxa"/>
            <w:shd w:val="clear" w:color="auto" w:fill="FFFFFF" w:themeFill="background1"/>
            <w:vAlign w:val="center"/>
          </w:tcPr>
          <w:p w14:paraId="0DCEBA9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3.06</w:t>
            </w:r>
          </w:p>
        </w:tc>
        <w:tc>
          <w:tcPr>
            <w:tcW w:w="2351" w:type="dxa"/>
            <w:shd w:val="clear" w:color="auto" w:fill="FFFFFF" w:themeFill="background1"/>
            <w:vAlign w:val="center"/>
          </w:tcPr>
          <w:p w14:paraId="7FEFF4D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1.7×10⁻²⁸</w:t>
            </w:r>
          </w:p>
        </w:tc>
        <w:tc>
          <w:tcPr>
            <w:tcW w:w="2351" w:type="dxa"/>
            <w:shd w:val="clear" w:color="auto" w:fill="FFFFFF" w:themeFill="background1"/>
            <w:vAlign w:val="center"/>
          </w:tcPr>
          <w:p w14:paraId="536E537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18AE7E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C486F3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HALLMARK_INFLAMMATORY_RESPONSE</w:t>
            </w:r>
          </w:p>
        </w:tc>
        <w:tc>
          <w:tcPr>
            <w:tcW w:w="2351" w:type="dxa"/>
            <w:shd w:val="clear" w:color="auto" w:fill="FFFFFF" w:themeFill="background1"/>
            <w:vAlign w:val="center"/>
          </w:tcPr>
          <w:p w14:paraId="61A78BE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2.85</w:t>
            </w:r>
          </w:p>
        </w:tc>
        <w:tc>
          <w:tcPr>
            <w:tcW w:w="2351" w:type="dxa"/>
            <w:shd w:val="clear" w:color="auto" w:fill="FFFFFF" w:themeFill="background1"/>
            <w:vAlign w:val="center"/>
          </w:tcPr>
          <w:p w14:paraId="410BFD8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5.2×10⁻¹⁸</w:t>
            </w:r>
          </w:p>
        </w:tc>
        <w:tc>
          <w:tcPr>
            <w:tcW w:w="2351" w:type="dxa"/>
            <w:shd w:val="clear" w:color="auto" w:fill="FFFFFF" w:themeFill="background1"/>
            <w:vAlign w:val="center"/>
          </w:tcPr>
          <w:p w14:paraId="7B5E0F6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56C1BC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6DB83E5">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HALLMARK_TNFA_SIGNALING_VIA_NFKB</w:t>
            </w:r>
          </w:p>
        </w:tc>
        <w:tc>
          <w:tcPr>
            <w:tcW w:w="2351" w:type="dxa"/>
            <w:shd w:val="clear" w:color="auto" w:fill="FFFFFF" w:themeFill="background1"/>
            <w:vAlign w:val="center"/>
          </w:tcPr>
          <w:p w14:paraId="25E9456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2.50</w:t>
            </w:r>
          </w:p>
        </w:tc>
        <w:tc>
          <w:tcPr>
            <w:tcW w:w="2351" w:type="dxa"/>
            <w:shd w:val="clear" w:color="auto" w:fill="FFFFFF" w:themeFill="background1"/>
            <w:vAlign w:val="center"/>
          </w:tcPr>
          <w:p w14:paraId="5E3CDD3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1.2×10⁻¹²</w:t>
            </w:r>
          </w:p>
        </w:tc>
        <w:tc>
          <w:tcPr>
            <w:tcW w:w="2351" w:type="dxa"/>
            <w:shd w:val="clear" w:color="auto" w:fill="FFFFFF" w:themeFill="background1"/>
            <w:vAlign w:val="center"/>
          </w:tcPr>
          <w:p w14:paraId="607E731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7FD4AF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8E787E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HALLMARK_ANGIOGENESIS</w:t>
            </w:r>
          </w:p>
        </w:tc>
        <w:tc>
          <w:tcPr>
            <w:tcW w:w="2351" w:type="dxa"/>
            <w:shd w:val="clear" w:color="auto" w:fill="FFFFFF" w:themeFill="background1"/>
            <w:vAlign w:val="center"/>
          </w:tcPr>
          <w:p w14:paraId="7EBF1E6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2.30</w:t>
            </w:r>
          </w:p>
        </w:tc>
        <w:tc>
          <w:tcPr>
            <w:tcW w:w="2351" w:type="dxa"/>
            <w:shd w:val="clear" w:color="auto" w:fill="FFFFFF" w:themeFill="background1"/>
            <w:vAlign w:val="center"/>
          </w:tcPr>
          <w:p w14:paraId="6C2AF29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8.5×10⁻⁰⁹</w:t>
            </w:r>
          </w:p>
        </w:tc>
        <w:tc>
          <w:tcPr>
            <w:tcW w:w="2351" w:type="dxa"/>
            <w:shd w:val="clear" w:color="auto" w:fill="FFFFFF" w:themeFill="background1"/>
            <w:vAlign w:val="center"/>
          </w:tcPr>
          <w:p w14:paraId="1A2D8E3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5E5B38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618C63AD">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HALLMARK_GLYCOLYSIS</w:t>
            </w:r>
          </w:p>
        </w:tc>
        <w:tc>
          <w:tcPr>
            <w:tcW w:w="2351" w:type="dxa"/>
            <w:shd w:val="clear" w:color="auto" w:fill="FFFFFF" w:themeFill="background1"/>
            <w:vAlign w:val="center"/>
          </w:tcPr>
          <w:p w14:paraId="73EBBBD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1.54</w:t>
            </w:r>
          </w:p>
        </w:tc>
        <w:tc>
          <w:tcPr>
            <w:tcW w:w="2351" w:type="dxa"/>
            <w:shd w:val="clear" w:color="auto" w:fill="FFFFFF" w:themeFill="background1"/>
            <w:vAlign w:val="center"/>
          </w:tcPr>
          <w:p w14:paraId="3510D06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1.8×10⁻⁰³</w:t>
            </w:r>
          </w:p>
        </w:tc>
        <w:tc>
          <w:tcPr>
            <w:tcW w:w="2351" w:type="dxa"/>
            <w:shd w:val="clear" w:color="auto" w:fill="FFFFFF" w:themeFill="background1"/>
            <w:vAlign w:val="center"/>
          </w:tcPr>
          <w:p w14:paraId="4A8EEE1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0EE7B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755952C6">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HALLMARK_APOPTOSIS</w:t>
            </w:r>
          </w:p>
        </w:tc>
        <w:tc>
          <w:tcPr>
            <w:tcW w:w="2351" w:type="dxa"/>
            <w:shd w:val="clear" w:color="auto" w:fill="FFFFFF" w:themeFill="background1"/>
            <w:vAlign w:val="center"/>
          </w:tcPr>
          <w:p w14:paraId="6622728F">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1.40</w:t>
            </w:r>
          </w:p>
        </w:tc>
        <w:tc>
          <w:tcPr>
            <w:tcW w:w="2351" w:type="dxa"/>
            <w:shd w:val="clear" w:color="auto" w:fill="FFFFFF" w:themeFill="background1"/>
            <w:vAlign w:val="center"/>
          </w:tcPr>
          <w:p w14:paraId="5D57058F">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5.6×10⁻⁰³</w:t>
            </w:r>
          </w:p>
        </w:tc>
        <w:tc>
          <w:tcPr>
            <w:tcW w:w="2351" w:type="dxa"/>
            <w:shd w:val="clear" w:color="auto" w:fill="FFFFFF" w:themeFill="background1"/>
            <w:vAlign w:val="center"/>
          </w:tcPr>
          <w:p w14:paraId="261C9CCF">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1F59DD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138D8C4">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HALLMARK_HYPOXIA</w:t>
            </w:r>
          </w:p>
        </w:tc>
        <w:tc>
          <w:tcPr>
            <w:tcW w:w="2351" w:type="dxa"/>
            <w:shd w:val="clear" w:color="auto" w:fill="FFFFFF" w:themeFill="background1"/>
            <w:vAlign w:val="center"/>
          </w:tcPr>
          <w:p w14:paraId="10FBA02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1.20</w:t>
            </w:r>
          </w:p>
        </w:tc>
        <w:tc>
          <w:tcPr>
            <w:tcW w:w="2351" w:type="dxa"/>
            <w:shd w:val="clear" w:color="auto" w:fill="FFFFFF" w:themeFill="background1"/>
            <w:vAlign w:val="center"/>
          </w:tcPr>
          <w:p w14:paraId="1E42D0B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2.4×10⁻⁰²</w:t>
            </w:r>
          </w:p>
        </w:tc>
        <w:tc>
          <w:tcPr>
            <w:tcW w:w="2351" w:type="dxa"/>
            <w:shd w:val="clear" w:color="auto" w:fill="FFFFFF" w:themeFill="background1"/>
            <w:vAlign w:val="center"/>
          </w:tcPr>
          <w:p w14:paraId="10237E9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Up</w:t>
            </w:r>
          </w:p>
        </w:tc>
      </w:tr>
      <w:tr w14:paraId="695324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638A8C1C">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HALLMARK_OXIDATIVE_PHOSPHORYLATION</w:t>
            </w:r>
          </w:p>
        </w:tc>
        <w:tc>
          <w:tcPr>
            <w:tcW w:w="2351" w:type="dxa"/>
            <w:shd w:val="clear" w:color="auto" w:fill="FFFFFF" w:themeFill="background1"/>
            <w:vAlign w:val="center"/>
          </w:tcPr>
          <w:p w14:paraId="2888350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-2.50</w:t>
            </w:r>
          </w:p>
        </w:tc>
        <w:tc>
          <w:tcPr>
            <w:tcW w:w="2351" w:type="dxa"/>
            <w:shd w:val="clear" w:color="auto" w:fill="FFFFFF" w:themeFill="background1"/>
            <w:vAlign w:val="center"/>
          </w:tcPr>
          <w:p w14:paraId="5331701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2.2×10⁻¹⁶</w:t>
            </w:r>
          </w:p>
        </w:tc>
        <w:tc>
          <w:tcPr>
            <w:tcW w:w="2351" w:type="dxa"/>
            <w:shd w:val="clear" w:color="auto" w:fill="FFFFFF" w:themeFill="background1"/>
            <w:vAlign w:val="center"/>
          </w:tcPr>
          <w:p w14:paraId="6416D42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Down</w:t>
            </w:r>
          </w:p>
        </w:tc>
      </w:tr>
      <w:tr w14:paraId="2B34C3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1D98FBD0">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HALLMARK_FATTY_ACID_METABOLISM</w:t>
            </w:r>
          </w:p>
        </w:tc>
        <w:tc>
          <w:tcPr>
            <w:tcW w:w="2351" w:type="dxa"/>
            <w:shd w:val="clear" w:color="auto" w:fill="FFFFFF" w:themeFill="background1"/>
            <w:vAlign w:val="center"/>
          </w:tcPr>
          <w:p w14:paraId="65C7C30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-2.10</w:t>
            </w:r>
          </w:p>
        </w:tc>
        <w:tc>
          <w:tcPr>
            <w:tcW w:w="2351" w:type="dxa"/>
            <w:shd w:val="clear" w:color="auto" w:fill="FFFFFF" w:themeFill="background1"/>
            <w:vAlign w:val="center"/>
          </w:tcPr>
          <w:p w14:paraId="08B830CF">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1.8×10⁻¹²</w:t>
            </w:r>
          </w:p>
        </w:tc>
        <w:tc>
          <w:tcPr>
            <w:tcW w:w="2351" w:type="dxa"/>
            <w:shd w:val="clear" w:color="auto" w:fill="FFFFFF" w:themeFill="background1"/>
            <w:vAlign w:val="center"/>
          </w:tcPr>
          <w:p w14:paraId="1A22763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Down</w:t>
            </w:r>
          </w:p>
        </w:tc>
      </w:tr>
      <w:tr w14:paraId="2F2B3F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22B4821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HALLMARK_BILE_ACID_METABOLISM</w:t>
            </w:r>
          </w:p>
        </w:tc>
        <w:tc>
          <w:tcPr>
            <w:tcW w:w="2351" w:type="dxa"/>
            <w:shd w:val="clear" w:color="auto" w:fill="FFFFFF" w:themeFill="background1"/>
            <w:vAlign w:val="center"/>
          </w:tcPr>
          <w:p w14:paraId="29F18A4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-1.80</w:t>
            </w:r>
          </w:p>
        </w:tc>
        <w:tc>
          <w:tcPr>
            <w:tcW w:w="2351" w:type="dxa"/>
            <w:shd w:val="clear" w:color="auto" w:fill="FFFFFF" w:themeFill="background1"/>
            <w:vAlign w:val="center"/>
          </w:tcPr>
          <w:p w14:paraId="79E38B6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3.5×10⁻⁰⁸</w:t>
            </w:r>
          </w:p>
        </w:tc>
        <w:tc>
          <w:tcPr>
            <w:tcW w:w="2351" w:type="dxa"/>
            <w:shd w:val="clear" w:color="auto" w:fill="FFFFFF" w:themeFill="background1"/>
            <w:vAlign w:val="center"/>
          </w:tcPr>
          <w:p w14:paraId="207012A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Down</w:t>
            </w:r>
          </w:p>
        </w:tc>
      </w:tr>
      <w:tr w14:paraId="13967E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14A94ED2">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HALLMARK_ADIPOGENESIS</w:t>
            </w:r>
          </w:p>
        </w:tc>
        <w:tc>
          <w:tcPr>
            <w:tcW w:w="2351" w:type="dxa"/>
            <w:shd w:val="clear" w:color="auto" w:fill="FFFFFF" w:themeFill="background1"/>
            <w:vAlign w:val="center"/>
          </w:tcPr>
          <w:p w14:paraId="47BB6C9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-1.50</w:t>
            </w:r>
          </w:p>
        </w:tc>
        <w:tc>
          <w:tcPr>
            <w:tcW w:w="2351" w:type="dxa"/>
            <w:shd w:val="clear" w:color="auto" w:fill="FFFFFF" w:themeFill="background1"/>
            <w:vAlign w:val="center"/>
          </w:tcPr>
          <w:p w14:paraId="485B534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2.1×10⁻⁰⁵</w:t>
            </w:r>
          </w:p>
        </w:tc>
        <w:tc>
          <w:tcPr>
            <w:tcW w:w="2351" w:type="dxa"/>
            <w:shd w:val="clear" w:color="auto" w:fill="FFFFFF" w:themeFill="background1"/>
            <w:vAlign w:val="center"/>
          </w:tcPr>
          <w:p w14:paraId="0274019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Down</w:t>
            </w:r>
          </w:p>
        </w:tc>
      </w:tr>
      <w:tr w14:paraId="12D2BF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151C76B0">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HALLMARK_PEROXISOME</w:t>
            </w:r>
          </w:p>
        </w:tc>
        <w:tc>
          <w:tcPr>
            <w:tcW w:w="2351" w:type="dxa"/>
            <w:shd w:val="clear" w:color="auto" w:fill="FFFFFF" w:themeFill="background1"/>
            <w:vAlign w:val="center"/>
          </w:tcPr>
          <w:p w14:paraId="2EE854D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-1.30</w:t>
            </w:r>
          </w:p>
        </w:tc>
        <w:tc>
          <w:tcPr>
            <w:tcW w:w="2351" w:type="dxa"/>
            <w:shd w:val="clear" w:color="auto" w:fill="FFFFFF" w:themeFill="background1"/>
            <w:vAlign w:val="center"/>
          </w:tcPr>
          <w:p w14:paraId="0EA7C7A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4.5×10⁻⁰⁴</w:t>
            </w:r>
          </w:p>
        </w:tc>
        <w:tc>
          <w:tcPr>
            <w:tcW w:w="2351" w:type="dxa"/>
            <w:shd w:val="clear" w:color="auto" w:fill="FFFFFF" w:themeFill="background1"/>
            <w:vAlign w:val="center"/>
          </w:tcPr>
          <w:p w14:paraId="39424F9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Down</w:t>
            </w:r>
          </w:p>
        </w:tc>
      </w:tr>
    </w:tbl>
    <w:p w14:paraId="0EA88565">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Notes: NES = Normalized Enrichment Score. Positive NES indicates pathway upregulation in oral cancer vs normal; negative NES indicates downregulation. FDR = Benjamini-Hochberg adjusted P-value. All 15 pathways passed FDR &lt; 0.05 threshold.</w:t>
      </w:r>
    </w:p>
    <w:p w14:paraId="6F1C0C1C">
      <w:pPr>
        <w:rPr>
          <w:rFonts w:hint="default" w:ascii="Arial" w:hAnsi="Arial" w:cs="Arial"/>
          <w:b w:val="0"/>
          <w:bCs w:val="0"/>
          <w:color w:val="auto"/>
          <w:sz w:val="24"/>
          <w:szCs w:val="24"/>
        </w:rPr>
      </w:pPr>
      <w:r>
        <w:rPr>
          <w:rFonts w:hint="default" w:ascii="Arial" w:hAnsi="Arial" w:cs="Arial"/>
          <w:b w:val="0"/>
          <w:bCs w:val="0"/>
          <w:color w:val="auto"/>
          <w:sz w:val="24"/>
          <w:szCs w:val="24"/>
        </w:rPr>
        <w:br w:type="page"/>
      </w:r>
    </w:p>
    <w:p w14:paraId="1D3675BC">
      <w:pPr>
        <w:spacing w:before="240" w:after="120" w:line="360" w:lineRule="auto"/>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Table S2. Top 30 Drug Sensitivity Correlations</w:t>
      </w:r>
    </w:p>
    <w:p w14:paraId="47DFCE6D">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This table lists the top 30 drugs with the strongest correlation between predicted IC50 and risk score. Positive correlations indicate resistance in high-risk patients, while negative correlations indicate sensitivity in high-risk patients. Drugs were selected from the oncoPredict prediction covering 265 compounds from GDSC2.</w:t>
      </w:r>
    </w:p>
    <w:p w14:paraId="7890DF9A">
      <w:pPr>
        <w:spacing w:before="120" w:after="8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Table S2. Top 30 drug-RiskScore correlations (10 most resistant + 20 most sensitive).</w:t>
      </w:r>
    </w:p>
    <w:tbl>
      <w:tblPr>
        <w:tblStyle w:val="3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2351"/>
        <w:gridCol w:w="2351"/>
        <w:gridCol w:w="2351"/>
        <w:gridCol w:w="2351"/>
      </w:tblGrid>
      <w:tr w14:paraId="03B0C6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tcBorders>
              <w:bottom w:val="single" w:color="auto" w:sz="4" w:space="0"/>
            </w:tcBorders>
            <w:shd w:val="clear" w:color="auto" w:fill="FFFFFF" w:themeFill="background1"/>
            <w:vAlign w:val="center"/>
          </w:tcPr>
          <w:p w14:paraId="431C9EE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Drug</w:t>
            </w:r>
          </w:p>
        </w:tc>
        <w:tc>
          <w:tcPr>
            <w:tcW w:w="2351" w:type="dxa"/>
            <w:tcBorders>
              <w:bottom w:val="single" w:color="auto" w:sz="4" w:space="0"/>
            </w:tcBorders>
            <w:shd w:val="clear" w:color="auto" w:fill="FFFFFF" w:themeFill="background1"/>
            <w:vAlign w:val="center"/>
          </w:tcPr>
          <w:p w14:paraId="455E8BF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Pearson r</w:t>
            </w:r>
          </w:p>
        </w:tc>
        <w:tc>
          <w:tcPr>
            <w:tcW w:w="2351" w:type="dxa"/>
            <w:tcBorders>
              <w:bottom w:val="single" w:color="auto" w:sz="4" w:space="0"/>
            </w:tcBorders>
            <w:shd w:val="clear" w:color="auto" w:fill="FFFFFF" w:themeFill="background1"/>
            <w:vAlign w:val="center"/>
          </w:tcPr>
          <w:p w14:paraId="59A5F8C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Sensitivity</w:t>
            </w:r>
          </w:p>
        </w:tc>
        <w:tc>
          <w:tcPr>
            <w:tcW w:w="2351" w:type="dxa"/>
            <w:tcBorders>
              <w:bottom w:val="single" w:color="auto" w:sz="4" w:space="0"/>
            </w:tcBorders>
            <w:shd w:val="clear" w:color="auto" w:fill="FFFFFF" w:themeFill="background1"/>
            <w:vAlign w:val="center"/>
          </w:tcPr>
          <w:p w14:paraId="1221530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Mechanism</w:t>
            </w:r>
          </w:p>
        </w:tc>
      </w:tr>
      <w:tr w14:paraId="1A80CD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tcBorders>
              <w:top w:val="single" w:color="auto" w:sz="4" w:space="0"/>
            </w:tcBorders>
            <w:shd w:val="clear" w:color="auto" w:fill="FFFFFF" w:themeFill="background1"/>
            <w:vAlign w:val="center"/>
          </w:tcPr>
          <w:p w14:paraId="486CF8C8">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GSK269962A</w:t>
            </w:r>
          </w:p>
        </w:tc>
        <w:tc>
          <w:tcPr>
            <w:tcW w:w="2351" w:type="dxa"/>
            <w:tcBorders>
              <w:top w:val="single" w:color="auto" w:sz="4" w:space="0"/>
            </w:tcBorders>
            <w:shd w:val="clear" w:color="auto" w:fill="FFFFFF" w:themeFill="background1"/>
            <w:vAlign w:val="center"/>
          </w:tcPr>
          <w:p w14:paraId="6BCE8B5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0.20</w:t>
            </w:r>
          </w:p>
        </w:tc>
        <w:tc>
          <w:tcPr>
            <w:tcW w:w="2351" w:type="dxa"/>
            <w:tcBorders>
              <w:top w:val="single" w:color="auto" w:sz="4" w:space="0"/>
            </w:tcBorders>
            <w:shd w:val="clear" w:color="auto" w:fill="FFFFFF" w:themeFill="background1"/>
            <w:vAlign w:val="center"/>
          </w:tcPr>
          <w:p w14:paraId="7024FDC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tcBorders>
              <w:top w:val="single" w:color="auto" w:sz="4" w:space="0"/>
            </w:tcBorders>
            <w:shd w:val="clear" w:color="auto" w:fill="FFFFFF" w:themeFill="background1"/>
            <w:vAlign w:val="center"/>
          </w:tcPr>
          <w:p w14:paraId="0FE73D3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ROCK inhibitor</w:t>
            </w:r>
          </w:p>
        </w:tc>
      </w:tr>
      <w:tr w14:paraId="65C9D9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0ED3376F">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PRIMA-1MET</w:t>
            </w:r>
          </w:p>
        </w:tc>
        <w:tc>
          <w:tcPr>
            <w:tcW w:w="2351" w:type="dxa"/>
            <w:shd w:val="clear" w:color="auto" w:fill="FFFFFF" w:themeFill="background1"/>
            <w:vAlign w:val="center"/>
          </w:tcPr>
          <w:p w14:paraId="5049588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0.19</w:t>
            </w:r>
          </w:p>
        </w:tc>
        <w:tc>
          <w:tcPr>
            <w:tcW w:w="2351" w:type="dxa"/>
            <w:shd w:val="clear" w:color="auto" w:fill="FFFFFF" w:themeFill="background1"/>
            <w:vAlign w:val="center"/>
          </w:tcPr>
          <w:p w14:paraId="47E77B3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4A1F4D9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p53 reactivator</w:t>
            </w:r>
          </w:p>
        </w:tc>
      </w:tr>
      <w:tr w14:paraId="37500F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E7AE1A5">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AZD5582</w:t>
            </w:r>
          </w:p>
        </w:tc>
        <w:tc>
          <w:tcPr>
            <w:tcW w:w="2351" w:type="dxa"/>
            <w:shd w:val="clear" w:color="auto" w:fill="FFFFFF" w:themeFill="background1"/>
            <w:vAlign w:val="center"/>
          </w:tcPr>
          <w:p w14:paraId="5624A5B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0.18</w:t>
            </w:r>
          </w:p>
        </w:tc>
        <w:tc>
          <w:tcPr>
            <w:tcW w:w="2351" w:type="dxa"/>
            <w:shd w:val="clear" w:color="auto" w:fill="FFFFFF" w:themeFill="background1"/>
            <w:vAlign w:val="center"/>
          </w:tcPr>
          <w:p w14:paraId="3304308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7798450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IAP antagonist</w:t>
            </w:r>
          </w:p>
        </w:tc>
      </w:tr>
      <w:tr w14:paraId="7F304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2C033C4E">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LJI308</w:t>
            </w:r>
          </w:p>
        </w:tc>
        <w:tc>
          <w:tcPr>
            <w:tcW w:w="2351" w:type="dxa"/>
            <w:shd w:val="clear" w:color="auto" w:fill="FFFFFF" w:themeFill="background1"/>
            <w:vAlign w:val="center"/>
          </w:tcPr>
          <w:p w14:paraId="48E260F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0.18</w:t>
            </w:r>
          </w:p>
        </w:tc>
        <w:tc>
          <w:tcPr>
            <w:tcW w:w="2351" w:type="dxa"/>
            <w:shd w:val="clear" w:color="auto" w:fill="FFFFFF" w:themeFill="background1"/>
            <w:vAlign w:val="center"/>
          </w:tcPr>
          <w:p w14:paraId="1C035C3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5D8C67F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RSK inhibitor</w:t>
            </w:r>
          </w:p>
        </w:tc>
      </w:tr>
      <w:tr w14:paraId="29EA6B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4C271104">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BMS-754807</w:t>
            </w:r>
          </w:p>
        </w:tc>
        <w:tc>
          <w:tcPr>
            <w:tcW w:w="2351" w:type="dxa"/>
            <w:shd w:val="clear" w:color="auto" w:fill="FFFFFF" w:themeFill="background1"/>
            <w:vAlign w:val="center"/>
          </w:tcPr>
          <w:p w14:paraId="10B8AFB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0.17</w:t>
            </w:r>
          </w:p>
        </w:tc>
        <w:tc>
          <w:tcPr>
            <w:tcW w:w="2351" w:type="dxa"/>
            <w:shd w:val="clear" w:color="auto" w:fill="FFFFFF" w:themeFill="background1"/>
            <w:vAlign w:val="center"/>
          </w:tcPr>
          <w:p w14:paraId="650FCAC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071A83EF">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IGF-1R/IR inhibitor</w:t>
            </w:r>
          </w:p>
        </w:tc>
      </w:tr>
      <w:tr w14:paraId="269EF7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7A0337DA">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AZD8055</w:t>
            </w:r>
          </w:p>
        </w:tc>
        <w:tc>
          <w:tcPr>
            <w:tcW w:w="2351" w:type="dxa"/>
            <w:shd w:val="clear" w:color="auto" w:fill="FFFFFF" w:themeFill="background1"/>
            <w:vAlign w:val="center"/>
          </w:tcPr>
          <w:p w14:paraId="36BD14A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0.17</w:t>
            </w:r>
          </w:p>
        </w:tc>
        <w:tc>
          <w:tcPr>
            <w:tcW w:w="2351" w:type="dxa"/>
            <w:shd w:val="clear" w:color="auto" w:fill="FFFFFF" w:themeFill="background1"/>
            <w:vAlign w:val="center"/>
          </w:tcPr>
          <w:p w14:paraId="7DF6209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6F7CA27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mTOR inhibitor</w:t>
            </w:r>
          </w:p>
        </w:tc>
      </w:tr>
      <w:tr w14:paraId="391EBD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2A41F13D">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OTX015</w:t>
            </w:r>
          </w:p>
        </w:tc>
        <w:tc>
          <w:tcPr>
            <w:tcW w:w="2351" w:type="dxa"/>
            <w:shd w:val="clear" w:color="auto" w:fill="FFFFFF" w:themeFill="background1"/>
            <w:vAlign w:val="center"/>
          </w:tcPr>
          <w:p w14:paraId="44B42C8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0.16</w:t>
            </w:r>
          </w:p>
        </w:tc>
        <w:tc>
          <w:tcPr>
            <w:tcW w:w="2351" w:type="dxa"/>
            <w:shd w:val="clear" w:color="auto" w:fill="FFFFFF" w:themeFill="background1"/>
            <w:vAlign w:val="center"/>
          </w:tcPr>
          <w:p w14:paraId="6D18CB1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113BAA2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BET inhibitor</w:t>
            </w:r>
          </w:p>
        </w:tc>
      </w:tr>
      <w:tr w14:paraId="2F369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6B4A6551">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I-BET-762</w:t>
            </w:r>
          </w:p>
        </w:tc>
        <w:tc>
          <w:tcPr>
            <w:tcW w:w="2351" w:type="dxa"/>
            <w:shd w:val="clear" w:color="auto" w:fill="FFFFFF" w:themeFill="background1"/>
            <w:vAlign w:val="center"/>
          </w:tcPr>
          <w:p w14:paraId="4DA624F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0.16</w:t>
            </w:r>
          </w:p>
        </w:tc>
        <w:tc>
          <w:tcPr>
            <w:tcW w:w="2351" w:type="dxa"/>
            <w:shd w:val="clear" w:color="auto" w:fill="FFFFFF" w:themeFill="background1"/>
            <w:vAlign w:val="center"/>
          </w:tcPr>
          <w:p w14:paraId="1A3222A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5CD0BA5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BET inhibitor</w:t>
            </w:r>
          </w:p>
        </w:tc>
      </w:tr>
      <w:tr w14:paraId="5B16E1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22F4B50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Venetoclax</w:t>
            </w:r>
          </w:p>
        </w:tc>
        <w:tc>
          <w:tcPr>
            <w:tcW w:w="2351" w:type="dxa"/>
            <w:shd w:val="clear" w:color="auto" w:fill="FFFFFF" w:themeFill="background1"/>
            <w:vAlign w:val="center"/>
          </w:tcPr>
          <w:p w14:paraId="0EEC5C1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0.15</w:t>
            </w:r>
          </w:p>
        </w:tc>
        <w:tc>
          <w:tcPr>
            <w:tcW w:w="2351" w:type="dxa"/>
            <w:shd w:val="clear" w:color="auto" w:fill="FFFFFF" w:themeFill="background1"/>
            <w:vAlign w:val="center"/>
          </w:tcPr>
          <w:p w14:paraId="7F85266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6D6DDD7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BCL-2 inhibitor</w:t>
            </w:r>
          </w:p>
        </w:tc>
      </w:tr>
      <w:tr w14:paraId="3A3369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227A569C">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Navitoclax</w:t>
            </w:r>
          </w:p>
        </w:tc>
        <w:tc>
          <w:tcPr>
            <w:tcW w:w="2351" w:type="dxa"/>
            <w:shd w:val="clear" w:color="auto" w:fill="FFFFFF" w:themeFill="background1"/>
            <w:vAlign w:val="center"/>
          </w:tcPr>
          <w:p w14:paraId="0340FE5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0.15</w:t>
            </w:r>
          </w:p>
        </w:tc>
        <w:tc>
          <w:tcPr>
            <w:tcW w:w="2351" w:type="dxa"/>
            <w:shd w:val="clear" w:color="auto" w:fill="FFFFFF" w:themeFill="background1"/>
            <w:vAlign w:val="center"/>
          </w:tcPr>
          <w:p w14:paraId="5A4ED73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Resistant</w:t>
            </w:r>
          </w:p>
        </w:tc>
        <w:tc>
          <w:tcPr>
            <w:tcW w:w="2351" w:type="dxa"/>
            <w:shd w:val="clear" w:color="auto" w:fill="FFFFFF" w:themeFill="background1"/>
            <w:vAlign w:val="center"/>
          </w:tcPr>
          <w:p w14:paraId="5A017B65">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BCL-2/BCL-xL inhibitor</w:t>
            </w:r>
          </w:p>
        </w:tc>
      </w:tr>
      <w:tr w14:paraId="4F658A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23AFDBC1">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AZD1208</w:t>
            </w:r>
          </w:p>
        </w:tc>
        <w:tc>
          <w:tcPr>
            <w:tcW w:w="2351" w:type="dxa"/>
            <w:shd w:val="clear" w:color="auto" w:fill="FFFFFF" w:themeFill="background1"/>
            <w:vAlign w:val="center"/>
          </w:tcPr>
          <w:p w14:paraId="252CEED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-0.15</w:t>
            </w:r>
          </w:p>
        </w:tc>
        <w:tc>
          <w:tcPr>
            <w:tcW w:w="2351" w:type="dxa"/>
            <w:shd w:val="clear" w:color="auto" w:fill="FFFFFF" w:themeFill="background1"/>
            <w:vAlign w:val="center"/>
          </w:tcPr>
          <w:p w14:paraId="65557FE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6608DBA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PIM kinase inhibitor</w:t>
            </w:r>
          </w:p>
        </w:tc>
      </w:tr>
      <w:tr w14:paraId="2CFC9B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706CDE8B">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AZD3759</w:t>
            </w:r>
          </w:p>
        </w:tc>
        <w:tc>
          <w:tcPr>
            <w:tcW w:w="2351" w:type="dxa"/>
            <w:shd w:val="clear" w:color="auto" w:fill="FFFFFF" w:themeFill="background1"/>
            <w:vAlign w:val="center"/>
          </w:tcPr>
          <w:p w14:paraId="3B217E8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-0.16</w:t>
            </w:r>
          </w:p>
        </w:tc>
        <w:tc>
          <w:tcPr>
            <w:tcW w:w="2351" w:type="dxa"/>
            <w:shd w:val="clear" w:color="auto" w:fill="FFFFFF" w:themeFill="background1"/>
            <w:vAlign w:val="center"/>
          </w:tcPr>
          <w:p w14:paraId="4CE0325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0EE3ABF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EGFR inhibitor</w:t>
            </w:r>
          </w:p>
        </w:tc>
      </w:tr>
      <w:tr w14:paraId="12560A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3894CF4D">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Erlotinib</w:t>
            </w:r>
          </w:p>
        </w:tc>
        <w:tc>
          <w:tcPr>
            <w:tcW w:w="2351" w:type="dxa"/>
            <w:shd w:val="clear" w:color="auto" w:fill="FFFFFF" w:themeFill="background1"/>
            <w:vAlign w:val="center"/>
          </w:tcPr>
          <w:p w14:paraId="1570422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-0.17</w:t>
            </w:r>
          </w:p>
        </w:tc>
        <w:tc>
          <w:tcPr>
            <w:tcW w:w="2351" w:type="dxa"/>
            <w:shd w:val="clear" w:color="auto" w:fill="FFFFFF" w:themeFill="background1"/>
            <w:vAlign w:val="center"/>
          </w:tcPr>
          <w:p w14:paraId="251C216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35A2CAF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EGFR inhibitor</w:t>
            </w:r>
          </w:p>
        </w:tc>
      </w:tr>
      <w:tr w14:paraId="5EE2DC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65D78F59">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Lapatinib</w:t>
            </w:r>
          </w:p>
        </w:tc>
        <w:tc>
          <w:tcPr>
            <w:tcW w:w="2351" w:type="dxa"/>
            <w:shd w:val="clear" w:color="auto" w:fill="FFFFFF" w:themeFill="background1"/>
            <w:vAlign w:val="center"/>
          </w:tcPr>
          <w:p w14:paraId="63C3C41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-0.18</w:t>
            </w:r>
          </w:p>
        </w:tc>
        <w:tc>
          <w:tcPr>
            <w:tcW w:w="2351" w:type="dxa"/>
            <w:shd w:val="clear" w:color="auto" w:fill="FFFFFF" w:themeFill="background1"/>
            <w:vAlign w:val="center"/>
          </w:tcPr>
          <w:p w14:paraId="0145D90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5AD7B41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EGFR/HER2 inhibitor</w:t>
            </w:r>
          </w:p>
        </w:tc>
      </w:tr>
      <w:tr w14:paraId="5EDF01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34F6E85F">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Gefitinib</w:t>
            </w:r>
          </w:p>
        </w:tc>
        <w:tc>
          <w:tcPr>
            <w:tcW w:w="2351" w:type="dxa"/>
            <w:shd w:val="clear" w:color="auto" w:fill="FFFFFF" w:themeFill="background1"/>
            <w:vAlign w:val="center"/>
          </w:tcPr>
          <w:p w14:paraId="154177C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-0.19</w:t>
            </w:r>
          </w:p>
        </w:tc>
        <w:tc>
          <w:tcPr>
            <w:tcW w:w="2351" w:type="dxa"/>
            <w:shd w:val="clear" w:color="auto" w:fill="FFFFFF" w:themeFill="background1"/>
            <w:vAlign w:val="center"/>
          </w:tcPr>
          <w:p w14:paraId="7FC1593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6A503F02">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EGFR inhibitor</w:t>
            </w:r>
          </w:p>
        </w:tc>
      </w:tr>
      <w:tr w14:paraId="47B004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094B8812">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MK-1775</w:t>
            </w:r>
          </w:p>
        </w:tc>
        <w:tc>
          <w:tcPr>
            <w:tcW w:w="2351" w:type="dxa"/>
            <w:shd w:val="clear" w:color="auto" w:fill="FFFFFF" w:themeFill="background1"/>
            <w:vAlign w:val="center"/>
          </w:tcPr>
          <w:p w14:paraId="4C586F4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-0.19</w:t>
            </w:r>
          </w:p>
        </w:tc>
        <w:tc>
          <w:tcPr>
            <w:tcW w:w="2351" w:type="dxa"/>
            <w:shd w:val="clear" w:color="auto" w:fill="FFFFFF" w:themeFill="background1"/>
            <w:vAlign w:val="center"/>
          </w:tcPr>
          <w:p w14:paraId="3DB6018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6280C70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Wee1 inhibitor</w:t>
            </w:r>
          </w:p>
        </w:tc>
      </w:tr>
      <w:tr w14:paraId="5727AB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67AF34BD">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Wee1 Inhibitor</w:t>
            </w:r>
          </w:p>
        </w:tc>
        <w:tc>
          <w:tcPr>
            <w:tcW w:w="2351" w:type="dxa"/>
            <w:shd w:val="clear" w:color="auto" w:fill="FFFFFF" w:themeFill="background1"/>
            <w:vAlign w:val="center"/>
          </w:tcPr>
          <w:p w14:paraId="25E9376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-0.19</w:t>
            </w:r>
          </w:p>
        </w:tc>
        <w:tc>
          <w:tcPr>
            <w:tcW w:w="2351" w:type="dxa"/>
            <w:shd w:val="clear" w:color="auto" w:fill="FFFFFF" w:themeFill="background1"/>
            <w:vAlign w:val="center"/>
          </w:tcPr>
          <w:p w14:paraId="0D0BBDCC">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466E12C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Wee1 kinase inhibitor</w:t>
            </w:r>
          </w:p>
        </w:tc>
      </w:tr>
      <w:tr w14:paraId="22D82C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jc w:val="center"/>
        </w:trPr>
        <w:tc>
          <w:tcPr>
            <w:tcW w:w="2351" w:type="dxa"/>
            <w:shd w:val="clear" w:color="auto" w:fill="FFFFFF" w:themeFill="background1"/>
            <w:vAlign w:val="center"/>
          </w:tcPr>
          <w:p w14:paraId="180AFEE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Afatinib</w:t>
            </w:r>
          </w:p>
        </w:tc>
        <w:tc>
          <w:tcPr>
            <w:tcW w:w="2351" w:type="dxa"/>
            <w:shd w:val="clear" w:color="auto" w:fill="FFFFFF" w:themeFill="background1"/>
            <w:vAlign w:val="center"/>
          </w:tcPr>
          <w:p w14:paraId="59FFC17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-0.19</w:t>
            </w:r>
          </w:p>
        </w:tc>
        <w:tc>
          <w:tcPr>
            <w:tcW w:w="2351" w:type="dxa"/>
            <w:shd w:val="clear" w:color="auto" w:fill="FFFFFF" w:themeFill="background1"/>
            <w:vAlign w:val="center"/>
          </w:tcPr>
          <w:p w14:paraId="6D28775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5713CA4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Pan-EGFR inhibitor</w:t>
            </w:r>
          </w:p>
        </w:tc>
      </w:tr>
      <w:tr w14:paraId="0E14E3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00B42154">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BMS-345541</w:t>
            </w:r>
          </w:p>
        </w:tc>
        <w:tc>
          <w:tcPr>
            <w:tcW w:w="2351" w:type="dxa"/>
            <w:shd w:val="clear" w:color="auto" w:fill="FFFFFF" w:themeFill="background1"/>
            <w:vAlign w:val="center"/>
          </w:tcPr>
          <w:p w14:paraId="7348175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-0.20</w:t>
            </w:r>
          </w:p>
        </w:tc>
        <w:tc>
          <w:tcPr>
            <w:tcW w:w="2351" w:type="dxa"/>
            <w:shd w:val="clear" w:color="auto" w:fill="FFFFFF" w:themeFill="background1"/>
            <w:vAlign w:val="center"/>
          </w:tcPr>
          <w:p w14:paraId="5F96CCC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50237CA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IKK-2 inhibitor</w:t>
            </w:r>
          </w:p>
        </w:tc>
      </w:tr>
      <w:tr w14:paraId="7E7FE3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122302C9">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Osimertinib</w:t>
            </w:r>
          </w:p>
        </w:tc>
        <w:tc>
          <w:tcPr>
            <w:tcW w:w="2351" w:type="dxa"/>
            <w:shd w:val="clear" w:color="auto" w:fill="FFFFFF" w:themeFill="background1"/>
            <w:vAlign w:val="center"/>
          </w:tcPr>
          <w:p w14:paraId="0112A5C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-0.21</w:t>
            </w:r>
          </w:p>
        </w:tc>
        <w:tc>
          <w:tcPr>
            <w:tcW w:w="2351" w:type="dxa"/>
            <w:shd w:val="clear" w:color="auto" w:fill="FFFFFF" w:themeFill="background1"/>
            <w:vAlign w:val="center"/>
          </w:tcPr>
          <w:p w14:paraId="788CA8C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230379A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3rd-gen EGFR inhibitor</w:t>
            </w:r>
          </w:p>
        </w:tc>
      </w:tr>
      <w:tr w14:paraId="7C1764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3B74B63B">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AZD6738</w:t>
            </w:r>
          </w:p>
        </w:tc>
        <w:tc>
          <w:tcPr>
            <w:tcW w:w="2351" w:type="dxa"/>
            <w:shd w:val="clear" w:color="auto" w:fill="FFFFFF" w:themeFill="background1"/>
            <w:vAlign w:val="center"/>
          </w:tcPr>
          <w:p w14:paraId="04AF053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-0.18</w:t>
            </w:r>
          </w:p>
        </w:tc>
        <w:tc>
          <w:tcPr>
            <w:tcW w:w="2351" w:type="dxa"/>
            <w:shd w:val="clear" w:color="auto" w:fill="FFFFFF" w:themeFill="background1"/>
            <w:vAlign w:val="center"/>
          </w:tcPr>
          <w:p w14:paraId="2E42FB6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3D08842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ATR inhibitor</w:t>
            </w:r>
          </w:p>
        </w:tc>
      </w:tr>
      <w:tr w14:paraId="5E8D46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75933727">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Olaparib</w:t>
            </w:r>
          </w:p>
        </w:tc>
        <w:tc>
          <w:tcPr>
            <w:tcW w:w="2351" w:type="dxa"/>
            <w:shd w:val="clear" w:color="auto" w:fill="FFFFFF" w:themeFill="background1"/>
            <w:vAlign w:val="center"/>
          </w:tcPr>
          <w:p w14:paraId="3DD9979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-0.16</w:t>
            </w:r>
          </w:p>
        </w:tc>
        <w:tc>
          <w:tcPr>
            <w:tcW w:w="2351" w:type="dxa"/>
            <w:shd w:val="clear" w:color="auto" w:fill="FFFFFF" w:themeFill="background1"/>
            <w:vAlign w:val="center"/>
          </w:tcPr>
          <w:p w14:paraId="4E1586D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0DF02CE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PARP inhibitor</w:t>
            </w:r>
          </w:p>
        </w:tc>
      </w:tr>
      <w:tr w14:paraId="3173C3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3513E718">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Cediranib</w:t>
            </w:r>
          </w:p>
        </w:tc>
        <w:tc>
          <w:tcPr>
            <w:tcW w:w="2351" w:type="dxa"/>
            <w:shd w:val="clear" w:color="auto" w:fill="FFFFFF" w:themeFill="background1"/>
            <w:vAlign w:val="center"/>
          </w:tcPr>
          <w:p w14:paraId="778E518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-0.14</w:t>
            </w:r>
          </w:p>
        </w:tc>
        <w:tc>
          <w:tcPr>
            <w:tcW w:w="2351" w:type="dxa"/>
            <w:shd w:val="clear" w:color="auto" w:fill="FFFFFF" w:themeFill="background1"/>
            <w:vAlign w:val="center"/>
          </w:tcPr>
          <w:p w14:paraId="22C8242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5F5AA5A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VEGFR inhibitor</w:t>
            </w:r>
          </w:p>
        </w:tc>
      </w:tr>
      <w:tr w14:paraId="6EAC37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5C920168">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Doramapimod</w:t>
            </w:r>
          </w:p>
        </w:tc>
        <w:tc>
          <w:tcPr>
            <w:tcW w:w="2351" w:type="dxa"/>
            <w:shd w:val="clear" w:color="auto" w:fill="FFFFFF" w:themeFill="background1"/>
            <w:vAlign w:val="center"/>
          </w:tcPr>
          <w:p w14:paraId="3099BC1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-0.13</w:t>
            </w:r>
          </w:p>
        </w:tc>
        <w:tc>
          <w:tcPr>
            <w:tcW w:w="2351" w:type="dxa"/>
            <w:shd w:val="clear" w:color="auto" w:fill="FFFFFF" w:themeFill="background1"/>
            <w:vAlign w:val="center"/>
          </w:tcPr>
          <w:p w14:paraId="28C6DE2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4B1215E7">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p38 MAPK inhibitor</w:t>
            </w:r>
          </w:p>
        </w:tc>
      </w:tr>
      <w:tr w14:paraId="16A3F0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6A6FF046">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Camptothecin</w:t>
            </w:r>
          </w:p>
        </w:tc>
        <w:tc>
          <w:tcPr>
            <w:tcW w:w="2351" w:type="dxa"/>
            <w:shd w:val="clear" w:color="auto" w:fill="FFFFFF" w:themeFill="background1"/>
            <w:vAlign w:val="center"/>
          </w:tcPr>
          <w:p w14:paraId="732D71D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-0.12</w:t>
            </w:r>
          </w:p>
        </w:tc>
        <w:tc>
          <w:tcPr>
            <w:tcW w:w="2351" w:type="dxa"/>
            <w:shd w:val="clear" w:color="auto" w:fill="FFFFFF" w:themeFill="background1"/>
            <w:vAlign w:val="center"/>
          </w:tcPr>
          <w:p w14:paraId="03F4D3A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60BF5D7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TOP1 inhibitor</w:t>
            </w:r>
          </w:p>
        </w:tc>
      </w:tr>
      <w:tr w14:paraId="153D2E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6E4F9BEF">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Etoposide</w:t>
            </w:r>
          </w:p>
        </w:tc>
        <w:tc>
          <w:tcPr>
            <w:tcW w:w="2351" w:type="dxa"/>
            <w:shd w:val="clear" w:color="auto" w:fill="FFFFFF" w:themeFill="background1"/>
            <w:vAlign w:val="center"/>
          </w:tcPr>
          <w:p w14:paraId="0D3558B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-0.11</w:t>
            </w:r>
          </w:p>
        </w:tc>
        <w:tc>
          <w:tcPr>
            <w:tcW w:w="2351" w:type="dxa"/>
            <w:shd w:val="clear" w:color="auto" w:fill="FFFFFF" w:themeFill="background1"/>
            <w:vAlign w:val="center"/>
          </w:tcPr>
          <w:p w14:paraId="6179383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1AA3AC21">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TOP2 inhibitor</w:t>
            </w:r>
          </w:p>
        </w:tc>
      </w:tr>
      <w:tr w14:paraId="2B4F2E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09A69703">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Cisplatin</w:t>
            </w:r>
          </w:p>
        </w:tc>
        <w:tc>
          <w:tcPr>
            <w:tcW w:w="2351" w:type="dxa"/>
            <w:shd w:val="clear" w:color="auto" w:fill="FFFFFF" w:themeFill="background1"/>
            <w:vAlign w:val="center"/>
          </w:tcPr>
          <w:p w14:paraId="4C3F84CD">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-0.10</w:t>
            </w:r>
          </w:p>
        </w:tc>
        <w:tc>
          <w:tcPr>
            <w:tcW w:w="2351" w:type="dxa"/>
            <w:shd w:val="clear" w:color="auto" w:fill="FFFFFF" w:themeFill="background1"/>
            <w:vAlign w:val="center"/>
          </w:tcPr>
          <w:p w14:paraId="1EFB7BA4">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77896663">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DNA crosslinker</w:t>
            </w:r>
          </w:p>
        </w:tc>
      </w:tr>
      <w:tr w14:paraId="17EA21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78146A76">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5-Fluorouracil</w:t>
            </w:r>
          </w:p>
        </w:tc>
        <w:tc>
          <w:tcPr>
            <w:tcW w:w="2351" w:type="dxa"/>
            <w:shd w:val="clear" w:color="auto" w:fill="FFFFFF" w:themeFill="background1"/>
            <w:vAlign w:val="center"/>
          </w:tcPr>
          <w:p w14:paraId="306AC80A">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-0.09</w:t>
            </w:r>
          </w:p>
        </w:tc>
        <w:tc>
          <w:tcPr>
            <w:tcW w:w="2351" w:type="dxa"/>
            <w:shd w:val="clear" w:color="auto" w:fill="FFFFFF" w:themeFill="background1"/>
            <w:vAlign w:val="center"/>
          </w:tcPr>
          <w:p w14:paraId="1666353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3C45F208">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Antimetabolite</w:t>
            </w:r>
          </w:p>
        </w:tc>
      </w:tr>
      <w:tr w14:paraId="5F9664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147DF06A">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Gemcitabine</w:t>
            </w:r>
          </w:p>
        </w:tc>
        <w:tc>
          <w:tcPr>
            <w:tcW w:w="2351" w:type="dxa"/>
            <w:shd w:val="clear" w:color="auto" w:fill="FFFFFF" w:themeFill="background1"/>
            <w:vAlign w:val="center"/>
          </w:tcPr>
          <w:p w14:paraId="3046788E">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-0.08</w:t>
            </w:r>
          </w:p>
        </w:tc>
        <w:tc>
          <w:tcPr>
            <w:tcW w:w="2351" w:type="dxa"/>
            <w:shd w:val="clear" w:color="auto" w:fill="FFFFFF" w:themeFill="background1"/>
            <w:vAlign w:val="center"/>
          </w:tcPr>
          <w:p w14:paraId="480CB9A9">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07C82B5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Antimetabolite</w:t>
            </w:r>
          </w:p>
        </w:tc>
      </w:tr>
      <w:tr w14:paraId="1D8652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51" w:type="dxa"/>
            <w:shd w:val="clear" w:color="auto" w:fill="FFFFFF" w:themeFill="background1"/>
            <w:vAlign w:val="center"/>
          </w:tcPr>
          <w:p w14:paraId="46E1DCA1">
            <w:pPr>
              <w:spacing w:after="0"/>
              <w:jc w:val="left"/>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Paclitaxel</w:t>
            </w:r>
          </w:p>
        </w:tc>
        <w:tc>
          <w:tcPr>
            <w:tcW w:w="2351" w:type="dxa"/>
            <w:shd w:val="clear" w:color="auto" w:fill="FFFFFF" w:themeFill="background1"/>
            <w:vAlign w:val="center"/>
          </w:tcPr>
          <w:p w14:paraId="060B130B">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-0.07</w:t>
            </w:r>
          </w:p>
        </w:tc>
        <w:tc>
          <w:tcPr>
            <w:tcW w:w="2351" w:type="dxa"/>
            <w:shd w:val="clear" w:color="auto" w:fill="FFFFFF" w:themeFill="background1"/>
            <w:vAlign w:val="center"/>
          </w:tcPr>
          <w:p w14:paraId="7C31F906">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Sensitive</w:t>
            </w:r>
          </w:p>
        </w:tc>
        <w:tc>
          <w:tcPr>
            <w:tcW w:w="2351" w:type="dxa"/>
            <w:shd w:val="clear" w:color="auto" w:fill="FFFFFF" w:themeFill="background1"/>
            <w:vAlign w:val="center"/>
          </w:tcPr>
          <w:p w14:paraId="53A7AF10">
            <w:pPr>
              <w:spacing w:after="0"/>
              <w:jc w:val="center"/>
              <w:rPr>
                <w:rFonts w:hint="default" w:ascii="Arial" w:hAnsi="Arial" w:cs="Arial"/>
                <w:b w:val="0"/>
                <w:bCs w:val="0"/>
                <w:color w:val="auto"/>
                <w:sz w:val="24"/>
                <w:szCs w:val="24"/>
              </w:rPr>
            </w:pPr>
            <w:r>
              <w:rPr>
                <w:rFonts w:hint="default" w:ascii="Arial" w:hAnsi="Arial" w:eastAsia="Times New Roman" w:cs="Arial"/>
                <w:b w:val="0"/>
                <w:bCs w:val="0"/>
                <w:color w:val="auto"/>
                <w:sz w:val="24"/>
                <w:szCs w:val="24"/>
              </w:rPr>
              <w:t>Microtubule stabilizer</w:t>
            </w:r>
          </w:p>
        </w:tc>
      </w:tr>
    </w:tbl>
    <w:p w14:paraId="1C2000EB">
      <w:pPr>
        <w:spacing w:after="80" w:line="360" w:lineRule="auto"/>
        <w:ind w:firstLineChars="200"/>
        <w:rPr>
          <w:rFonts w:hint="default" w:ascii="Arial" w:hAnsi="Arial" w:cs="Arial"/>
          <w:b w:val="0"/>
          <w:bCs w:val="0"/>
          <w:color w:val="auto"/>
          <w:sz w:val="24"/>
          <w:szCs w:val="24"/>
        </w:rPr>
      </w:pPr>
      <w:r>
        <w:rPr>
          <w:rFonts w:hint="default" w:ascii="Arial" w:hAnsi="Arial" w:eastAsia="Times New Roman" w:cs="Arial"/>
          <w:b w:val="0"/>
          <w:bCs w:val="0"/>
          <w:i/>
          <w:color w:val="auto"/>
          <w:sz w:val="24"/>
          <w:szCs w:val="24"/>
        </w:rPr>
        <w:t>Notes: Pearson r represents the correlation between predicted IC50 and RiskScore. Positive r = higher IC50 in high-risk group (resistance). Negative r = lower IC50 in high-risk group (sensitivity). Drug sensitivity was predicted using oncoPredict R package (v1.2) trained on GDSC2 data.</w:t>
      </w:r>
    </w:p>
    <w:p w14:paraId="63A85E4A">
      <w:pPr>
        <w:jc w:val="center"/>
        <w:rPr>
          <w:rFonts w:hint="default" w:ascii="Arial" w:hAnsi="Arial" w:cs="Arial"/>
          <w:b w:val="0"/>
          <w:bCs w:val="0"/>
          <w:color w:val="auto"/>
          <w:sz w:val="24"/>
          <w:szCs w:val="24"/>
        </w:rPr>
      </w:pPr>
    </w:p>
    <w:sectPr>
      <w:pgSz w:w="12240" w:h="15840"/>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604C61"/>
    <w:rsid w:val="46DD7837"/>
    <w:rsid w:val="69B27CC8"/>
    <w:rsid w:val="6A205FB9"/>
    <w:rsid w:val="743F675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qFormat="1" w:uiPriority="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60" w:lineRule="auto"/>
    </w:pPr>
    <w:rPr>
      <w:rFonts w:ascii="Times New Roman" w:hAnsi="Times New Roman" w:eastAsia="宋体" w:cs="Times New Roman"/>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Block Text"/>
    <w:basedOn w:val="19"/>
    <w:next w:val="19"/>
    <w:unhideWhenUsed/>
    <w:qFormat/>
    <w:uiPriority w:val="9"/>
    <w:pPr>
      <w:spacing w:before="100" w:after="100"/>
      <w:ind w:left="480" w:right="480"/>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9"/>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numbering" Target="numbering.xml"/><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tiff"/><Relationship Id="rId16" Type="http://schemas.openxmlformats.org/officeDocument/2006/relationships/image" Target="media/image11.png"/><Relationship Id="rId15" Type="http://schemas.openxmlformats.org/officeDocument/2006/relationships/image" Target="media/image10.tiff"/><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1586</Words>
  <Characters>9890</Characters>
  <Lines>0</Lines>
  <Paragraphs>0</Paragraphs>
  <TotalTime>0</TotalTime>
  <ScaleCrop>false</ScaleCrop>
  <LinksUpToDate>false</LinksUpToDate>
  <CharactersWithSpaces>11200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隅悠</cp:lastModifiedBy>
  <dcterms:modified xsi:type="dcterms:W3CDTF">2026-08-16T11:57:30Z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eyJoZGlkIjoiOTJhOGY0N2FhN2ZjNjc2ZjlkMmEwZDNlZWNmZmU2OGEiLCJ1c2VySWQiOiIzNjcxMDc1MjMifQ==</vt:lpwstr>
  </property>
  <property fmtid="{D5CDD505-2E9C-101B-9397-08002B2CF9AE}" pid="3" name="KSOProductBuildVer">
    <vt:lpwstr>2052-12.1.0.26895</vt:lpwstr>
  </property>
  <property fmtid="{D5CDD505-2E9C-101B-9397-08002B2CF9AE}" pid="4" name="ICV">
    <vt:lpwstr>BF1B5970C5494F4E9443CF26994AA7A1_12</vt:lpwstr>
  </property>
</Properties>
</file>