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A9876" w14:textId="4A49F806" w:rsidR="00F87098" w:rsidRPr="00F87098" w:rsidRDefault="00F87098" w:rsidP="00F87098">
      <w:pPr>
        <w:pStyle w:val="1"/>
        <w:jc w:val="center"/>
        <w:rPr>
          <w:rFonts w:ascii="Times New Roman" w:hAnsi="Times New Roman" w:cs="Times New Roman"/>
          <w:color w:val="auto"/>
          <w:sz w:val="52"/>
          <w:szCs w:val="52"/>
        </w:rPr>
      </w:pPr>
      <w:r w:rsidRPr="00F87098">
        <w:rPr>
          <w:rFonts w:ascii="Times New Roman" w:hAnsi="Times New Roman" w:cs="Times New Roman"/>
          <w:color w:val="auto"/>
          <w:sz w:val="52"/>
          <w:szCs w:val="52"/>
        </w:rPr>
        <w:t>S</w:t>
      </w:r>
      <w:r w:rsidRPr="00F87098">
        <w:rPr>
          <w:rFonts w:ascii="Times New Roman" w:hAnsi="Times New Roman" w:cs="Times New Roman" w:hint="eastAsia"/>
          <w:color w:val="auto"/>
          <w:sz w:val="52"/>
          <w:szCs w:val="52"/>
        </w:rPr>
        <w:t>upplementary Materials</w:t>
      </w:r>
    </w:p>
    <w:p w14:paraId="30DA5B42" w14:textId="12BCC930" w:rsidR="00D1012C" w:rsidRPr="00F87098" w:rsidRDefault="00D1012C" w:rsidP="00F87098">
      <w:pPr>
        <w:pStyle w:val="1"/>
        <w:rPr>
          <w:rFonts w:ascii="Times New Roman" w:hAnsi="Times New Roman" w:cs="Times New Roman"/>
          <w:color w:val="auto"/>
        </w:rPr>
      </w:pPr>
      <w:r w:rsidRPr="00E22618">
        <w:rPr>
          <w:rFonts w:ascii="Times New Roman" w:hAnsi="Times New Roman" w:cs="Times New Roman"/>
          <w:color w:val="auto"/>
        </w:rPr>
        <w:t>Appendix A</w:t>
      </w:r>
    </w:p>
    <w:p w14:paraId="2918F221" w14:textId="7E104513" w:rsidR="00E22618" w:rsidRPr="00E22618" w:rsidRDefault="00E22618" w:rsidP="00E22618">
      <w:pPr>
        <w:jc w:val="center"/>
        <w:rPr>
          <w:rFonts w:ascii="Times New Roman" w:hAnsi="Times New Roman" w:cs="Times New Roman"/>
        </w:rPr>
      </w:pPr>
      <w:r w:rsidRPr="00E22618">
        <w:rPr>
          <w:rFonts w:ascii="Times New Roman" w:hAnsi="Times New Roman" w:cs="Times New Roman"/>
        </w:rPr>
        <w:t>Table 1. Measurement Methods of Explanatory Variables</w:t>
      </w:r>
    </w:p>
    <w:tbl>
      <w:tblPr>
        <w:tblStyle w:val="41"/>
        <w:tblW w:w="8814" w:type="dxa"/>
        <w:tblBorders>
          <w:top w:val="single" w:sz="4" w:space="0" w:color="auto"/>
          <w:bottom w:val="single" w:sz="4" w:space="0" w:color="auto"/>
        </w:tblBorders>
        <w:tblLook w:val="04A0" w:firstRow="1" w:lastRow="0" w:firstColumn="1" w:lastColumn="0" w:noHBand="0" w:noVBand="1"/>
      </w:tblPr>
      <w:tblGrid>
        <w:gridCol w:w="1376"/>
        <w:gridCol w:w="1487"/>
        <w:gridCol w:w="3369"/>
        <w:gridCol w:w="2582"/>
      </w:tblGrid>
      <w:tr w:rsidR="00E22618" w:rsidRPr="0034117A" w14:paraId="35F07EEC" w14:textId="77777777" w:rsidTr="00952A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76" w:type="dxa"/>
            <w:tcBorders>
              <w:bottom w:val="single" w:sz="4" w:space="0" w:color="auto"/>
            </w:tcBorders>
            <w:vAlign w:val="center"/>
          </w:tcPr>
          <w:p w14:paraId="43EBBA75" w14:textId="77777777" w:rsidR="00D1012C" w:rsidRPr="0034117A" w:rsidRDefault="00D1012C" w:rsidP="00952AA8">
            <w:pPr>
              <w:widowControl/>
              <w:rPr>
                <w:sz w:val="18"/>
                <w:szCs w:val="18"/>
              </w:rPr>
            </w:pPr>
            <w:bookmarkStart w:id="0" w:name="_Hlk193274540"/>
            <w:bookmarkStart w:id="1" w:name="_Hlk190511531"/>
            <w:r w:rsidRPr="0034117A">
              <w:rPr>
                <w:sz w:val="18"/>
                <w:szCs w:val="18"/>
              </w:rPr>
              <w:t>Theory</w:t>
            </w:r>
          </w:p>
        </w:tc>
        <w:tc>
          <w:tcPr>
            <w:tcW w:w="1487" w:type="dxa"/>
            <w:tcBorders>
              <w:bottom w:val="single" w:sz="4" w:space="0" w:color="auto"/>
            </w:tcBorders>
            <w:vAlign w:val="center"/>
          </w:tcPr>
          <w:p w14:paraId="455CFF48" w14:textId="77777777" w:rsidR="00D1012C" w:rsidRPr="0034117A" w:rsidRDefault="00D1012C" w:rsidP="00952AA8">
            <w:pPr>
              <w:widowControl/>
              <w:cnfStyle w:val="100000000000" w:firstRow="1" w:lastRow="0" w:firstColumn="0" w:lastColumn="0" w:oddVBand="0" w:evenVBand="0" w:oddHBand="0" w:evenHBand="0" w:firstRowFirstColumn="0" w:firstRowLastColumn="0" w:lastRowFirstColumn="0" w:lastRowLastColumn="0"/>
              <w:rPr>
                <w:sz w:val="18"/>
                <w:szCs w:val="18"/>
              </w:rPr>
            </w:pPr>
            <w:r w:rsidRPr="0034117A">
              <w:rPr>
                <w:sz w:val="18"/>
                <w:szCs w:val="18"/>
              </w:rPr>
              <w:t>Variable Name</w:t>
            </w:r>
          </w:p>
        </w:tc>
        <w:tc>
          <w:tcPr>
            <w:tcW w:w="3369" w:type="dxa"/>
            <w:tcBorders>
              <w:bottom w:val="single" w:sz="4" w:space="0" w:color="auto"/>
            </w:tcBorders>
            <w:vAlign w:val="center"/>
          </w:tcPr>
          <w:p w14:paraId="1BBA52C3" w14:textId="77777777" w:rsidR="00D1012C" w:rsidRPr="0034117A" w:rsidRDefault="00D1012C" w:rsidP="00952AA8">
            <w:pPr>
              <w:widowControl/>
              <w:cnfStyle w:val="100000000000" w:firstRow="1" w:lastRow="0" w:firstColumn="0" w:lastColumn="0" w:oddVBand="0" w:evenVBand="0" w:oddHBand="0" w:evenHBand="0" w:firstRowFirstColumn="0" w:firstRowLastColumn="0" w:lastRowFirstColumn="0" w:lastRowLastColumn="0"/>
              <w:rPr>
                <w:sz w:val="18"/>
                <w:szCs w:val="18"/>
              </w:rPr>
            </w:pPr>
            <w:r w:rsidRPr="0034117A">
              <w:rPr>
                <w:sz w:val="18"/>
                <w:szCs w:val="18"/>
              </w:rPr>
              <w:t>Measurement Method</w:t>
            </w:r>
            <w:r w:rsidRPr="0034117A">
              <w:rPr>
                <w:sz w:val="18"/>
                <w:szCs w:val="18"/>
              </w:rPr>
              <w:tab/>
            </w:r>
          </w:p>
        </w:tc>
        <w:tc>
          <w:tcPr>
            <w:tcW w:w="2582" w:type="dxa"/>
            <w:tcBorders>
              <w:bottom w:val="single" w:sz="4" w:space="0" w:color="auto"/>
            </w:tcBorders>
            <w:vAlign w:val="center"/>
          </w:tcPr>
          <w:p w14:paraId="5605C201" w14:textId="77777777" w:rsidR="00D1012C" w:rsidRPr="0034117A" w:rsidRDefault="00D1012C" w:rsidP="00952AA8">
            <w:pPr>
              <w:widowControl/>
              <w:cnfStyle w:val="100000000000" w:firstRow="1" w:lastRow="0" w:firstColumn="0" w:lastColumn="0" w:oddVBand="0" w:evenVBand="0" w:oddHBand="0" w:evenHBand="0" w:firstRowFirstColumn="0" w:firstRowLastColumn="0" w:lastRowFirstColumn="0" w:lastRowLastColumn="0"/>
              <w:rPr>
                <w:sz w:val="18"/>
                <w:szCs w:val="18"/>
              </w:rPr>
            </w:pPr>
            <w:r w:rsidRPr="0034117A">
              <w:rPr>
                <w:sz w:val="18"/>
                <w:szCs w:val="18"/>
              </w:rPr>
              <w:t>Reference literature</w:t>
            </w:r>
          </w:p>
        </w:tc>
      </w:tr>
      <w:bookmarkEnd w:id="0"/>
      <w:tr w:rsidR="00E22618" w:rsidRPr="0034117A" w14:paraId="7B3DBE3F" w14:textId="77777777" w:rsidTr="00952AA8">
        <w:trPr>
          <w:trHeight w:val="1155"/>
        </w:trPr>
        <w:tc>
          <w:tcPr>
            <w:cnfStyle w:val="001000000000" w:firstRow="0" w:lastRow="0" w:firstColumn="1" w:lastColumn="0" w:oddVBand="0" w:evenVBand="0" w:oddHBand="0" w:evenHBand="0" w:firstRowFirstColumn="0" w:firstRowLastColumn="0" w:lastRowFirstColumn="0" w:lastRowLastColumn="0"/>
            <w:tcW w:w="1376" w:type="dxa"/>
            <w:vMerge w:val="restart"/>
            <w:tcBorders>
              <w:top w:val="single" w:sz="4" w:space="0" w:color="auto"/>
            </w:tcBorders>
            <w:vAlign w:val="center"/>
          </w:tcPr>
          <w:p w14:paraId="6642066A" w14:textId="77777777" w:rsidR="00D1012C" w:rsidRPr="0034117A" w:rsidRDefault="00D1012C" w:rsidP="00952AA8">
            <w:pPr>
              <w:widowControl/>
              <w:rPr>
                <w:sz w:val="18"/>
                <w:szCs w:val="18"/>
              </w:rPr>
            </w:pPr>
            <w:r w:rsidRPr="0034117A">
              <w:rPr>
                <w:sz w:val="18"/>
                <w:szCs w:val="18"/>
              </w:rPr>
              <w:t>Endogenous growth theory</w:t>
            </w:r>
          </w:p>
        </w:tc>
        <w:tc>
          <w:tcPr>
            <w:tcW w:w="1487" w:type="dxa"/>
            <w:tcBorders>
              <w:top w:val="single" w:sz="4" w:space="0" w:color="auto"/>
            </w:tcBorders>
            <w:vAlign w:val="center"/>
          </w:tcPr>
          <w:p w14:paraId="0DFCF2D1"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R&amp;D Investment</w:t>
            </w:r>
            <w:r w:rsidRPr="00E22618">
              <w:rPr>
                <w:sz w:val="18"/>
                <w:szCs w:val="18"/>
              </w:rPr>
              <w:t xml:space="preserve"> (RD)</w:t>
            </w:r>
          </w:p>
        </w:tc>
        <w:tc>
          <w:tcPr>
            <w:tcW w:w="3369" w:type="dxa"/>
            <w:tcBorders>
              <w:top w:val="single" w:sz="4" w:space="0" w:color="auto"/>
            </w:tcBorders>
            <w:vAlign w:val="center"/>
          </w:tcPr>
          <w:p w14:paraId="3BFBFB64"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bookmarkStart w:id="2" w:name="OLE_LINK23"/>
            <w:r w:rsidRPr="0034117A">
              <w:rPr>
                <w:sz w:val="18"/>
                <w:szCs w:val="18"/>
              </w:rPr>
              <w:t>Measured as the proportion of government expenditure on science and technology to the total general public fiscal expenditure.</w:t>
            </w:r>
            <w:bookmarkEnd w:id="2"/>
          </w:p>
        </w:tc>
        <w:tc>
          <w:tcPr>
            <w:tcW w:w="2582" w:type="dxa"/>
            <w:tcBorders>
              <w:top w:val="single" w:sz="4" w:space="0" w:color="auto"/>
            </w:tcBorders>
            <w:vAlign w:val="center"/>
          </w:tcPr>
          <w:p w14:paraId="4CE7FF66" w14:textId="2199DC9B"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fldChar w:fldCharType="begin"/>
            </w:r>
            <w:r w:rsidR="00F87098">
              <w:rPr>
                <w:sz w:val="18"/>
                <w:szCs w:val="18"/>
              </w:rPr>
              <w:instrText xml:space="preserve"> ADDIN ZOTERO_ITEM CSL_CITATION {"citationID":"Z4xXhwqg","properties":{"formattedCitation":"(Cai et al., 2025; Tang et al., 2022)","plainCitation":"(Cai et al., 2025; Tang et al., 2022)","noteIndex":0},"citationItems":[{"id":2126,"uris":["http://zotero.org/users/8459910/items/X5PECNLR"],"itemData":{"id":2126,"type":"article-journal","container-title":"Cities","note":"publisher: Elsevier","page":"105584","source":"Google Scholar","title":"The spatial dynamics of financial expenditure on science and technology in Chinese cities: Financial capacity and government competition","title-short":"The spatial dynamics of financial expenditure on science and technology in Chinese cities","volume":"156","author":[{"family":"Cai","given":"Yonglong"},{"family":"Yan","given":"Di"},{"family":"Li","given":"Wenhui"},{"family":"Liu","given":"Song"}],"issued":{"date-parts":[["2025"]]}}},{"id":2120,"uris":["http://zotero.org/users/8459910/items/VRNJXQEQ"],"itemData":{"id":2120,"type":"article-journal","container-title":"China Journal of Accounting Research","issue":"3","note":"publisher: Elsevier","page":"100250","source":"Google Scholar","title":"Government R&amp;D spending, fiscal instruments and corporate technological innovation","volume":"15","author":[{"family":"Tang","given":"Dapeng"},{"family":"Li","given":"Yuan"},{"family":"Zheng","given":"Hao"},{"family":"Yuan","given":"Xin"}],"issued":{"date-parts":[["2022"]]}}}],"schema":"https://github.com/citation-style-language/schema/raw/master/csl-citation.json"} </w:instrText>
            </w:r>
            <w:r w:rsidRPr="0034117A">
              <w:rPr>
                <w:sz w:val="18"/>
                <w:szCs w:val="18"/>
              </w:rPr>
              <w:fldChar w:fldCharType="separate"/>
            </w:r>
            <w:r w:rsidR="00F87098" w:rsidRPr="00F87098">
              <w:rPr>
                <w:sz w:val="18"/>
              </w:rPr>
              <w:t>(Cai et al., 2025; Tang et al., 2022)</w:t>
            </w:r>
            <w:r w:rsidRPr="0034117A">
              <w:rPr>
                <w:sz w:val="18"/>
                <w:szCs w:val="18"/>
              </w:rPr>
              <w:fldChar w:fldCharType="end"/>
            </w:r>
          </w:p>
        </w:tc>
      </w:tr>
      <w:tr w:rsidR="00E22618" w:rsidRPr="0034117A" w14:paraId="20C7AD8E" w14:textId="77777777" w:rsidTr="00952AA8">
        <w:trPr>
          <w:trHeight w:val="288"/>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0AB8810F" w14:textId="77777777" w:rsidR="00D1012C" w:rsidRPr="0034117A" w:rsidRDefault="00D1012C" w:rsidP="00952AA8">
            <w:pPr>
              <w:widowControl/>
              <w:rPr>
                <w:sz w:val="18"/>
                <w:szCs w:val="18"/>
              </w:rPr>
            </w:pPr>
            <w:bookmarkStart w:id="3" w:name="_Hlk192942382"/>
          </w:p>
        </w:tc>
        <w:tc>
          <w:tcPr>
            <w:tcW w:w="1487" w:type="dxa"/>
            <w:vAlign w:val="center"/>
          </w:tcPr>
          <w:p w14:paraId="633BCDD3"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Human Capital</w:t>
            </w:r>
            <w:r w:rsidRPr="00E22618">
              <w:rPr>
                <w:sz w:val="18"/>
                <w:szCs w:val="18"/>
              </w:rPr>
              <w:t xml:space="preserve"> (</w:t>
            </w:r>
            <w:r w:rsidRPr="00E22618">
              <w:rPr>
                <w:rStyle w:val="10"/>
                <w:rFonts w:ascii="Times New Roman" w:hAnsi="Times New Roman" w:cs="Times New Roman"/>
                <w:color w:val="auto"/>
                <w:sz w:val="20"/>
                <w:szCs w:val="20"/>
              </w:rPr>
              <w:t>HC</w:t>
            </w:r>
            <w:r w:rsidRPr="00E22618">
              <w:rPr>
                <w:sz w:val="18"/>
                <w:szCs w:val="18"/>
              </w:rPr>
              <w:t>)</w:t>
            </w:r>
          </w:p>
        </w:tc>
        <w:tc>
          <w:tcPr>
            <w:tcW w:w="3369" w:type="dxa"/>
            <w:vAlign w:val="center"/>
          </w:tcPr>
          <w:p w14:paraId="08540C65"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Estimated using the average years of schooling in each city, calculated based on data from the fifth, sixth, and seventh national censuses. Missing values for intermediate years are linearly interpolated.</w:t>
            </w:r>
          </w:p>
        </w:tc>
        <w:tc>
          <w:tcPr>
            <w:tcW w:w="2582" w:type="dxa"/>
            <w:vAlign w:val="center"/>
          </w:tcPr>
          <w:p w14:paraId="1B6C3205"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fldChar w:fldCharType="begin"/>
            </w:r>
            <w:r w:rsidRPr="0034117A">
              <w:rPr>
                <w:sz w:val="18"/>
                <w:szCs w:val="18"/>
              </w:rPr>
              <w:instrText xml:space="preserve"> ADDIN ZOTERO_ITEM CSL_CITATION {"citationID":"7aIBQQzL","properties":{"formattedCitation":"(Rodr\\uc0\\u237{}guez-Pose et al., 2021)","plainCitation":"(Rodríguez-Pose et al., 2021)","noteIndex":0},"citationItems":[{"id":72,"uris":["http://zotero.org/users/8459910/items/QYVA58U5"],"itemData":{"id":72,"type":"article-journal","abstract":"Innovation, proxied by patent applications, in China is highly territorialised. The lion's share of the country's innovation is concentrated in its richest city-regions. Less developed cities —defined as cities whose GDP per capita is below 75% of the national average— also innovate but innovate far less. And how they manage to do so is not sufficiently understood. This paper explores the processes of innovation in China's more and less developed cities. We develop an econometric analysis involving 283 Chinese cities between 2003 and 2014 to address: (a) what are the socioeconomic and structural factors that govern processes of innovation in Chinese cities? And (b) how do these factors differ between more and less developed cities? The analysis indicates that China's more and less developed cities innovate in markedly different ways. The innovation systems of China's more developed cities are more complex, integrated and mature —leveraging knowledge from R&amp;D activities, large human capital endowments and inter-city spillovers— than those that have emerged in the country's less developed cities. Innovation in less developed cities also suffers from the lower capacity of these cities to generate knowledge synergies.","container-title":"Applied Geography","DOI":"10.1016/j.apgeog.2021.102475","ISSN":"0143-6228","journalAbbreviation":"Applied Geography","language":"en-US","page":"102475","source":"ScienceDirect","title":"Innovating in “lagging” cities: A comparative exploration of the dynamics of innovation in Chinese cities","title-short":"Innovating in “lagging” cities","volume":"132","author":[{"family":"Rodríguez-Pose","given":"Andrés"},{"family":"Wilkie","given":"Callum"},{"family":"Zhang","given":"Min"}],"issued":{"date-parts":[["2021",7,1]]}}}],"schema":"https://github.com/citation-style-language/schema/raw/master/csl-citation.json"} </w:instrText>
            </w:r>
            <w:r w:rsidRPr="0034117A">
              <w:rPr>
                <w:sz w:val="18"/>
                <w:szCs w:val="18"/>
              </w:rPr>
              <w:fldChar w:fldCharType="separate"/>
            </w:r>
            <w:r w:rsidRPr="0034117A">
              <w:rPr>
                <w:sz w:val="18"/>
              </w:rPr>
              <w:t>(Rodríguez-Pose et al., 2021)</w:t>
            </w:r>
            <w:r w:rsidRPr="0034117A">
              <w:rPr>
                <w:sz w:val="18"/>
                <w:szCs w:val="18"/>
              </w:rPr>
              <w:fldChar w:fldCharType="end"/>
            </w:r>
          </w:p>
        </w:tc>
      </w:tr>
      <w:tr w:rsidR="00E22618" w:rsidRPr="0034117A" w14:paraId="20545E23" w14:textId="77777777" w:rsidTr="00952AA8">
        <w:trPr>
          <w:trHeight w:val="288"/>
        </w:trPr>
        <w:tc>
          <w:tcPr>
            <w:cnfStyle w:val="001000000000" w:firstRow="0" w:lastRow="0" w:firstColumn="1" w:lastColumn="0" w:oddVBand="0" w:evenVBand="0" w:oddHBand="0" w:evenHBand="0" w:firstRowFirstColumn="0" w:firstRowLastColumn="0" w:lastRowFirstColumn="0" w:lastRowLastColumn="0"/>
            <w:tcW w:w="1376" w:type="dxa"/>
            <w:vMerge w:val="restart"/>
            <w:vAlign w:val="center"/>
          </w:tcPr>
          <w:p w14:paraId="2759DBDB" w14:textId="77777777" w:rsidR="00D1012C" w:rsidRPr="0034117A" w:rsidRDefault="00D1012C" w:rsidP="00952AA8">
            <w:pPr>
              <w:widowControl/>
              <w:rPr>
                <w:sz w:val="18"/>
                <w:szCs w:val="18"/>
              </w:rPr>
            </w:pPr>
            <w:bookmarkStart w:id="4" w:name="_Hlk192942411"/>
            <w:bookmarkEnd w:id="3"/>
            <w:r w:rsidRPr="0034117A">
              <w:rPr>
                <w:sz w:val="18"/>
                <w:szCs w:val="18"/>
              </w:rPr>
              <w:t>Agglomeration economics theory</w:t>
            </w:r>
          </w:p>
        </w:tc>
        <w:tc>
          <w:tcPr>
            <w:tcW w:w="1487" w:type="dxa"/>
            <w:vAlign w:val="center"/>
          </w:tcPr>
          <w:p w14:paraId="3D542E09"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Population Density</w:t>
            </w:r>
            <w:r w:rsidRPr="00E22618">
              <w:rPr>
                <w:sz w:val="18"/>
                <w:szCs w:val="18"/>
              </w:rPr>
              <w:t xml:space="preserve"> (</w:t>
            </w:r>
            <w:r w:rsidRPr="00E22618">
              <w:rPr>
                <w:rStyle w:val="10"/>
                <w:rFonts w:ascii="Times New Roman" w:hAnsi="Times New Roman" w:cs="Times New Roman"/>
                <w:color w:val="auto"/>
                <w:sz w:val="20"/>
                <w:szCs w:val="20"/>
              </w:rPr>
              <w:t>PD</w:t>
            </w:r>
            <w:r w:rsidRPr="00E22618">
              <w:rPr>
                <w:sz w:val="18"/>
                <w:szCs w:val="18"/>
              </w:rPr>
              <w:t>)</w:t>
            </w:r>
          </w:p>
        </w:tc>
        <w:tc>
          <w:tcPr>
            <w:tcW w:w="3369" w:type="dxa"/>
            <w:vAlign w:val="center"/>
          </w:tcPr>
          <w:p w14:paraId="6176E210"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Calculated as the ratio of the resident population to the total urban land area.</w:t>
            </w:r>
          </w:p>
        </w:tc>
        <w:tc>
          <w:tcPr>
            <w:tcW w:w="2582" w:type="dxa"/>
            <w:vAlign w:val="center"/>
          </w:tcPr>
          <w:p w14:paraId="28CB7501" w14:textId="7236B46E"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fldChar w:fldCharType="begin"/>
            </w:r>
            <w:r w:rsidR="00F87098">
              <w:rPr>
                <w:sz w:val="18"/>
                <w:szCs w:val="18"/>
              </w:rPr>
              <w:instrText xml:space="preserve"> ADDIN ZOTERO_ITEM CSL_CITATION {"citationID":"zwBaGGd2","properties":{"formattedCitation":"(Carlino et al., 2007; Knudsen et al., 2008)","plainCitation":"(Carlino et al., 2007; Knudsen et al., 2008)","noteIndex":0},"citationItems":[{"id":2130,"uris":["http://zotero.org/users/8459910/items/LP7MYXKD"],"itemData":{"id":2130,"type":"article-journal","container-title":"Journal of urban economics","issue":"3","note":"publisher: Elsevier","page":"389–419","source":"Google Scholar","title":"Urban density and the rate of invention","volume":"61","author":[{"family":"Carlino","given":"Gerald A."},{"family":"Chatterjee","given":"Satyajit"},{"family":"Hunt","given":"Robert M."}],"issued":{"date-parts":[["2007"]]}}},{"id":2091,"uris":["http://zotero.org/users/8459910/items/VD2LRFLY"],"itemData":{"id":2091,"type":"article-journal","abstract":"Geographers and social scientists have probed the effects of agglomeration and spatial clustering on innovation and economic growth. Economists and others have identified the role of knowledge spi...","archive_location":"world","container-title":"Taylor &amp; Francis","DOI":"10.1080/00045600701851150","language":"EN","license":"Copyright Taylor &amp; Francis Group, LLC","note":"publisher: Taylor &amp; Francis Group","source":"www.tandfonline.com","title":"Density and Creativity in U.S. Regions","URL":"https://www.tandfonline.com/doi/abs/10.1080/00045600701851150","author":[{"family":"Knudsen","given":"Brian"},{"family":"Florida","given":"Richard"},{"family":"Stolarick","given":"Kevin"},{"family":"Gates","given":"Gary"}],"accessed":{"date-parts":[["2025",3,22]]},"issued":{"date-parts":[["2008",4,15]]}}}],"schema":"https://github.com/citation-style-language/schema/raw/master/csl-citation.json"} </w:instrText>
            </w:r>
            <w:r w:rsidRPr="0034117A">
              <w:rPr>
                <w:sz w:val="18"/>
                <w:szCs w:val="18"/>
              </w:rPr>
              <w:fldChar w:fldCharType="separate"/>
            </w:r>
            <w:r w:rsidR="00F87098" w:rsidRPr="00F87098">
              <w:rPr>
                <w:sz w:val="18"/>
              </w:rPr>
              <w:t>(Carlino et al., 2007; Knudsen et al., 2008)</w:t>
            </w:r>
            <w:r w:rsidRPr="0034117A">
              <w:rPr>
                <w:sz w:val="18"/>
                <w:szCs w:val="18"/>
              </w:rPr>
              <w:fldChar w:fldCharType="end"/>
            </w:r>
          </w:p>
        </w:tc>
      </w:tr>
      <w:tr w:rsidR="00E22618" w:rsidRPr="0034117A" w14:paraId="04DF71EF" w14:textId="77777777" w:rsidTr="00952AA8">
        <w:trPr>
          <w:trHeight w:val="288"/>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5FAC3616" w14:textId="77777777" w:rsidR="00D1012C" w:rsidRPr="0034117A" w:rsidRDefault="00D1012C" w:rsidP="00952AA8">
            <w:pPr>
              <w:widowControl/>
              <w:rPr>
                <w:sz w:val="18"/>
                <w:szCs w:val="18"/>
              </w:rPr>
            </w:pPr>
            <w:bookmarkStart w:id="5" w:name="_Hlk192942448"/>
            <w:bookmarkEnd w:id="4"/>
          </w:p>
        </w:tc>
        <w:tc>
          <w:tcPr>
            <w:tcW w:w="1487" w:type="dxa"/>
            <w:vAlign w:val="center"/>
          </w:tcPr>
          <w:p w14:paraId="6CA3CDDF"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Employment Density</w:t>
            </w:r>
            <w:r w:rsidRPr="00E22618">
              <w:rPr>
                <w:sz w:val="18"/>
                <w:szCs w:val="18"/>
              </w:rPr>
              <w:t xml:space="preserve"> (</w:t>
            </w:r>
            <w:r w:rsidRPr="00E22618">
              <w:rPr>
                <w:rStyle w:val="10"/>
                <w:rFonts w:ascii="Times New Roman" w:hAnsi="Times New Roman" w:cs="Times New Roman"/>
                <w:color w:val="auto"/>
                <w:sz w:val="20"/>
                <w:szCs w:val="20"/>
              </w:rPr>
              <w:t>EMPD</w:t>
            </w:r>
            <w:r w:rsidRPr="00E22618">
              <w:rPr>
                <w:sz w:val="18"/>
                <w:szCs w:val="18"/>
              </w:rPr>
              <w:t>)</w:t>
            </w:r>
          </w:p>
        </w:tc>
        <w:tc>
          <w:tcPr>
            <w:tcW w:w="3369" w:type="dxa"/>
            <w:vAlign w:val="center"/>
          </w:tcPr>
          <w:p w14:paraId="631DC2B8"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Calculated as the number of employed individuals divided by the total urban land area.</w:t>
            </w:r>
          </w:p>
        </w:tc>
        <w:tc>
          <w:tcPr>
            <w:tcW w:w="2582" w:type="dxa"/>
            <w:vAlign w:val="center"/>
          </w:tcPr>
          <w:p w14:paraId="07C3FD77" w14:textId="7312908E"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fldChar w:fldCharType="begin"/>
            </w:r>
            <w:r w:rsidR="00F87098">
              <w:rPr>
                <w:sz w:val="18"/>
                <w:szCs w:val="18"/>
              </w:rPr>
              <w:instrText xml:space="preserve"> ADDIN ZOTERO_ITEM CSL_CITATION {"citationID":"O64k73cv","properties":{"formattedCitation":"(Carlino et al., 2007; Knudsen et al., 2008)","plainCitation":"(Carlino et al., 2007; Knudsen et al., 2008)","noteIndex":0},"citationItems":[{"id":2130,"uris":["http://zotero.org/users/8459910/items/LP7MYXKD"],"itemData":{"id":2130,"type":"article-journal","container-title":"Journal of urban economics","issue":"3","note":"publisher: Elsevier","page":"389–419","source":"Google Scholar","title":"Urban density and the rate of invention","volume":"61","author":[{"family":"Carlino","given":"Gerald A."},{"family":"Chatterjee","given":"Satyajit"},{"family":"Hunt","given":"Robert M."}],"issued":{"date-parts":[["2007"]]}}},{"id":2091,"uris":["http://zotero.org/users/8459910/items/VD2LRFLY"],"itemData":{"id":2091,"type":"article-journal","abstract":"Geographers and social scientists have probed the effects of agglomeration and spatial clustering on innovation and economic growth. Economists and others have identified the role of knowledge spi...","archive_location":"world","container-title":"Taylor &amp; Francis","DOI":"10.1080/00045600701851150","language":"EN","license":"Copyright Taylor &amp; Francis Group, LLC","note":"publisher: Taylor &amp; Francis Group","source":"www.tandfonline.com","title":"Density and Creativity in U.S. Regions","URL":"https://www.tandfonline.com/doi/abs/10.1080/00045600701851150","author":[{"family":"Knudsen","given":"Brian"},{"family":"Florida","given":"Richard"},{"family":"Stolarick","given":"Kevin"},{"family":"Gates","given":"Gary"}],"accessed":{"date-parts":[["2025",3,22]]},"issued":{"date-parts":[["2008",4,15]]}}}],"schema":"https://github.com/citation-style-language/schema/raw/master/csl-citation.json"} </w:instrText>
            </w:r>
            <w:r w:rsidRPr="0034117A">
              <w:rPr>
                <w:sz w:val="18"/>
                <w:szCs w:val="18"/>
              </w:rPr>
              <w:fldChar w:fldCharType="separate"/>
            </w:r>
            <w:r w:rsidR="00F87098" w:rsidRPr="00F87098">
              <w:rPr>
                <w:sz w:val="18"/>
              </w:rPr>
              <w:t>(Carlino et al., 2007; Knudsen et al., 2008)</w:t>
            </w:r>
            <w:r w:rsidRPr="0034117A">
              <w:rPr>
                <w:sz w:val="18"/>
                <w:szCs w:val="18"/>
              </w:rPr>
              <w:fldChar w:fldCharType="end"/>
            </w:r>
          </w:p>
        </w:tc>
      </w:tr>
      <w:tr w:rsidR="00E22618" w:rsidRPr="0034117A" w14:paraId="0EF1EE4B" w14:textId="77777777" w:rsidTr="00952AA8">
        <w:trPr>
          <w:trHeight w:val="865"/>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0B229E0B" w14:textId="77777777" w:rsidR="00D1012C" w:rsidRPr="0034117A" w:rsidRDefault="00D1012C" w:rsidP="00952AA8">
            <w:pPr>
              <w:widowControl/>
              <w:rPr>
                <w:sz w:val="18"/>
                <w:szCs w:val="18"/>
              </w:rPr>
            </w:pPr>
            <w:bookmarkStart w:id="6" w:name="_Hlk192942470"/>
            <w:bookmarkEnd w:id="5"/>
          </w:p>
        </w:tc>
        <w:tc>
          <w:tcPr>
            <w:tcW w:w="1487" w:type="dxa"/>
            <w:vAlign w:val="center"/>
          </w:tcPr>
          <w:p w14:paraId="4A15B2A9"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Economic Density</w:t>
            </w:r>
            <w:r w:rsidRPr="00E22618">
              <w:rPr>
                <w:sz w:val="18"/>
                <w:szCs w:val="18"/>
              </w:rPr>
              <w:t xml:space="preserve"> (</w:t>
            </w:r>
            <w:r w:rsidRPr="00E22618">
              <w:rPr>
                <w:rStyle w:val="10"/>
                <w:rFonts w:ascii="Times New Roman" w:hAnsi="Times New Roman" w:cs="Times New Roman"/>
                <w:color w:val="auto"/>
                <w:sz w:val="20"/>
                <w:szCs w:val="20"/>
              </w:rPr>
              <w:t>ED</w:t>
            </w:r>
            <w:r w:rsidRPr="00E22618">
              <w:rPr>
                <w:sz w:val="18"/>
                <w:szCs w:val="18"/>
              </w:rPr>
              <w:t>)</w:t>
            </w:r>
          </w:p>
        </w:tc>
        <w:tc>
          <w:tcPr>
            <w:tcW w:w="3369" w:type="dxa"/>
            <w:vAlign w:val="center"/>
          </w:tcPr>
          <w:p w14:paraId="3D73CCBE"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Measured as the ratio of GDP to the total urban land area.</w:t>
            </w:r>
          </w:p>
        </w:tc>
        <w:tc>
          <w:tcPr>
            <w:tcW w:w="2582" w:type="dxa"/>
            <w:vAlign w:val="center"/>
          </w:tcPr>
          <w:p w14:paraId="1E827C94" w14:textId="5E09A722"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fldChar w:fldCharType="begin"/>
            </w:r>
            <w:r w:rsidR="00F87098">
              <w:rPr>
                <w:sz w:val="18"/>
                <w:szCs w:val="18"/>
              </w:rPr>
              <w:instrText xml:space="preserve"> ADDIN ZOTERO_ITEM CSL_CITATION {"citationID":"WAHvUkU0","properties":{"formattedCitation":"(Andersson et al., 2016; Carlino et al., 2007; Knudsen et al., 2008)","plainCitation":"(Andersson et al., 2016; Carlino et al., 2007; Knudsen et al., 2008)","noteIndex":0},"citationItems":[{"id":2335,"uris":["http://zotero.org/users/8459910/items/VBXC7MWP"],"itemData":{"id":2335,"type":"article-journal","container-title":"Regional Studies","DOI":"10.1080/00343404.2014.968119","ISSN":"0034-3404, 1360-0591","issue":"6","journalAbbreviation":"Regional Studies","language":"en","page":"1082-1095","source":"DOI.org (Crossref)","title":"How Local are Spatial Density Externalities? Neighbourhood Effects in Agglomeration Economies","title-short":"How Local are Spatial Density Externalities?","volume":"50","author":[{"family":"Andersson","given":"Martin"},{"family":"Klaesson","given":"Johan"},{"family":"Larsson","given":"Johan P."}],"issued":{"date-parts":[["2016",6,2]]}}},{"id":2130,"uris":["http://zotero.org/users/8459910/items/LP7MYXKD"],"itemData":{"id":2130,"type":"article-journal","container-title":"Journal of urban economics","issue":"3","note":"publisher: Elsevier","page":"389–419","source":"Google Scholar","title":"Urban density and the rate of invention","volume":"61","author":[{"family":"Carlino","given":"Gerald A."},{"family":"Chatterjee","given":"Satyajit"},{"family":"Hunt","given":"Robert M."}],"issued":{"date-parts":[["2007"]]}}},{"id":2091,"uris":["http://zotero.org/users/8459910/items/VD2LRFLY"],"itemData":{"id":2091,"type":"article-journal","abstract":"Geographers and social scientists have probed the effects of agglomeration and spatial clustering on innovation and economic growth. Economists and others have identified the role of knowledge spi...","archive_location":"world","container-title":"Taylor &amp; Francis","DOI":"10.1080/00045600701851150","language":"EN","license":"Copyright Taylor &amp; Francis Group, LLC","note":"publisher: Taylor &amp; Francis Group","source":"www.tandfonline.com","title":"Density and Creativity in U.S. Regions","URL":"https://www.tandfonline.com/doi/abs/10.1080/00045600701851150","author":[{"family":"Knudsen","given":"Brian"},{"family":"Florida","given":"Richard"},{"family":"Stolarick","given":"Kevin"},{"family":"Gates","given":"Gary"}],"accessed":{"date-parts":[["2025",3,22]]},"issued":{"date-parts":[["2008",4,15]]}}}],"schema":"https://github.com/citation-style-language/schema/raw/master/csl-citation.json"} </w:instrText>
            </w:r>
            <w:r w:rsidRPr="0034117A">
              <w:rPr>
                <w:sz w:val="18"/>
                <w:szCs w:val="18"/>
              </w:rPr>
              <w:fldChar w:fldCharType="separate"/>
            </w:r>
            <w:r w:rsidR="00F87098" w:rsidRPr="00F87098">
              <w:rPr>
                <w:sz w:val="18"/>
              </w:rPr>
              <w:t>(Andersson et al., 2016; Carlino et al., 2007; Knudsen et al., 2008)</w:t>
            </w:r>
            <w:r w:rsidRPr="0034117A">
              <w:rPr>
                <w:sz w:val="18"/>
                <w:szCs w:val="18"/>
              </w:rPr>
              <w:fldChar w:fldCharType="end"/>
            </w:r>
          </w:p>
        </w:tc>
      </w:tr>
      <w:tr w:rsidR="00E22618" w:rsidRPr="0034117A" w14:paraId="1506F3DD" w14:textId="77777777" w:rsidTr="00952AA8">
        <w:trPr>
          <w:trHeight w:val="288"/>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724F7362" w14:textId="77777777" w:rsidR="00D1012C" w:rsidRPr="0034117A" w:rsidRDefault="00D1012C" w:rsidP="00952AA8">
            <w:pPr>
              <w:widowControl/>
              <w:rPr>
                <w:sz w:val="18"/>
                <w:szCs w:val="18"/>
              </w:rPr>
            </w:pPr>
            <w:bookmarkStart w:id="7" w:name="_Hlk192942486"/>
            <w:bookmarkEnd w:id="6"/>
          </w:p>
        </w:tc>
        <w:tc>
          <w:tcPr>
            <w:tcW w:w="1487" w:type="dxa"/>
            <w:vAlign w:val="center"/>
          </w:tcPr>
          <w:p w14:paraId="6D0A6305"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bookmarkStart w:id="8" w:name="OLE_LINK92"/>
            <w:r w:rsidRPr="0034117A">
              <w:rPr>
                <w:sz w:val="18"/>
                <w:szCs w:val="18"/>
              </w:rPr>
              <w:t>Specialized agglomeration</w:t>
            </w:r>
            <w:bookmarkEnd w:id="8"/>
            <w:r w:rsidRPr="00E22618">
              <w:rPr>
                <w:sz w:val="18"/>
                <w:szCs w:val="18"/>
              </w:rPr>
              <w:t xml:space="preserve"> (</w:t>
            </w:r>
            <w:r w:rsidRPr="00E22618">
              <w:rPr>
                <w:rStyle w:val="10"/>
                <w:rFonts w:ascii="Times New Roman" w:hAnsi="Times New Roman" w:cs="Times New Roman"/>
                <w:color w:val="auto"/>
                <w:sz w:val="20"/>
                <w:szCs w:val="20"/>
              </w:rPr>
              <w:t>SA</w:t>
            </w:r>
            <w:r w:rsidRPr="00E22618">
              <w:rPr>
                <w:sz w:val="18"/>
                <w:szCs w:val="18"/>
              </w:rPr>
              <w:t>)</w:t>
            </w:r>
          </w:p>
        </w:tc>
        <w:tc>
          <w:tcPr>
            <w:tcW w:w="3369" w:type="dxa"/>
            <w:vAlign w:val="center"/>
          </w:tcPr>
          <w:p w14:paraId="4285B0BA"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In this study, the Krugman Specialization Index is utilized to assess regional industrial specialization. The index is calculated as follows:</w:t>
            </w:r>
          </w:p>
          <w:p w14:paraId="1DD9976E" w14:textId="77777777" w:rsidR="00D1012C" w:rsidRPr="0034117A" w:rsidRDefault="00000000" w:rsidP="00952AA8">
            <w:pPr>
              <w:widowControl/>
              <w:cnfStyle w:val="000000000000" w:firstRow="0" w:lastRow="0" w:firstColumn="0" w:lastColumn="0" w:oddVBand="0" w:evenVBand="0" w:oddHBand="0" w:evenHBand="0" w:firstRowFirstColumn="0" w:firstRowLastColumn="0" w:lastRowFirstColumn="0" w:lastRowLastColumn="0"/>
              <w:rPr>
                <w:sz w:val="18"/>
                <w:szCs w:val="18"/>
              </w:rPr>
            </w:pPr>
            <m:oMathPara>
              <m:oMath>
                <m:sSub>
                  <m:sSubPr>
                    <m:ctrlPr>
                      <w:rPr>
                        <w:rFonts w:ascii="Cambria Math" w:hAnsi="Cambria Math"/>
                        <w:i/>
                        <w:sz w:val="18"/>
                        <w:szCs w:val="18"/>
                      </w:rPr>
                    </m:ctrlPr>
                  </m:sSubPr>
                  <m:e>
                    <m:r>
                      <w:rPr>
                        <w:rFonts w:ascii="Cambria Math" w:hAnsi="Cambria Math"/>
                        <w:sz w:val="18"/>
                        <w:szCs w:val="18"/>
                      </w:rPr>
                      <m:t>Spe</m:t>
                    </m:r>
                  </m:e>
                  <m:sub>
                    <m:r>
                      <w:rPr>
                        <w:rFonts w:ascii="Cambria Math" w:hAnsi="Cambria Math"/>
                        <w:sz w:val="18"/>
                        <w:szCs w:val="18"/>
                      </w:rPr>
                      <m:t>it</m:t>
                    </m:r>
                  </m:sub>
                </m:sSub>
                <m:r>
                  <w:rPr>
                    <w:rFonts w:ascii="Cambria Math" w:hAnsi="Cambria Math"/>
                    <w:sz w:val="18"/>
                    <w:szCs w:val="18"/>
                  </w:rPr>
                  <m:t>=</m:t>
                </m:r>
                <m:nary>
                  <m:naryPr>
                    <m:chr m:val="∑"/>
                    <m:limLoc m:val="subSup"/>
                    <m:ctrlPr>
                      <w:rPr>
                        <w:rFonts w:ascii="Cambria Math" w:hAnsi="Cambria Math"/>
                        <w:i/>
                        <w:sz w:val="18"/>
                        <w:szCs w:val="18"/>
                      </w:rPr>
                    </m:ctrlPr>
                  </m:naryPr>
                  <m:sub>
                    <m:r>
                      <w:rPr>
                        <w:rFonts w:ascii="Cambria Math" w:hAnsi="Cambria Math"/>
                        <w:sz w:val="18"/>
                        <w:szCs w:val="18"/>
                      </w:rPr>
                      <m:t>n=1</m:t>
                    </m:r>
                  </m:sub>
                  <m:sup>
                    <m:r>
                      <w:rPr>
                        <w:rFonts w:ascii="Cambria Math" w:hAnsi="Cambria Math"/>
                        <w:sz w:val="18"/>
                        <w:szCs w:val="18"/>
                      </w:rPr>
                      <m:t>N</m:t>
                    </m:r>
                  </m:sup>
                  <m:e>
                    <m:d>
                      <m:dPr>
                        <m:begChr m:val="|"/>
                        <m:endChr m:val="|"/>
                        <m:ctrlPr>
                          <w:rPr>
                            <w:rFonts w:ascii="Cambria Math" w:hAnsi="Cambria Math"/>
                            <w:i/>
                            <w:sz w:val="18"/>
                            <w:szCs w:val="18"/>
                          </w:rPr>
                        </m:ctrlPr>
                      </m:dPr>
                      <m:e>
                        <m:f>
                          <m:fPr>
                            <m:ctrlPr>
                              <w:rPr>
                                <w:rFonts w:ascii="Cambria Math" w:hAnsi="Cambria Math"/>
                                <w:i/>
                                <w:sz w:val="18"/>
                                <w:szCs w:val="18"/>
                              </w:rPr>
                            </m:ctrlPr>
                          </m:fPr>
                          <m:num>
                            <m:sSub>
                              <m:sSubPr>
                                <m:ctrlPr>
                                  <w:rPr>
                                    <w:rFonts w:ascii="Cambria Math" w:hAnsi="Cambria Math"/>
                                    <w:i/>
                                    <w:sz w:val="18"/>
                                    <w:szCs w:val="18"/>
                                  </w:rPr>
                                </m:ctrlPr>
                              </m:sSubPr>
                              <m:e>
                                <w:bookmarkStart w:id="9" w:name="OLE_LINK90"/>
                                <m:r>
                                  <w:rPr>
                                    <w:rFonts w:ascii="Cambria Math" w:hAnsi="Cambria Math"/>
                                    <w:sz w:val="18"/>
                                    <w:szCs w:val="18"/>
                                  </w:rPr>
                                  <m:t>E</m:t>
                                </m:r>
                              </m:e>
                              <m:sub>
                                <m:r>
                                  <w:rPr>
                                    <w:rFonts w:ascii="Cambria Math" w:hAnsi="Cambria Math"/>
                                    <w:sz w:val="18"/>
                                    <w:szCs w:val="18"/>
                                  </w:rPr>
                                  <m:t>int</m:t>
                                </m:r>
                                <w:bookmarkEnd w:id="9"/>
                              </m:sub>
                            </m:sSub>
                          </m:num>
                          <m:den>
                            <w:bookmarkStart w:id="10" w:name="OLE_LINK91"/>
                            <m:nary>
                              <m:naryPr>
                                <m:chr m:val="∑"/>
                                <m:limLoc m:val="subSup"/>
                                <m:ctrlPr>
                                  <w:rPr>
                                    <w:rFonts w:ascii="Cambria Math" w:hAnsi="Cambria Math"/>
                                    <w:i/>
                                    <w:sz w:val="18"/>
                                    <w:szCs w:val="18"/>
                                  </w:rPr>
                                </m:ctrlPr>
                              </m:naryPr>
                              <m:sub>
                                <m:r>
                                  <w:rPr>
                                    <w:rFonts w:ascii="Cambria Math" w:hAnsi="Cambria Math"/>
                                    <w:sz w:val="18"/>
                                    <w:szCs w:val="18"/>
                                  </w:rPr>
                                  <m:t>n=1</m:t>
                                </m:r>
                              </m:sub>
                              <m:sup>
                                <m:r>
                                  <w:rPr>
                                    <w:rFonts w:ascii="Cambria Math" w:hAnsi="Cambria Math"/>
                                    <w:sz w:val="18"/>
                                    <w:szCs w:val="18"/>
                                  </w:rPr>
                                  <m:t>N</m:t>
                                </m:r>
                              </m:sup>
                              <m:e>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int</m:t>
                                    </m:r>
                                  </m:sub>
                                </m:sSub>
                              </m:e>
                            </m:nary>
                            <w:bookmarkEnd w:id="10"/>
                          </m:den>
                        </m:f>
                        <m:r>
                          <w:rPr>
                            <w:rFonts w:ascii="Cambria Math" w:hAnsi="Cambria Math"/>
                            <w:sz w:val="18"/>
                            <w:szCs w:val="18"/>
                          </w:rPr>
                          <m:t>-</m:t>
                        </m:r>
                        <m:f>
                          <m:fPr>
                            <m:ctrlPr>
                              <w:rPr>
                                <w:rFonts w:ascii="Cambria Math" w:hAnsi="Cambria Math"/>
                                <w:i/>
                                <w:sz w:val="18"/>
                                <w:szCs w:val="18"/>
                              </w:rPr>
                            </m:ctrlPr>
                          </m:fPr>
                          <m:num>
                            <m:nary>
                              <m:naryPr>
                                <m:chr m:val="∑"/>
                                <m:limLoc m:val="subSup"/>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m</m:t>
                                </m:r>
                              </m:sup>
                              <m:e>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int</m:t>
                                    </m:r>
                                  </m:sub>
                                </m:sSub>
                              </m:e>
                            </m:nary>
                          </m:num>
                          <m:den>
                            <m:nary>
                              <m:naryPr>
                                <m:chr m:val="∑"/>
                                <m:limLoc m:val="subSup"/>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m</m:t>
                                </m:r>
                              </m:sup>
                              <m:e/>
                            </m:nary>
                            <m:nary>
                              <m:naryPr>
                                <m:chr m:val="∑"/>
                                <m:limLoc m:val="subSup"/>
                                <m:ctrlPr>
                                  <w:rPr>
                                    <w:rFonts w:ascii="Cambria Math" w:hAnsi="Cambria Math"/>
                                    <w:i/>
                                    <w:sz w:val="18"/>
                                    <w:szCs w:val="18"/>
                                  </w:rPr>
                                </m:ctrlPr>
                              </m:naryPr>
                              <m:sub>
                                <m:r>
                                  <w:rPr>
                                    <w:rFonts w:ascii="Cambria Math" w:hAnsi="Cambria Math"/>
                                    <w:sz w:val="18"/>
                                    <w:szCs w:val="18"/>
                                  </w:rPr>
                                  <m:t>n=1</m:t>
                                </m:r>
                              </m:sub>
                              <m:sup>
                                <m:r>
                                  <w:rPr>
                                    <w:rFonts w:ascii="Cambria Math" w:hAnsi="Cambria Math"/>
                                    <w:sz w:val="18"/>
                                    <w:szCs w:val="18"/>
                                  </w:rPr>
                                  <m:t>N</m:t>
                                </m:r>
                              </m:sup>
                              <m:e>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int</m:t>
                                    </m:r>
                                  </m:sub>
                                </m:sSub>
                              </m:e>
                            </m:nary>
                          </m:den>
                        </m:f>
                      </m:e>
                    </m:d>
                  </m:e>
                </m:nary>
              </m:oMath>
            </m:oMathPara>
          </w:p>
          <w:p w14:paraId="3F9311DB"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 xml:space="preserve">where </w:t>
            </w:r>
            <m:oMath>
              <m:sSub>
                <m:sSubPr>
                  <m:ctrlPr>
                    <w:rPr>
                      <w:rFonts w:ascii="Cambria Math" w:hAnsi="Cambria Math"/>
                      <w:sz w:val="18"/>
                      <w:szCs w:val="18"/>
                    </w:rPr>
                  </m:ctrlPr>
                </m:sSubPr>
                <m:e>
                  <m:r>
                    <w:rPr>
                      <w:rFonts w:ascii="Cambria Math" w:hAnsi="Cambria Math"/>
                      <w:sz w:val="18"/>
                      <w:szCs w:val="18"/>
                    </w:rPr>
                    <m:t>Spe</m:t>
                  </m:r>
                </m:e>
                <m:sub>
                  <m:r>
                    <w:rPr>
                      <w:rFonts w:ascii="Cambria Math" w:hAnsi="Cambria Math"/>
                      <w:sz w:val="18"/>
                      <w:szCs w:val="18"/>
                    </w:rPr>
                    <m:t>it</m:t>
                  </m:r>
                </m:sub>
              </m:sSub>
            </m:oMath>
            <w:r w:rsidRPr="0034117A">
              <w:rPr>
                <w:sz w:val="18"/>
                <w:szCs w:val="18"/>
              </w:rPr>
              <w:t xml:space="preserve"> represents the specialized agglomeration level of city </w:t>
            </w:r>
            <m:oMath>
              <m:r>
                <w:rPr>
                  <w:rFonts w:ascii="Cambria Math" w:hAnsi="Cambria Math"/>
                  <w:sz w:val="18"/>
                  <w:szCs w:val="18"/>
                </w:rPr>
                <m:t>i</m:t>
              </m:r>
            </m:oMath>
            <w:r w:rsidRPr="0034117A">
              <w:rPr>
                <w:sz w:val="18"/>
                <w:szCs w:val="18"/>
              </w:rPr>
              <w:t xml:space="preserve"> in year </w:t>
            </w:r>
            <m:oMath>
              <m:r>
                <w:rPr>
                  <w:rFonts w:ascii="Cambria Math" w:hAnsi="Cambria Math"/>
                  <w:sz w:val="18"/>
                  <w:szCs w:val="18"/>
                </w:rPr>
                <m:t>t</m:t>
              </m:r>
            </m:oMath>
            <w:r w:rsidRPr="0034117A">
              <w:rPr>
                <w:sz w:val="18"/>
                <w:szCs w:val="18"/>
              </w:rPr>
              <w:t xml:space="preserve">, </w:t>
            </w:r>
            <m:oMath>
              <m:sSub>
                <m:sSubPr>
                  <m:ctrlPr>
                    <w:rPr>
                      <w:rFonts w:ascii="Cambria Math" w:hAnsi="Cambria Math"/>
                      <w:sz w:val="18"/>
                      <w:szCs w:val="18"/>
                    </w:rPr>
                  </m:ctrlPr>
                </m:sSubPr>
                <m:e>
                  <m:r>
                    <w:rPr>
                      <w:rFonts w:ascii="Cambria Math" w:hAnsi="Cambria Math"/>
                      <w:sz w:val="18"/>
                      <w:szCs w:val="18"/>
                    </w:rPr>
                    <m:t>E</m:t>
                  </m:r>
                </m:e>
                <m:sub>
                  <m:r>
                    <w:rPr>
                      <w:rFonts w:ascii="Cambria Math" w:hAnsi="Cambria Math"/>
                      <w:sz w:val="18"/>
                      <w:szCs w:val="18"/>
                    </w:rPr>
                    <m:t>int</m:t>
                  </m:r>
                </m:sub>
              </m:sSub>
            </m:oMath>
            <w:r w:rsidRPr="0034117A">
              <w:rPr>
                <w:sz w:val="18"/>
                <w:szCs w:val="18"/>
              </w:rPr>
              <w:t xml:space="preserve"> denotes the employment in industry </w:t>
            </w:r>
            <m:oMath>
              <m:r>
                <w:rPr>
                  <w:rFonts w:ascii="Cambria Math" w:hAnsi="Cambria Math"/>
                  <w:sz w:val="18"/>
                  <w:szCs w:val="18"/>
                </w:rPr>
                <m:t>n</m:t>
              </m:r>
            </m:oMath>
            <w:r w:rsidRPr="0034117A">
              <w:rPr>
                <w:sz w:val="18"/>
                <w:szCs w:val="18"/>
              </w:rPr>
              <w:t xml:space="preserve"> of city </w:t>
            </w:r>
            <m:oMath>
              <m:r>
                <w:rPr>
                  <w:rFonts w:ascii="Cambria Math" w:hAnsi="Cambria Math"/>
                  <w:sz w:val="18"/>
                  <w:szCs w:val="18"/>
                </w:rPr>
                <m:t>i</m:t>
              </m:r>
            </m:oMath>
            <w:r w:rsidRPr="0034117A">
              <w:rPr>
                <w:sz w:val="18"/>
                <w:szCs w:val="18"/>
              </w:rPr>
              <w:t xml:space="preserve"> in year </w:t>
            </w:r>
            <m:oMath>
              <m:r>
                <w:rPr>
                  <w:rFonts w:ascii="Cambria Math" w:hAnsi="Cambria Math"/>
                  <w:sz w:val="18"/>
                  <w:szCs w:val="18"/>
                </w:rPr>
                <m:t>t</m:t>
              </m:r>
            </m:oMath>
            <w:r w:rsidRPr="0034117A">
              <w:rPr>
                <w:sz w:val="18"/>
                <w:szCs w:val="18"/>
              </w:rPr>
              <w:t xml:space="preserve">, </w:t>
            </w:r>
            <m:oMath>
              <m:r>
                <w:rPr>
                  <w:rFonts w:ascii="Cambria Math" w:hAnsi="Cambria Math"/>
                  <w:sz w:val="18"/>
                  <w:szCs w:val="18"/>
                </w:rPr>
                <m:t>N</m:t>
              </m:r>
            </m:oMath>
            <w:r w:rsidRPr="0034117A">
              <w:rPr>
                <w:sz w:val="18"/>
                <w:szCs w:val="18"/>
              </w:rPr>
              <w:t xml:space="preserve"> is the total number of industry categories, and </w:t>
            </w:r>
            <m:oMath>
              <m:r>
                <w:rPr>
                  <w:rFonts w:ascii="Cambria Math" w:hAnsi="Cambria Math"/>
                  <w:sz w:val="18"/>
                  <w:szCs w:val="18"/>
                </w:rPr>
                <m:t>m</m:t>
              </m:r>
            </m:oMath>
            <w:r w:rsidRPr="0034117A">
              <w:rPr>
                <w:sz w:val="18"/>
                <w:szCs w:val="18"/>
              </w:rPr>
              <w:t xml:space="preserve"> is the total number of cities.</w:t>
            </w:r>
          </w:p>
          <w:p w14:paraId="0820CF8F"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p>
        </w:tc>
        <w:tc>
          <w:tcPr>
            <w:tcW w:w="2582" w:type="dxa"/>
            <w:vAlign w:val="center"/>
          </w:tcPr>
          <w:p w14:paraId="6DC761FC"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fldChar w:fldCharType="begin"/>
            </w:r>
            <w:r w:rsidRPr="0034117A">
              <w:rPr>
                <w:sz w:val="18"/>
                <w:szCs w:val="18"/>
              </w:rPr>
              <w:instrText xml:space="preserve"> ADDIN ZOTERO_ITEM CSL_CITATION {"citationID":"vWjCH2ON","properties":{"formattedCitation":"(Ning et al., 2016)","plainCitation":"(Ning et al., 2016)","noteIndex":0},"citationItems":[{"id":2143,"uris":["http://zotero.org/users/8459910/items/GBE6AQFA"],"itemData":{"id":2143,"type":"article-journal","container-title":"Research Policy","issue":"4","note":"publisher: Elsevier","page":"830–843","source":"Google Scholar","title":"Urban innovation, regional externalities of foreign direct investment and industrial agglomeration: Evidence from Chinese cities","title-short":"Urban innovation, regional externalities of foreign direct investment and industrial agglomeration","volume":"45","author":[{"family":"Ning","given":"Lutao"},{"family":"Wang","given":"Fan"},{"family":"Li","given":"Jian"}],"issued":{"date-parts":[["2016"]]}}}],"schema":"https://github.com/citation-style-language/schema/raw/master/csl-citation.json"} </w:instrText>
            </w:r>
            <w:r w:rsidRPr="0034117A">
              <w:rPr>
                <w:sz w:val="18"/>
                <w:szCs w:val="18"/>
              </w:rPr>
              <w:fldChar w:fldCharType="separate"/>
            </w:r>
            <w:r w:rsidRPr="0034117A">
              <w:rPr>
                <w:sz w:val="18"/>
              </w:rPr>
              <w:t>(Ning et al., 2016)</w:t>
            </w:r>
            <w:r w:rsidRPr="0034117A">
              <w:rPr>
                <w:sz w:val="18"/>
                <w:szCs w:val="18"/>
              </w:rPr>
              <w:fldChar w:fldCharType="end"/>
            </w:r>
          </w:p>
        </w:tc>
      </w:tr>
      <w:tr w:rsidR="00E22618" w:rsidRPr="0034117A" w14:paraId="694B0E89" w14:textId="77777777" w:rsidTr="00952AA8">
        <w:trPr>
          <w:trHeight w:val="288"/>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46C62DBE" w14:textId="77777777" w:rsidR="00D1012C" w:rsidRPr="0034117A" w:rsidRDefault="00D1012C" w:rsidP="00952AA8">
            <w:pPr>
              <w:widowControl/>
              <w:rPr>
                <w:sz w:val="18"/>
                <w:szCs w:val="18"/>
              </w:rPr>
            </w:pPr>
            <w:bookmarkStart w:id="11" w:name="_Hlk192942518"/>
            <w:bookmarkEnd w:id="7"/>
          </w:p>
        </w:tc>
        <w:tc>
          <w:tcPr>
            <w:tcW w:w="1487" w:type="dxa"/>
            <w:vAlign w:val="center"/>
          </w:tcPr>
          <w:p w14:paraId="3BD59E4D"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Diversified agglomeration</w:t>
            </w:r>
            <w:r w:rsidRPr="00E22618">
              <w:rPr>
                <w:sz w:val="18"/>
                <w:szCs w:val="18"/>
              </w:rPr>
              <w:t xml:space="preserve"> (</w:t>
            </w:r>
            <w:r w:rsidRPr="00E22618">
              <w:rPr>
                <w:rStyle w:val="10"/>
                <w:rFonts w:ascii="Times New Roman" w:hAnsi="Times New Roman" w:cs="Times New Roman"/>
                <w:color w:val="auto"/>
                <w:sz w:val="20"/>
                <w:szCs w:val="20"/>
              </w:rPr>
              <w:t>DA</w:t>
            </w:r>
            <w:r w:rsidRPr="00E22618">
              <w:rPr>
                <w:sz w:val="18"/>
                <w:szCs w:val="18"/>
              </w:rPr>
              <w:t>)</w:t>
            </w:r>
          </w:p>
        </w:tc>
        <w:tc>
          <w:tcPr>
            <w:tcW w:w="3369" w:type="dxa"/>
            <w:vAlign w:val="center"/>
          </w:tcPr>
          <w:p w14:paraId="0D26C65E"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To measure the level of diversified agglomeration, we employ the formula:</w:t>
            </w:r>
          </w:p>
          <w:p w14:paraId="2394C82F" w14:textId="77777777" w:rsidR="00D1012C" w:rsidRPr="0034117A" w:rsidRDefault="00000000" w:rsidP="00952AA8">
            <w:pPr>
              <w:widowControl/>
              <w:cnfStyle w:val="000000000000" w:firstRow="0" w:lastRow="0" w:firstColumn="0" w:lastColumn="0" w:oddVBand="0" w:evenVBand="0" w:oddHBand="0" w:evenHBand="0" w:firstRowFirstColumn="0" w:firstRowLastColumn="0" w:lastRowFirstColumn="0" w:lastRowLastColumn="0"/>
              <w:rPr>
                <w:sz w:val="18"/>
                <w:szCs w:val="18"/>
              </w:rPr>
            </w:pPr>
            <m:oMathPara>
              <m:oMath>
                <m:sSub>
                  <m:sSubPr>
                    <m:ctrlPr>
                      <w:rPr>
                        <w:rFonts w:ascii="Cambria Math" w:hAnsi="Cambria Math"/>
                        <w:i/>
                        <w:sz w:val="18"/>
                        <w:szCs w:val="18"/>
                      </w:rPr>
                    </m:ctrlPr>
                  </m:sSubPr>
                  <m:e>
                    <m:r>
                      <w:rPr>
                        <w:rFonts w:ascii="Cambria Math" w:hAnsi="Cambria Math"/>
                        <w:sz w:val="18"/>
                        <w:szCs w:val="18"/>
                      </w:rPr>
                      <m:t>DIV</m:t>
                    </m:r>
                  </m:e>
                  <m:sub>
                    <m:r>
                      <w:rPr>
                        <w:rFonts w:ascii="Cambria Math" w:hAnsi="Cambria Math"/>
                        <w:sz w:val="18"/>
                        <w:szCs w:val="18"/>
                      </w:rPr>
                      <m:t>i,t</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1</m:t>
                    </m:r>
                  </m:num>
                  <m:den>
                    <m:nary>
                      <m:naryPr>
                        <m:chr m:val="∑"/>
                        <m:limLoc m:val="undOvr"/>
                        <m:ctrlPr>
                          <w:rPr>
                            <w:rFonts w:ascii="Cambria Math" w:hAnsi="Cambria Math"/>
                            <w:i/>
                            <w:sz w:val="18"/>
                            <w:szCs w:val="18"/>
                          </w:rPr>
                        </m:ctrlPr>
                      </m:naryPr>
                      <m:sub>
                        <m:r>
                          <w:rPr>
                            <w:rFonts w:ascii="Cambria Math" w:hAnsi="Cambria Math"/>
                            <w:sz w:val="18"/>
                            <w:szCs w:val="18"/>
                          </w:rPr>
                          <m:t>j=1</m:t>
                        </m:r>
                      </m:sub>
                      <m:sup>
                        <m:r>
                          <w:rPr>
                            <w:rFonts w:ascii="Cambria Math" w:hAnsi="Cambria Math"/>
                            <w:sz w:val="18"/>
                            <w:szCs w:val="18"/>
                          </w:rPr>
                          <m:t>j</m:t>
                        </m:r>
                      </m:sup>
                      <m:e>
                        <m:sSup>
                          <m:sSupPr>
                            <m:ctrlPr>
                              <w:rPr>
                                <w:rFonts w:ascii="Cambria Math" w:hAnsi="Cambria Math"/>
                                <w:i/>
                                <w:sz w:val="18"/>
                                <w:szCs w:val="18"/>
                              </w:rPr>
                            </m:ctrlPr>
                          </m:sSupPr>
                          <m:e>
                            <m:d>
                              <m:dPr>
                                <m:begChr m:val="["/>
                                <m:endChr m:val="]"/>
                                <m:ctrlPr>
                                  <w:rPr>
                                    <w:rFonts w:ascii="Cambria Math" w:hAnsi="Cambria Math"/>
                                    <w:i/>
                                    <w:sz w:val="18"/>
                                    <w:szCs w:val="18"/>
                                  </w:rPr>
                                </m:ctrlPr>
                              </m:dPr>
                              <m:e>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O</m:t>
                                        </m:r>
                                      </m:e>
                                      <m:sub>
                                        <m:r>
                                          <w:rPr>
                                            <w:rFonts w:ascii="Cambria Math" w:hAnsi="Cambria Math"/>
                                            <w:sz w:val="18"/>
                                            <w:szCs w:val="18"/>
                                          </w:rPr>
                                          <m:t>ijt</m:t>
                                        </m:r>
                                      </m:sub>
                                    </m:sSub>
                                  </m:num>
                                  <m:den>
                                    <m:sSub>
                                      <m:sSubPr>
                                        <m:ctrlPr>
                                          <w:rPr>
                                            <w:rFonts w:ascii="Cambria Math" w:hAnsi="Cambria Math"/>
                                            <w:i/>
                                            <w:sz w:val="18"/>
                                            <w:szCs w:val="18"/>
                                          </w:rPr>
                                        </m:ctrlPr>
                                      </m:sSubPr>
                                      <m:e>
                                        <w:bookmarkStart w:id="12" w:name="OLE_LINK93"/>
                                        <m:r>
                                          <w:rPr>
                                            <w:rFonts w:ascii="Cambria Math" w:hAnsi="Cambria Math"/>
                                            <w:sz w:val="18"/>
                                            <w:szCs w:val="18"/>
                                          </w:rPr>
                                          <m:t>O</m:t>
                                        </m:r>
                                      </m:e>
                                      <m:sub>
                                        <m:r>
                                          <w:rPr>
                                            <w:rFonts w:ascii="Cambria Math" w:hAnsi="Cambria Math"/>
                                            <w:sz w:val="18"/>
                                            <w:szCs w:val="18"/>
                                          </w:rPr>
                                          <m:t>it</m:t>
                                        </m:r>
                                        <w:bookmarkEnd w:id="12"/>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O</m:t>
                                        </m:r>
                                      </m:e>
                                      <m:sub>
                                        <m:r>
                                          <w:rPr>
                                            <w:rFonts w:ascii="Cambria Math" w:hAnsi="Cambria Math"/>
                                            <w:sz w:val="18"/>
                                            <w:szCs w:val="18"/>
                                          </w:rPr>
                                          <m:t>ijt</m:t>
                                        </m:r>
                                      </m:sub>
                                    </m:sSub>
                                  </m:den>
                                </m:f>
                              </m:e>
                            </m:d>
                          </m:e>
                          <m:sup>
                            <m:r>
                              <w:rPr>
                                <w:rFonts w:ascii="Cambria Math" w:hAnsi="Cambria Math"/>
                                <w:sz w:val="18"/>
                                <w:szCs w:val="18"/>
                              </w:rPr>
                              <m:t>2</m:t>
                            </m:r>
                          </m:sup>
                        </m:sSup>
                      </m:e>
                    </m:nary>
                  </m:den>
                </m:f>
              </m:oMath>
            </m:oMathPara>
          </w:p>
          <w:p w14:paraId="1DD08A38"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Where,</w:t>
            </w:r>
            <m:oMath>
              <m:sSub>
                <m:sSubPr>
                  <m:ctrlPr>
                    <w:rPr>
                      <w:rFonts w:ascii="Cambria Math" w:hAnsi="Cambria Math"/>
                      <w:i/>
                      <w:sz w:val="18"/>
                      <w:szCs w:val="18"/>
                    </w:rPr>
                  </m:ctrlPr>
                </m:sSubPr>
                <m:e>
                  <m:r>
                    <w:rPr>
                      <w:rFonts w:ascii="Cambria Math" w:hAnsi="Cambria Math"/>
                      <w:sz w:val="18"/>
                      <w:szCs w:val="18"/>
                    </w:rPr>
                    <m:t>O</m:t>
                  </m:r>
                </m:e>
                <m:sub>
                  <m:r>
                    <w:rPr>
                      <w:rFonts w:ascii="Cambria Math" w:hAnsi="Cambria Math"/>
                      <w:sz w:val="18"/>
                      <w:szCs w:val="18"/>
                    </w:rPr>
                    <m:t>it</m:t>
                  </m:r>
                </m:sub>
              </m:sSub>
              <m:r>
                <w:rPr>
                  <w:rFonts w:ascii="Cambria Math" w:hAnsi="Cambria Math"/>
                  <w:sz w:val="18"/>
                  <w:szCs w:val="18"/>
                </w:rPr>
                <m:t>=</m:t>
              </m:r>
              <m:nary>
                <m:naryPr>
                  <m:chr m:val="∑"/>
                  <m:limLoc m:val="subSup"/>
                  <m:ctrlPr>
                    <w:rPr>
                      <w:rFonts w:ascii="Cambria Math" w:hAnsi="Cambria Math"/>
                      <w:i/>
                      <w:sz w:val="18"/>
                      <w:szCs w:val="18"/>
                    </w:rPr>
                  </m:ctrlPr>
                </m:naryPr>
                <m:sub>
                  <m:r>
                    <w:rPr>
                      <w:rFonts w:ascii="Cambria Math" w:hAnsi="Cambria Math"/>
                      <w:sz w:val="18"/>
                      <w:szCs w:val="18"/>
                    </w:rPr>
                    <m:t>j=1</m:t>
                  </m:r>
                </m:sub>
                <m:sup>
                  <m:r>
                    <w:rPr>
                      <w:rFonts w:ascii="Cambria Math" w:hAnsi="Cambria Math"/>
                      <w:sz w:val="18"/>
                      <w:szCs w:val="18"/>
                    </w:rPr>
                    <m:t>J</m:t>
                  </m:r>
                </m:sup>
                <m:e>
                  <m:sSub>
                    <m:sSubPr>
                      <m:ctrlPr>
                        <w:rPr>
                          <w:rFonts w:ascii="Cambria Math" w:hAnsi="Cambria Math"/>
                          <w:i/>
                          <w:sz w:val="18"/>
                          <w:szCs w:val="18"/>
                        </w:rPr>
                      </m:ctrlPr>
                    </m:sSubPr>
                    <m:e>
                      <m:r>
                        <w:rPr>
                          <w:rFonts w:ascii="Cambria Math" w:hAnsi="Cambria Math"/>
                          <w:sz w:val="18"/>
                          <w:szCs w:val="18"/>
                        </w:rPr>
                        <m:t>O</m:t>
                      </m:r>
                    </m:e>
                    <m:sub>
                      <m:r>
                        <w:rPr>
                          <w:rFonts w:ascii="Cambria Math" w:hAnsi="Cambria Math"/>
                          <w:sz w:val="18"/>
                          <w:szCs w:val="18"/>
                        </w:rPr>
                        <m:t>ijt</m:t>
                      </m:r>
                    </m:sub>
                  </m:sSub>
                </m:e>
              </m:nary>
            </m:oMath>
            <w:r w:rsidRPr="0034117A">
              <w:rPr>
                <w:sz w:val="18"/>
                <w:szCs w:val="18"/>
              </w:rPr>
              <w:t xml:space="preserve">, </w:t>
            </w:r>
            <m:oMath>
              <m:r>
                <w:rPr>
                  <w:rFonts w:ascii="Cambria Math" w:hAnsi="Cambria Math"/>
                  <w:sz w:val="18"/>
                  <w:szCs w:val="18"/>
                </w:rPr>
                <m:t>J</m:t>
              </m:r>
            </m:oMath>
            <w:r w:rsidRPr="0034117A">
              <w:rPr>
                <w:sz w:val="18"/>
                <w:szCs w:val="18"/>
              </w:rPr>
              <w:t xml:space="preserve"> represents the total number of industry categories, and </w:t>
            </w:r>
            <m:oMath>
              <m:sSub>
                <m:sSubPr>
                  <m:ctrlPr>
                    <w:rPr>
                      <w:rFonts w:ascii="Cambria Math" w:hAnsi="Cambria Math"/>
                      <w:i/>
                      <w:sz w:val="18"/>
                      <w:szCs w:val="18"/>
                    </w:rPr>
                  </m:ctrlPr>
                </m:sSubPr>
                <m:e>
                  <m:r>
                    <w:rPr>
                      <w:rFonts w:ascii="Cambria Math" w:hAnsi="Cambria Math"/>
                      <w:sz w:val="18"/>
                      <w:szCs w:val="18"/>
                    </w:rPr>
                    <m:t>O</m:t>
                  </m:r>
                </m:e>
                <m:sub>
                  <m:r>
                    <w:rPr>
                      <w:rFonts w:ascii="Cambria Math" w:hAnsi="Cambria Math"/>
                      <w:sz w:val="18"/>
                      <w:szCs w:val="18"/>
                    </w:rPr>
                    <m:t>ijt</m:t>
                  </m:r>
                </m:sub>
              </m:sSub>
            </m:oMath>
            <w:r w:rsidRPr="0034117A">
              <w:rPr>
                <w:sz w:val="18"/>
                <w:szCs w:val="18"/>
              </w:rPr>
              <w:t xml:space="preserve"> denotes the employment in industry </w:t>
            </w:r>
            <m:oMath>
              <m:r>
                <w:rPr>
                  <w:rFonts w:ascii="Cambria Math" w:hAnsi="Cambria Math"/>
                  <w:sz w:val="18"/>
                  <w:szCs w:val="18"/>
                </w:rPr>
                <m:t>j</m:t>
              </m:r>
            </m:oMath>
            <w:r w:rsidRPr="0034117A">
              <w:rPr>
                <w:sz w:val="18"/>
                <w:szCs w:val="18"/>
              </w:rPr>
              <w:t xml:space="preserve"> of city </w:t>
            </w:r>
            <m:oMath>
              <m:r>
                <w:rPr>
                  <w:rFonts w:ascii="Cambria Math" w:hAnsi="Cambria Math"/>
                  <w:sz w:val="18"/>
                  <w:szCs w:val="18"/>
                </w:rPr>
                <m:t>i</m:t>
              </m:r>
            </m:oMath>
            <w:r w:rsidRPr="0034117A">
              <w:rPr>
                <w:sz w:val="18"/>
                <w:szCs w:val="18"/>
              </w:rPr>
              <w:t xml:space="preserve"> in year </w:t>
            </w:r>
            <m:oMath>
              <m:r>
                <w:rPr>
                  <w:rFonts w:ascii="Cambria Math" w:hAnsi="Cambria Math"/>
                  <w:sz w:val="18"/>
                  <w:szCs w:val="18"/>
                </w:rPr>
                <m:t>t</m:t>
              </m:r>
            </m:oMath>
            <w:r w:rsidRPr="0034117A">
              <w:rPr>
                <w:sz w:val="18"/>
                <w:szCs w:val="18"/>
              </w:rPr>
              <w:t>. This index reflects the degree to which employment is evenly distributed across industries within a city.</w:t>
            </w:r>
          </w:p>
        </w:tc>
        <w:tc>
          <w:tcPr>
            <w:tcW w:w="2582" w:type="dxa"/>
            <w:vAlign w:val="center"/>
          </w:tcPr>
          <w:p w14:paraId="64534355"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fldChar w:fldCharType="begin"/>
            </w:r>
            <w:r w:rsidRPr="0034117A">
              <w:rPr>
                <w:sz w:val="18"/>
                <w:szCs w:val="18"/>
              </w:rPr>
              <w:instrText xml:space="preserve"> ADDIN ZOTERO_ITEM CSL_CITATION {"citationID":"cos1cQJR","properties":{"formattedCitation":"(Ning et al., 2016)","plainCitation":"(Ning et al., 2016)","noteIndex":0},"citationItems":[{"id":2143,"uris":["http://zotero.org/users/8459910/items/GBE6AQFA"],"itemData":{"id":2143,"type":"article-journal","container-title":"Research Policy","issue":"4","note":"publisher: Elsevier","page":"830–843","source":"Google Scholar","title":"Urban innovation, regional externalities of foreign direct investment and industrial agglomeration: Evidence from Chinese cities","title-short":"Urban innovation, regional externalities of foreign direct investment and industrial agglomeration","volume":"45","author":[{"family":"Ning","given":"Lutao"},{"family":"Wang","given":"Fan"},{"family":"Li","given":"Jian"}],"issued":{"date-parts":[["2016"]]}}}],"schema":"https://github.com/citation-style-language/schema/raw/master/csl-citation.json"} </w:instrText>
            </w:r>
            <w:r w:rsidRPr="0034117A">
              <w:rPr>
                <w:sz w:val="18"/>
                <w:szCs w:val="18"/>
              </w:rPr>
              <w:fldChar w:fldCharType="separate"/>
            </w:r>
            <w:r w:rsidRPr="0034117A">
              <w:rPr>
                <w:sz w:val="18"/>
              </w:rPr>
              <w:t>(Ning et al., 2016)</w:t>
            </w:r>
            <w:r w:rsidRPr="0034117A">
              <w:rPr>
                <w:sz w:val="18"/>
                <w:szCs w:val="18"/>
              </w:rPr>
              <w:fldChar w:fldCharType="end"/>
            </w:r>
          </w:p>
        </w:tc>
      </w:tr>
      <w:tr w:rsidR="00E22618" w:rsidRPr="0034117A" w14:paraId="769CEB21" w14:textId="77777777" w:rsidTr="00952AA8">
        <w:trPr>
          <w:trHeight w:val="288"/>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7F7984DE" w14:textId="77777777" w:rsidR="00D1012C" w:rsidRPr="0034117A" w:rsidRDefault="00D1012C" w:rsidP="00952AA8">
            <w:pPr>
              <w:widowControl/>
              <w:rPr>
                <w:sz w:val="18"/>
                <w:szCs w:val="18"/>
              </w:rPr>
            </w:pPr>
            <w:bookmarkStart w:id="13" w:name="_Hlk192942904"/>
            <w:bookmarkEnd w:id="11"/>
          </w:p>
        </w:tc>
        <w:tc>
          <w:tcPr>
            <w:tcW w:w="1487" w:type="dxa"/>
            <w:vAlign w:val="center"/>
          </w:tcPr>
          <w:p w14:paraId="73EB3673"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Industrial Structure</w:t>
            </w:r>
            <w:r w:rsidRPr="00E22618">
              <w:rPr>
                <w:sz w:val="18"/>
                <w:szCs w:val="18"/>
              </w:rPr>
              <w:t xml:space="preserve"> (</w:t>
            </w:r>
            <w:r w:rsidRPr="00E22618">
              <w:rPr>
                <w:rStyle w:val="10"/>
                <w:rFonts w:ascii="Times New Roman" w:hAnsi="Times New Roman" w:cs="Times New Roman"/>
                <w:color w:val="auto"/>
                <w:sz w:val="20"/>
                <w:szCs w:val="20"/>
              </w:rPr>
              <w:t>IS</w:t>
            </w:r>
            <w:r w:rsidRPr="00E22618">
              <w:rPr>
                <w:sz w:val="18"/>
                <w:szCs w:val="18"/>
              </w:rPr>
              <w:t>)</w:t>
            </w:r>
          </w:p>
        </w:tc>
        <w:tc>
          <w:tcPr>
            <w:tcW w:w="3369" w:type="dxa"/>
            <w:vAlign w:val="center"/>
          </w:tcPr>
          <w:p w14:paraId="2194D915"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Represented by the ratio of the value added of the tertiary industry to GDP</w:t>
            </w:r>
          </w:p>
        </w:tc>
        <w:tc>
          <w:tcPr>
            <w:tcW w:w="2582" w:type="dxa"/>
            <w:vAlign w:val="center"/>
          </w:tcPr>
          <w:p w14:paraId="6658C57B"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fldChar w:fldCharType="begin"/>
            </w:r>
            <w:r w:rsidRPr="00E22618">
              <w:rPr>
                <w:sz w:val="18"/>
                <w:szCs w:val="18"/>
              </w:rPr>
              <w:instrText xml:space="preserve"> ADDIN ZOTERO_ITEM CSL_CITATION {"citationID":"XZCjHyvf","properties":{"formattedCitation":"(Greunz, 2004; C. Zhang et al., 2024)","plainCitation":"(Greunz, 2004; C. Zhang et al., 2024)","noteIndex":0},"citationItems":[{"id":2338,"uris":["http://zotero.org/users/8459910/items/M6TLCGAC"],"itemData":{"id":2338,"type":"article-journal","abstract":"Whether the composition of industrial activity influences innovation is the key question of this paper. The analysis is based on a model that integrates different kinds of diversity measures aiming at capturing Jacobs externalities, a production specialisation measure aiming at capturing Marshall-Arrow-Romer (MAR) externalities and regions as well as sector specific variables. Tested with an extended sample of 153 European regions and 16 manufacturing sectors, the estimates suggest that both kinds of externalities significantly influence innovation, although the influence of Jacobs externalities is more important in the context of “high density” regions as well as for high tech sectors.","container-title":"Journal of Evolutionary Economics","DOI":"10.1007/s00191-004-0234-8","ISSN":"1432-1386","issue":"5","language":"En","license":"2004 Springer-Verlag Berlin/Heidelberg","note":"number: 5\npublisher: Springer","page":"563-592","source":"link.springer.com","title":"Industrial structure and innovation - evidence from European regions","volume":"14","author":[{"family":"Greunz","given":"Lydia"}],"issued":{"date-parts":[["2004",12]]}}},{"id":2340,"uris":["http://zotero.org/users/8459910/items/6EX7QYUN"],"itemData":{"id":2340,"type":"article-journal","abstract":"The digital economy is an essential engine of the innovation-driven development strategy and plays a valuable role in promoting the high-quality development of the regional economy. Based on the panel data of 286 cities in mainland China with the help of the digital economy strategic plans issued by local governments as a quasi-natural experiment, we use the multi-temporal double-difference (DID) method to examine the impact of the digital economy on the urban innovation level. Findings show that the digital economy can significantly improve the urban innovation level. After a series of robustness tests, such as parallel trend test, updating sample and period, and repeated placebo test, the innovation-driving effect generated by the development of the digital economy remains significant. Results of the mechanism analysis indicate that the digital economy enhances the level of innovation through upgrading industrial structures. In addition, we find through the heterogeneity test that the digital economy has a stronger effect on improving the quality of innovation. Meanwhile, the innovation output in the Middle Eastern region is more significantly affected by the “Digital China” strategy than the Western region. Therefore, we should accelerate the implementation of the local digital economy development strategy to realize the high-quality development of the regional economy.","container-title":"Humanities and Social Sciences Communications","DOI":"10.1057/s41599-024-03122-1","ISSN":"2662-9992","issue":"1","language":"en","license":"2024 The Author(s)","note":"publisher: Palgrave","page":"1-12","source":"www.nature.com","title":"Digital economy and urban innovation level: A quasi-natural experiment from the strategy of “Digital China”","title-short":"Digital economy and urban innovation level","volume":"11","author":[{"family":"Zhang","given":"Chong"},{"family":"Liu","given":"Baoliu"},{"family":"Yang","given":"Yuhan"}],"issued":{"date-parts":[["2024",5,6]]}}}],"schema":"https://github.com/citation-style-language/schema/raw/master/csl-citation.json"} </w:instrText>
            </w:r>
            <w:r w:rsidRPr="0034117A">
              <w:rPr>
                <w:sz w:val="18"/>
                <w:szCs w:val="18"/>
              </w:rPr>
              <w:fldChar w:fldCharType="separate"/>
            </w:r>
            <w:r w:rsidRPr="00E22618">
              <w:rPr>
                <w:sz w:val="18"/>
              </w:rPr>
              <w:t>(Greunz, 2004; C. Zhang et al., 2024)</w:t>
            </w:r>
            <w:r w:rsidRPr="0034117A">
              <w:rPr>
                <w:sz w:val="18"/>
                <w:szCs w:val="18"/>
              </w:rPr>
              <w:fldChar w:fldCharType="end"/>
            </w:r>
          </w:p>
        </w:tc>
      </w:tr>
      <w:tr w:rsidR="00E22618" w:rsidRPr="0034117A" w14:paraId="22D5E32B" w14:textId="77777777" w:rsidTr="00952AA8">
        <w:trPr>
          <w:trHeight w:val="288"/>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7CF53CF5" w14:textId="77777777" w:rsidR="00D1012C" w:rsidRPr="0034117A" w:rsidRDefault="00D1012C" w:rsidP="00952AA8">
            <w:pPr>
              <w:widowControl/>
              <w:rPr>
                <w:sz w:val="18"/>
                <w:szCs w:val="18"/>
              </w:rPr>
            </w:pPr>
            <w:bookmarkStart w:id="14" w:name="_Hlk192942949"/>
            <w:bookmarkEnd w:id="13"/>
          </w:p>
        </w:tc>
        <w:tc>
          <w:tcPr>
            <w:tcW w:w="1487" w:type="dxa"/>
            <w:vAlign w:val="center"/>
          </w:tcPr>
          <w:p w14:paraId="67307977"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Industrialization Level</w:t>
            </w:r>
            <w:r w:rsidRPr="00E22618">
              <w:rPr>
                <w:sz w:val="18"/>
                <w:szCs w:val="18"/>
              </w:rPr>
              <w:t xml:space="preserve"> (</w:t>
            </w:r>
            <w:r w:rsidRPr="00E22618">
              <w:rPr>
                <w:rStyle w:val="10"/>
                <w:rFonts w:ascii="Times New Roman" w:hAnsi="Times New Roman" w:cs="Times New Roman"/>
                <w:color w:val="auto"/>
                <w:sz w:val="20"/>
                <w:szCs w:val="20"/>
              </w:rPr>
              <w:t>IL</w:t>
            </w:r>
            <w:r w:rsidRPr="00E22618">
              <w:rPr>
                <w:sz w:val="18"/>
                <w:szCs w:val="18"/>
              </w:rPr>
              <w:t>)</w:t>
            </w:r>
          </w:p>
        </w:tc>
        <w:tc>
          <w:tcPr>
            <w:tcW w:w="3369" w:type="dxa"/>
            <w:vAlign w:val="center"/>
          </w:tcPr>
          <w:p w14:paraId="49B0AAD0"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Measured by the ratio of the value added of the secondary industry to GDP.</w:t>
            </w:r>
          </w:p>
        </w:tc>
        <w:tc>
          <w:tcPr>
            <w:tcW w:w="2582" w:type="dxa"/>
            <w:vAlign w:val="center"/>
          </w:tcPr>
          <w:p w14:paraId="1995CC93"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fldChar w:fldCharType="begin"/>
            </w:r>
            <w:r w:rsidRPr="00E22618">
              <w:rPr>
                <w:sz w:val="18"/>
                <w:szCs w:val="18"/>
              </w:rPr>
              <w:instrText xml:space="preserve"> ADDIN ZOTERO_ITEM CSL_CITATION {"citationID":"RHIs5o14","properties":{"formattedCitation":"(C. Zhang et al., 2024)","plainCitation":"(C. Zhang et al., 2024)","noteIndex":0},"citationItems":[{"id":2340,"uris":["http://zotero.org/users/8459910/items/6EX7QYUN"],"itemData":{"id":2340,"type":"article-journal","abstract":"The digital economy is an essential engine of the innovation-driven development strategy and plays a valuable role in promoting the high-quality development of the regional economy. Based on the panel data of 286 cities in mainland China with the help of the digital economy strategic plans issued by local governments as a quasi-natural experiment, we use the multi-temporal double-difference (DID) method to examine the impact of the digital economy on the urban innovation level. Findings show that the digital economy can significantly improve the urban innovation level. After a series of robustness tests, such as parallel trend test, updating sample and period, and repeated placebo test, the innovation-driving effect generated by the development of the digital economy remains significant. Results of the mechanism analysis indicate that the digital economy enhances the level of innovation through upgrading industrial structures. In addition, we find through the heterogeneity test that the digital economy has a stronger effect on improving the quality of innovation. Meanwhile, the innovation output in the Middle Eastern region is more significantly affected by the “Digital China” strategy than the Western region. Therefore, we should accelerate the implementation of the local digital economy development strategy to realize the high-quality development of the regional economy.","container-title":"Humanities and Social Sciences Communications","DOI":"10.1057/s41599-024-03122-1","ISSN":"2662-9992","issue":"1","language":"en","license":"2024 The Author(s)","note":"publisher: Palgrave","page":"1-12","source":"www.nature.com","title":"Digital economy and urban innovation level: A quasi-natural experiment from the strategy of “Digital China”","title-short":"Digital economy and urban innovation level","volume":"11","author":[{"family":"Zhang","given":"Chong"},{"family":"Liu","given":"Baoliu"},{"family":"Yang","given":"Yuhan"}],"issued":{"date-parts":[["2024",5,6]]}}}],"schema":"https://github.com/citation-style-language/schema/raw/master/csl-citation.json"} </w:instrText>
            </w:r>
            <w:r w:rsidRPr="0034117A">
              <w:rPr>
                <w:sz w:val="18"/>
                <w:szCs w:val="18"/>
              </w:rPr>
              <w:fldChar w:fldCharType="separate"/>
            </w:r>
            <w:r w:rsidRPr="00E22618">
              <w:rPr>
                <w:sz w:val="18"/>
              </w:rPr>
              <w:t>(C. Zhang et al., 2024)</w:t>
            </w:r>
            <w:r w:rsidRPr="0034117A">
              <w:rPr>
                <w:sz w:val="18"/>
                <w:szCs w:val="18"/>
              </w:rPr>
              <w:fldChar w:fldCharType="end"/>
            </w:r>
          </w:p>
        </w:tc>
      </w:tr>
      <w:tr w:rsidR="00E22618" w:rsidRPr="0034117A" w14:paraId="3A2582B4" w14:textId="77777777" w:rsidTr="00952AA8">
        <w:trPr>
          <w:trHeight w:val="865"/>
        </w:trPr>
        <w:tc>
          <w:tcPr>
            <w:cnfStyle w:val="001000000000" w:firstRow="0" w:lastRow="0" w:firstColumn="1" w:lastColumn="0" w:oddVBand="0" w:evenVBand="0" w:oddHBand="0" w:evenHBand="0" w:firstRowFirstColumn="0" w:firstRowLastColumn="0" w:lastRowFirstColumn="0" w:lastRowLastColumn="0"/>
            <w:tcW w:w="1376" w:type="dxa"/>
            <w:vMerge w:val="restart"/>
            <w:vAlign w:val="center"/>
          </w:tcPr>
          <w:p w14:paraId="0278B234" w14:textId="77777777" w:rsidR="00D1012C" w:rsidRPr="0034117A" w:rsidRDefault="00D1012C" w:rsidP="00952AA8">
            <w:pPr>
              <w:widowControl/>
              <w:rPr>
                <w:sz w:val="18"/>
                <w:szCs w:val="18"/>
              </w:rPr>
            </w:pPr>
            <w:bookmarkStart w:id="15" w:name="_Hlk192942957"/>
            <w:bookmarkEnd w:id="14"/>
            <w:r w:rsidRPr="0034117A">
              <w:rPr>
                <w:sz w:val="18"/>
                <w:szCs w:val="18"/>
              </w:rPr>
              <w:t>Institutional economics theory</w:t>
            </w:r>
          </w:p>
        </w:tc>
        <w:tc>
          <w:tcPr>
            <w:tcW w:w="1487" w:type="dxa"/>
            <w:vAlign w:val="center"/>
          </w:tcPr>
          <w:p w14:paraId="6B59369A"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bookmarkStart w:id="16" w:name="OLE_LINK15"/>
            <w:r w:rsidRPr="0034117A">
              <w:rPr>
                <w:sz w:val="18"/>
                <w:szCs w:val="18"/>
              </w:rPr>
              <w:t xml:space="preserve">Intellectual </w:t>
            </w:r>
            <w:bookmarkStart w:id="17" w:name="OLE_LINK97"/>
            <w:bookmarkEnd w:id="16"/>
            <w:r w:rsidRPr="0034117A">
              <w:rPr>
                <w:sz w:val="18"/>
                <w:szCs w:val="18"/>
              </w:rPr>
              <w:t>Governance</w:t>
            </w:r>
            <w:bookmarkEnd w:id="17"/>
            <w:r w:rsidRPr="00E22618">
              <w:rPr>
                <w:sz w:val="18"/>
                <w:szCs w:val="18"/>
              </w:rPr>
              <w:t xml:space="preserve"> (</w:t>
            </w:r>
            <w:r w:rsidRPr="00E22618">
              <w:rPr>
                <w:rStyle w:val="10"/>
                <w:rFonts w:ascii="Times New Roman" w:hAnsi="Times New Roman" w:cs="Times New Roman"/>
                <w:color w:val="auto"/>
                <w:sz w:val="20"/>
                <w:szCs w:val="20"/>
              </w:rPr>
              <w:t>IG</w:t>
            </w:r>
            <w:r w:rsidRPr="00E22618">
              <w:rPr>
                <w:sz w:val="18"/>
                <w:szCs w:val="18"/>
              </w:rPr>
              <w:t>)</w:t>
            </w:r>
          </w:p>
        </w:tc>
        <w:tc>
          <w:tcPr>
            <w:tcW w:w="3369" w:type="dxa"/>
            <w:vAlign w:val="center"/>
          </w:tcPr>
          <w:p w14:paraId="58909740"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bookmarkStart w:id="18" w:name="OLE_LINK99"/>
            <w:r w:rsidRPr="0034117A">
              <w:rPr>
                <w:sz w:val="18"/>
                <w:szCs w:val="18"/>
              </w:rPr>
              <w:t>To quantify the level of intellectual property governance, we use the formula:</w:t>
            </w:r>
          </w:p>
          <w:p w14:paraId="3E0752FC" w14:textId="77777777" w:rsidR="00D1012C" w:rsidRPr="0034117A" w:rsidRDefault="00000000" w:rsidP="00952AA8">
            <w:pPr>
              <w:widowControl/>
              <w:cnfStyle w:val="000000000000" w:firstRow="0" w:lastRow="0" w:firstColumn="0" w:lastColumn="0" w:oddVBand="0" w:evenVBand="0" w:oddHBand="0" w:evenHBand="0" w:firstRowFirstColumn="0" w:firstRowLastColumn="0" w:lastRowFirstColumn="0" w:lastRowLastColumn="0"/>
              <w:rPr>
                <w:sz w:val="18"/>
                <w:szCs w:val="18"/>
              </w:rPr>
            </w:pPr>
            <m:oMathPara>
              <m:oMath>
                <m:sSub>
                  <m:sSubPr>
                    <m:ctrlPr>
                      <w:rPr>
                        <w:rFonts w:ascii="Cambria Math" w:hAnsi="Cambria Math"/>
                        <w:i/>
                        <w:sz w:val="18"/>
                        <w:szCs w:val="18"/>
                      </w:rPr>
                    </m:ctrlPr>
                  </m:sSubPr>
                  <m:e>
                    <m:r>
                      <w:rPr>
                        <w:rFonts w:ascii="Cambria Math" w:hAnsi="Cambria Math"/>
                        <w:sz w:val="18"/>
                        <w:szCs w:val="18"/>
                      </w:rPr>
                      <m:t>IPP</m:t>
                    </m:r>
                  </m:e>
                  <m:sub>
                    <m:r>
                      <w:rPr>
                        <w:rFonts w:ascii="Cambria Math" w:hAnsi="Cambria Math"/>
                        <w:sz w:val="18"/>
                        <w:szCs w:val="18"/>
                      </w:rPr>
                      <m:t>it</m:t>
                    </m:r>
                  </m:sub>
                </m:sSub>
                <m:r>
                  <w:rPr>
                    <w:rFonts w:ascii="Cambria Math" w:hAnsi="Cambria Math"/>
                    <w:sz w:val="18"/>
                    <w:szCs w:val="18"/>
                  </w:rPr>
                  <m:t>=</m:t>
                </m:r>
                <m:f>
                  <m:fPr>
                    <m:type m:val="skw"/>
                    <m:ctrlPr>
                      <w:rPr>
                        <w:rFonts w:ascii="Cambria Math" w:hAnsi="Cambria Math"/>
                        <w:i/>
                        <w:sz w:val="18"/>
                        <w:szCs w:val="18"/>
                      </w:rPr>
                    </m:ctrlPr>
                  </m:fPr>
                  <m:num>
                    <m:f>
                      <m:fPr>
                        <m:ctrlPr>
                          <w:rPr>
                            <w:rFonts w:ascii="Cambria Math" w:hAnsi="Cambria Math"/>
                            <w:i/>
                            <w:sz w:val="18"/>
                            <w:szCs w:val="18"/>
                          </w:rPr>
                        </m:ctrlPr>
                      </m:fPr>
                      <m:num>
                        <m:sSub>
                          <m:sSubPr>
                            <m:ctrlPr>
                              <w:rPr>
                                <w:rFonts w:ascii="Cambria Math" w:hAnsi="Cambria Math"/>
                                <w:i/>
                                <w:sz w:val="18"/>
                                <w:szCs w:val="18"/>
                              </w:rPr>
                            </m:ctrlPr>
                          </m:sSubPr>
                          <m:e>
                            <w:bookmarkStart w:id="19" w:name="OLE_LINK96"/>
                            <m:r>
                              <w:rPr>
                                <w:rFonts w:ascii="Cambria Math" w:hAnsi="Cambria Math"/>
                                <w:sz w:val="18"/>
                                <w:szCs w:val="18"/>
                              </w:rPr>
                              <m:t>Case</m:t>
                            </m:r>
                          </m:e>
                          <m:sub>
                            <m:r>
                              <w:rPr>
                                <w:rFonts w:ascii="Cambria Math" w:hAnsi="Cambria Math"/>
                                <w:sz w:val="18"/>
                                <w:szCs w:val="18"/>
                              </w:rPr>
                              <m:t>it</m:t>
                            </m:r>
                            <w:bookmarkEnd w:id="19"/>
                          </m:sub>
                        </m:sSub>
                      </m:num>
                      <m:den>
                        <m:nary>
                          <m:naryPr>
                            <m:chr m:val="∑"/>
                            <m:limLoc m:val="undOvr"/>
                            <m:subHide m:val="1"/>
                            <m:supHide m:val="1"/>
                            <m:ctrlPr>
                              <w:rPr>
                                <w:rFonts w:ascii="Cambria Math" w:hAnsi="Cambria Math"/>
                                <w:i/>
                                <w:sz w:val="18"/>
                                <w:szCs w:val="18"/>
                              </w:rPr>
                            </m:ctrlPr>
                          </m:naryPr>
                          <m:sub/>
                          <m:sup/>
                          <m:e>
                            <m:sSub>
                              <m:sSubPr>
                                <m:ctrlPr>
                                  <w:rPr>
                                    <w:rFonts w:ascii="Cambria Math" w:hAnsi="Cambria Math"/>
                                    <w:i/>
                                    <w:sz w:val="18"/>
                                    <w:szCs w:val="18"/>
                                  </w:rPr>
                                </m:ctrlPr>
                              </m:sSubPr>
                              <m:e>
                                <m:r>
                                  <w:rPr>
                                    <w:rFonts w:ascii="Cambria Math" w:hAnsi="Cambria Math"/>
                                    <w:sz w:val="18"/>
                                    <w:szCs w:val="18"/>
                                  </w:rPr>
                                  <m:t>Case</m:t>
                                </m:r>
                              </m:e>
                              <m:sub>
                                <m:r>
                                  <w:rPr>
                                    <w:rFonts w:ascii="Cambria Math" w:hAnsi="Cambria Math"/>
                                    <w:sz w:val="18"/>
                                    <w:szCs w:val="18"/>
                                  </w:rPr>
                                  <m:t>it</m:t>
                                </m:r>
                              </m:sub>
                            </m:sSub>
                          </m:e>
                        </m:nary>
                      </m:den>
                    </m:f>
                  </m:num>
                  <m:den>
                    <m:f>
                      <m:fPr>
                        <m:ctrlPr>
                          <w:rPr>
                            <w:rFonts w:ascii="Cambria Math" w:hAnsi="Cambria Math"/>
                            <w:i/>
                            <w:sz w:val="18"/>
                            <w:szCs w:val="18"/>
                          </w:rPr>
                        </m:ctrlPr>
                      </m:fPr>
                      <m:num>
                        <w:bookmarkStart w:id="20" w:name="OLE_LINK98"/>
                        <m:sSub>
                          <m:sSubPr>
                            <m:ctrlPr>
                              <w:rPr>
                                <w:rFonts w:ascii="Cambria Math" w:hAnsi="Cambria Math"/>
                                <w:i/>
                                <w:sz w:val="18"/>
                                <w:szCs w:val="18"/>
                              </w:rPr>
                            </m:ctrlPr>
                          </m:sSubPr>
                          <m:e>
                            <m:r>
                              <w:rPr>
                                <w:rFonts w:ascii="Cambria Math" w:hAnsi="Cambria Math"/>
                                <w:sz w:val="18"/>
                                <w:szCs w:val="18"/>
                              </w:rPr>
                              <m:t>GDP</m:t>
                            </m:r>
                          </m:e>
                          <m:sub>
                            <m:r>
                              <w:rPr>
                                <w:rFonts w:ascii="Cambria Math" w:hAnsi="Cambria Math"/>
                                <w:sz w:val="18"/>
                                <w:szCs w:val="18"/>
                              </w:rPr>
                              <m:t>it</m:t>
                            </m:r>
                          </m:sub>
                        </m:sSub>
                        <w:bookmarkEnd w:id="20"/>
                      </m:num>
                      <m:den>
                        <m:nary>
                          <m:naryPr>
                            <m:chr m:val="∑"/>
                            <m:limLoc m:val="undOvr"/>
                            <m:subHide m:val="1"/>
                            <m:supHide m:val="1"/>
                            <m:ctrlPr>
                              <w:rPr>
                                <w:rFonts w:ascii="Cambria Math" w:hAnsi="Cambria Math"/>
                                <w:i/>
                                <w:sz w:val="18"/>
                                <w:szCs w:val="18"/>
                              </w:rPr>
                            </m:ctrlPr>
                          </m:naryPr>
                          <m:sub/>
                          <m:sup/>
                          <m:e>
                            <m:sSub>
                              <m:sSubPr>
                                <m:ctrlPr>
                                  <w:rPr>
                                    <w:rFonts w:ascii="Cambria Math" w:hAnsi="Cambria Math"/>
                                    <w:i/>
                                    <w:sz w:val="18"/>
                                    <w:szCs w:val="18"/>
                                  </w:rPr>
                                </m:ctrlPr>
                              </m:sSubPr>
                              <m:e>
                                <m:r>
                                  <w:rPr>
                                    <w:rFonts w:ascii="Cambria Math" w:hAnsi="Cambria Math"/>
                                    <w:sz w:val="18"/>
                                    <w:szCs w:val="18"/>
                                  </w:rPr>
                                  <m:t>GDP</m:t>
                                </m:r>
                              </m:e>
                              <m:sub>
                                <m:r>
                                  <w:rPr>
                                    <w:rFonts w:ascii="Cambria Math" w:hAnsi="Cambria Math"/>
                                    <w:sz w:val="18"/>
                                    <w:szCs w:val="18"/>
                                  </w:rPr>
                                  <m:t>it</m:t>
                                </m:r>
                              </m:sub>
                            </m:sSub>
                          </m:e>
                        </m:nary>
                      </m:den>
                    </m:f>
                  </m:den>
                </m:f>
              </m:oMath>
            </m:oMathPara>
          </w:p>
          <w:p w14:paraId="3A075421"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 xml:space="preserve">where </w:t>
            </w:r>
            <m:oMath>
              <m:sSub>
                <m:sSubPr>
                  <m:ctrlPr>
                    <w:rPr>
                      <w:rFonts w:ascii="Cambria Math" w:hAnsi="Cambria Math"/>
                      <w:i/>
                      <w:sz w:val="18"/>
                      <w:szCs w:val="18"/>
                    </w:rPr>
                  </m:ctrlPr>
                </m:sSubPr>
                <m:e>
                  <m:r>
                    <w:rPr>
                      <w:rFonts w:ascii="Cambria Math" w:hAnsi="Cambria Math"/>
                      <w:sz w:val="18"/>
                      <w:szCs w:val="18"/>
                    </w:rPr>
                    <m:t>Case</m:t>
                  </m:r>
                </m:e>
                <m:sub>
                  <m:r>
                    <w:rPr>
                      <w:rFonts w:ascii="Cambria Math" w:hAnsi="Cambria Math"/>
                      <w:sz w:val="18"/>
                      <w:szCs w:val="18"/>
                    </w:rPr>
                    <m:t>it</m:t>
                  </m:r>
                </m:sub>
              </m:sSub>
            </m:oMath>
            <w:r w:rsidRPr="0034117A">
              <w:rPr>
                <w:sz w:val="18"/>
                <w:szCs w:val="18"/>
              </w:rPr>
              <w:t xml:space="preserve"> represents the number of intellectual property judicial cases in region </w:t>
            </w:r>
            <m:oMath>
              <m:r>
                <w:rPr>
                  <w:rFonts w:ascii="Cambria Math" w:hAnsi="Cambria Math"/>
                  <w:sz w:val="18"/>
                  <w:szCs w:val="18"/>
                </w:rPr>
                <m:t>i</m:t>
              </m:r>
            </m:oMath>
            <w:r w:rsidRPr="0034117A">
              <w:rPr>
                <w:sz w:val="18"/>
                <w:szCs w:val="18"/>
              </w:rPr>
              <w:t xml:space="preserve"> in year </w:t>
            </w:r>
            <m:oMath>
              <m:r>
                <w:rPr>
                  <w:rFonts w:ascii="Cambria Math" w:hAnsi="Cambria Math"/>
                  <w:sz w:val="18"/>
                  <w:szCs w:val="18"/>
                </w:rPr>
                <m:t>t</m:t>
              </m:r>
            </m:oMath>
            <w:r w:rsidRPr="0034117A">
              <w:rPr>
                <w:sz w:val="18"/>
                <w:szCs w:val="18"/>
              </w:rPr>
              <w:t xml:space="preserve">, and </w:t>
            </w:r>
            <m:oMath>
              <m:sSub>
                <m:sSubPr>
                  <m:ctrlPr>
                    <w:rPr>
                      <w:rFonts w:ascii="Cambria Math" w:hAnsi="Cambria Math"/>
                      <w:i/>
                      <w:sz w:val="18"/>
                      <w:szCs w:val="18"/>
                    </w:rPr>
                  </m:ctrlPr>
                </m:sSubPr>
                <m:e>
                  <m:r>
                    <w:rPr>
                      <w:rFonts w:ascii="Cambria Math" w:hAnsi="Cambria Math"/>
                      <w:sz w:val="18"/>
                      <w:szCs w:val="18"/>
                    </w:rPr>
                    <m:t>GDP</m:t>
                  </m:r>
                </m:e>
                <m:sub>
                  <m:r>
                    <w:rPr>
                      <w:rFonts w:ascii="Cambria Math" w:hAnsi="Cambria Math"/>
                      <w:sz w:val="18"/>
                      <w:szCs w:val="18"/>
                    </w:rPr>
                    <m:t>it</m:t>
                  </m:r>
                </m:sub>
              </m:sSub>
            </m:oMath>
            <w:r w:rsidRPr="0034117A">
              <w:rPr>
                <w:sz w:val="18"/>
                <w:szCs w:val="18"/>
              </w:rPr>
              <w:t xml:space="preserve"> denotes the GDP of region </w:t>
            </w:r>
            <m:oMath>
              <m:r>
                <w:rPr>
                  <w:rFonts w:ascii="Cambria Math" w:hAnsi="Cambria Math"/>
                  <w:sz w:val="18"/>
                  <w:szCs w:val="18"/>
                </w:rPr>
                <m:t>i</m:t>
              </m:r>
            </m:oMath>
            <w:r w:rsidRPr="0034117A">
              <w:rPr>
                <w:sz w:val="18"/>
                <w:szCs w:val="18"/>
              </w:rPr>
              <w:t xml:space="preserve"> in year </w:t>
            </w:r>
            <m:oMath>
              <m:r>
                <w:rPr>
                  <w:rFonts w:ascii="Cambria Math" w:hAnsi="Cambria Math"/>
                  <w:sz w:val="18"/>
                  <w:szCs w:val="18"/>
                </w:rPr>
                <m:t>t</m:t>
              </m:r>
            </m:oMath>
            <w:r w:rsidRPr="0034117A">
              <w:rPr>
                <w:sz w:val="18"/>
                <w:szCs w:val="18"/>
              </w:rPr>
              <w:t>.</w:t>
            </w:r>
            <w:bookmarkEnd w:id="18"/>
            <w:r w:rsidRPr="0034117A">
              <w:rPr>
                <w:sz w:val="18"/>
                <w:szCs w:val="18"/>
              </w:rPr>
              <w:t xml:space="preserve"> </w:t>
            </w:r>
          </w:p>
        </w:tc>
        <w:tc>
          <w:tcPr>
            <w:tcW w:w="2582" w:type="dxa"/>
            <w:vAlign w:val="center"/>
          </w:tcPr>
          <w:p w14:paraId="463353E0"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fldChar w:fldCharType="begin"/>
            </w:r>
            <w:r w:rsidRPr="0034117A">
              <w:rPr>
                <w:sz w:val="18"/>
                <w:szCs w:val="18"/>
              </w:rPr>
              <w:instrText xml:space="preserve"> ADDIN ZOTERO_ITEM CSL_CITATION {"citationID":"NZVQkxCZ","properties":{"formattedCitation":"(Mao &amp; Failler, 2022; S. Yang et al., 2024)","plainCitation":"(Mao &amp; Failler, 2022; S. Yang et al., 2024)","noteIndex":0},"citationItems":[{"id":2149,"uris":["http://zotero.org/users/8459910/items/UBJWT3XT"],"itemData":{"id":2149,"type":"article-journal","container-title":"Sustainability","issue":"21","note":"publisher: MDPI","page":"14369","source":"Google Scholar","title":"Does stronger protection of intellectual property improve sustainable development? Evidence from city data in China","title-short":"Does stronger protection of intellectual property improve sustainable development?","volume":"14","author":[{"family":"Mao","given":"Ke"},{"family":"Failler","given":"Pierre"}],"issued":{"date-parts":[["2022"]]}}},{"id":2342,"uris":["http://zotero.org/users/8459910/items/CDCJIIF5"],"itemData":{"id":2342,"type":"article-journal","abstract":"Green innovation (GI) can enable win‒win style economic and ecological benefits. Using China's pilot scheme for the construction of the intellectual property protection (IPP) system as an example, this paper empirically tests the impact of IPP system reform on the GI level and its spatial spillover effect. The results show that IPP system reform has significantly promoted urban GI, indicating that a progressive reform model characterized by experimentalist governance is applicable to innovation policy practices in developing countries. The dynamic effect analysis shows that IPP system reform can be applied to continuously promote urban GI. The mechanism analysis shows that such use of IPP system reform can improve the level of urban GI by promoting investment and talent agglomeration, confirming the viewpoint of the institutionalist school. The heterogeneity analysis shows that IPP system reform plays a stronger role in promoting GI in peripheral cities than in central cities, in cities with lower rather than higher scientific and educational levels and in cities with weaker rather than stronger GI capacity. Consistent with the theory of institutional diffusion, IPP system reform has a significant spatial spillover effect, promoting GI activities in surrounding cities while working to improve the local GI level. This paper affirms the effectiveness of the pilot regional innovation policy with Chinese characteristics, with important theoretical significance.","container-title":"Growth and Change","DOI":"10.1111/grow.12689","ISSN":"1468-2257","issue":"1","language":"en","license":"© 2023 Wiley Periodicals LLC.","note":"_eprint: https://onlinelibrary.wiley.com/doi/pdf/10.1111/grow.12689","page":"e12689","source":"Wiley Online Library","title":"Intellectual property system and urban green innovation: Evidence from China","title-short":"Intellectual property system and urban green innovation","volume":"55","author":[{"family":"Yang","given":"Siying"},{"family":"Liu","given":"Fengshuo"},{"family":"Wang","given":"Gege"},{"family":"Feng","given":"Dawei"}],"issued":{"date-parts":[["2024"]]}}}],"schema":"https://github.com/citation-style-language/schema/raw/master/csl-citation.json"} </w:instrText>
            </w:r>
            <w:r w:rsidRPr="0034117A">
              <w:rPr>
                <w:sz w:val="18"/>
                <w:szCs w:val="18"/>
              </w:rPr>
              <w:fldChar w:fldCharType="separate"/>
            </w:r>
            <w:r w:rsidRPr="0034117A">
              <w:rPr>
                <w:sz w:val="18"/>
              </w:rPr>
              <w:t>(Mao &amp; Failler, 2022; S. Yang et al., 2024)</w:t>
            </w:r>
            <w:r w:rsidRPr="0034117A">
              <w:rPr>
                <w:sz w:val="18"/>
                <w:szCs w:val="18"/>
              </w:rPr>
              <w:fldChar w:fldCharType="end"/>
            </w:r>
          </w:p>
        </w:tc>
      </w:tr>
      <w:tr w:rsidR="00E22618" w:rsidRPr="0034117A" w14:paraId="17369C4B" w14:textId="77777777" w:rsidTr="00952AA8">
        <w:trPr>
          <w:trHeight w:val="288"/>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4C14146C" w14:textId="77777777" w:rsidR="00D1012C" w:rsidRPr="0034117A" w:rsidRDefault="00D1012C" w:rsidP="00952AA8">
            <w:pPr>
              <w:widowControl/>
              <w:rPr>
                <w:sz w:val="18"/>
                <w:szCs w:val="18"/>
              </w:rPr>
            </w:pPr>
            <w:bookmarkStart w:id="21" w:name="_Hlk192943063"/>
            <w:bookmarkEnd w:id="15"/>
          </w:p>
        </w:tc>
        <w:tc>
          <w:tcPr>
            <w:tcW w:w="1487" w:type="dxa"/>
            <w:vAlign w:val="center"/>
          </w:tcPr>
          <w:p w14:paraId="396055B1"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Institutional Quality</w:t>
            </w:r>
            <w:r w:rsidRPr="00E22618">
              <w:rPr>
                <w:sz w:val="18"/>
                <w:szCs w:val="18"/>
              </w:rPr>
              <w:t xml:space="preserve"> (</w:t>
            </w:r>
            <w:r w:rsidRPr="00E22618">
              <w:rPr>
                <w:rStyle w:val="10"/>
                <w:rFonts w:ascii="Times New Roman" w:hAnsi="Times New Roman" w:cs="Times New Roman"/>
                <w:color w:val="auto"/>
                <w:sz w:val="20"/>
                <w:szCs w:val="20"/>
              </w:rPr>
              <w:t>IQ</w:t>
            </w:r>
            <w:r w:rsidRPr="00E22618">
              <w:rPr>
                <w:sz w:val="18"/>
                <w:szCs w:val="18"/>
              </w:rPr>
              <w:t>)</w:t>
            </w:r>
          </w:p>
        </w:tc>
        <w:tc>
          <w:tcPr>
            <w:tcW w:w="3369" w:type="dxa"/>
            <w:vAlign w:val="center"/>
          </w:tcPr>
          <w:p w14:paraId="3FC434B4"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Measured by the marketization index of the province to which the city belongs.</w:t>
            </w:r>
          </w:p>
        </w:tc>
        <w:tc>
          <w:tcPr>
            <w:tcW w:w="2582" w:type="dxa"/>
            <w:vAlign w:val="center"/>
          </w:tcPr>
          <w:p w14:paraId="6526A937"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fldChar w:fldCharType="begin"/>
            </w:r>
            <w:r w:rsidRPr="0034117A">
              <w:rPr>
                <w:sz w:val="18"/>
                <w:szCs w:val="18"/>
              </w:rPr>
              <w:instrText xml:space="preserve"> ADDIN ZOTERO_ITEM CSL_CITATION {"citationID":"xO97RPsK","properties":{"formattedCitation":"(Ganau &amp; Grandinetti, 2021; B. Song et al., 2024)","plainCitation":"(Ganau &amp; Grandinetti, 2021; B. Song et al., 2024)","noteIndex":0},"citationItems":[{"id":2037,"uris":["http://zotero.org/users/8459910/items/HK9UJC3T"],"itemData":{"id":2037,"type":"article-journal","container-title":"Industry and Innovation","DOI":"10.1080/13662716.2021.1904841","ISSN":"1366-2716, 1469-8390","issue":"6","journalAbbreviation":"Industry and Innovation","language":"en","page":"749-772","source":"DOI.org (Crossref)","title":"Disentangling regional innovation capability: what really matters?","title-short":"Disentangling regional innovation capability","volume":"28","author":[{"family":"Ganau","given":"Roberto"},{"family":"Grandinetti","given":"Roberto"}],"issued":{"date-parts":[["2021",7,3]]}}},{"id":2344,"uris":["http://zotero.org/users/8459910/items/D882EVSQ"],"itemData":{"id":2344,"type":"article-journal","container-title":"Chinese Management Studies","issue":"6","note":"publisher: Emerald Publishing Limited","page":"1613–1633","source":"Google Scholar","title":"Regional institutional environment and R&amp;D performance: Evidence from marketization index of China’s provinces and panel data of high-tech manufacturing firms","title-short":"Regional institutional environment and R&amp;D performance","volume":"18","author":[{"family":"Song","given":"Bo"},{"family":"Yuan","given":"Kun"},{"family":"Jin","given":"Yiwen"},{"family":"Zhao","given":"Liangjie"}],"issued":{"date-parts":[["2024"]]}}}],"schema":"https://github.com/citation-style-language/schema/raw/master/csl-citation.json"} </w:instrText>
            </w:r>
            <w:r w:rsidRPr="0034117A">
              <w:rPr>
                <w:sz w:val="18"/>
                <w:szCs w:val="18"/>
              </w:rPr>
              <w:fldChar w:fldCharType="separate"/>
            </w:r>
            <w:r w:rsidRPr="0034117A">
              <w:rPr>
                <w:sz w:val="18"/>
              </w:rPr>
              <w:t>(Ganau &amp; Grandinetti, 2021; B. Song et al., 2024)</w:t>
            </w:r>
            <w:r w:rsidRPr="0034117A">
              <w:rPr>
                <w:sz w:val="18"/>
                <w:szCs w:val="18"/>
              </w:rPr>
              <w:fldChar w:fldCharType="end"/>
            </w:r>
          </w:p>
        </w:tc>
      </w:tr>
      <w:tr w:rsidR="00E22618" w:rsidRPr="0034117A" w14:paraId="4EF98033" w14:textId="77777777" w:rsidTr="00952AA8">
        <w:trPr>
          <w:trHeight w:val="131"/>
        </w:trPr>
        <w:tc>
          <w:tcPr>
            <w:cnfStyle w:val="001000000000" w:firstRow="0" w:lastRow="0" w:firstColumn="1" w:lastColumn="0" w:oddVBand="0" w:evenVBand="0" w:oddHBand="0" w:evenHBand="0" w:firstRowFirstColumn="0" w:firstRowLastColumn="0" w:lastRowFirstColumn="0" w:lastRowLastColumn="0"/>
            <w:tcW w:w="1376" w:type="dxa"/>
            <w:vMerge w:val="restart"/>
            <w:vAlign w:val="center"/>
          </w:tcPr>
          <w:p w14:paraId="25169FA5" w14:textId="77777777" w:rsidR="00D1012C" w:rsidRPr="0034117A" w:rsidRDefault="00D1012C" w:rsidP="00952AA8">
            <w:pPr>
              <w:widowControl/>
              <w:rPr>
                <w:rFonts w:eastAsia="B5+华光书宋_CNKI"/>
                <w:sz w:val="18"/>
                <w:szCs w:val="18"/>
              </w:rPr>
            </w:pPr>
            <w:bookmarkStart w:id="22" w:name="_Hlk182732339"/>
            <w:bookmarkEnd w:id="21"/>
            <w:r w:rsidRPr="0034117A">
              <w:rPr>
                <w:sz w:val="18"/>
                <w:szCs w:val="18"/>
              </w:rPr>
              <w:t>Regional innovation systems theory</w:t>
            </w:r>
          </w:p>
        </w:tc>
        <w:tc>
          <w:tcPr>
            <w:tcW w:w="1487" w:type="dxa"/>
            <w:vAlign w:val="center"/>
          </w:tcPr>
          <w:p w14:paraId="6FF751D5"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Industry-Academia Collaboration</w:t>
            </w:r>
            <w:r w:rsidRPr="00E22618">
              <w:rPr>
                <w:sz w:val="18"/>
                <w:szCs w:val="18"/>
              </w:rPr>
              <w:t xml:space="preserve"> (</w:t>
            </w:r>
            <w:r w:rsidRPr="00E22618">
              <w:rPr>
                <w:rStyle w:val="10"/>
                <w:rFonts w:ascii="Times New Roman" w:hAnsi="Times New Roman" w:cs="Times New Roman"/>
                <w:color w:val="auto"/>
                <w:sz w:val="20"/>
                <w:szCs w:val="20"/>
              </w:rPr>
              <w:t>ICOL</w:t>
            </w:r>
            <w:r w:rsidRPr="00E22618">
              <w:rPr>
                <w:sz w:val="18"/>
                <w:szCs w:val="18"/>
              </w:rPr>
              <w:t>)</w:t>
            </w:r>
          </w:p>
        </w:tc>
        <w:tc>
          <w:tcPr>
            <w:tcW w:w="3369" w:type="dxa"/>
            <w:vAlign w:val="center"/>
          </w:tcPr>
          <w:p w14:paraId="7E0B50DC"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Measured by the number of patents jointly applied by universities or research institutions and enterprises.</w:t>
            </w:r>
          </w:p>
        </w:tc>
        <w:tc>
          <w:tcPr>
            <w:tcW w:w="2582" w:type="dxa"/>
            <w:vAlign w:val="center"/>
          </w:tcPr>
          <w:p w14:paraId="132A0B20"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fldChar w:fldCharType="begin"/>
            </w:r>
            <w:r w:rsidRPr="0034117A">
              <w:rPr>
                <w:sz w:val="18"/>
                <w:szCs w:val="18"/>
              </w:rPr>
              <w:instrText xml:space="preserve"> ADDIN ZOTERO_ITEM CSL_CITATION {"citationID":"ti463MLH","properties":{"formattedCitation":"(Lei et al., 2012; Zhuang et al., 2021)","plainCitation":"(Lei et al., 2012; Zhuang et al., 2021)","noteIndex":0},"citationItems":[{"id":2348,"uris":["http://zotero.org/users/8459910/items/BI3MF53M"],"itemData":{"id":2348,"type":"article-journal","container-title":"Scientometrics","issue":"1","note":"publisher: Akadémiai Kiadó, co-published with Springer Science+ Business Media BV …","page":"231–251","source":"Google Scholar","title":"The inventive activities and collaboration pattern of university–industry–government in China based on patent analysis","volume":"90","author":[{"family":"Lei","given":"Xiao-Ping"},{"family":"Zhao","given":"Zhi-Yun"},{"family":"Zhang","given":"Xu"},{"family":"Chen","given":"Dar-Zen"},{"family":"Huang","given":"Mu-Hsuan"},{"family":"Zhao","given":"Yun-Hua"}],"issued":{"date-parts":[["2012"]]}}},{"id":2350,"uris":["http://zotero.org/users/8459910/items/244NPRC2"],"itemData":{"id":2350,"type":"article-journal","abstract":"Over the last 20 years, university–industry–government collaborative innovation has received extensive attention in theory and practice. However, the question of how to integrate and understand collaborative innovation from a theoretical perspective has not been thoroughly studied. This study designed a regional collaborative innovation evaluation model based on the triple helix theory. The invention patent data of 31 provincial regions in China for the last 5 years are used to investigate the regional differences and dynamic evolution of the collaborative innovation and the interaction and coupling relationship between intraregional and interregional industries, universities, and governments empirically. This study found that the number of invention patents in China has rapidly grown yearly, indicating that industries are the most important source of invention patents. The difference in the regional distribution of China's collaborative innovation output is remarkable, showing a pattern of “strong east and weak west” in the total volume and “south fast north slow” in the growth rate. The bilateral synergistic effect of industry–university relations is strong considering two-dimensional cooperation, and the relationship is close. Collaborative innovation is dominated by intraregional cooperation, whereas interregional cooperation shows a growing trend. The tripartite relationship between university, industry, and government shows a loose trend. Certain provinces with weak regional innovation capabilities, such as Gansu, Hainan, Xinjiang, and Qinghai, have a relatively close cooperation level, which is in the stage of government-led innovation and development. However, Guangdong, Chongqing, Anhui, Jiangsu, and other provinces with outstanding regional innovation capability do not have close cooperation between universities, industries, and governments, which are in the stage of innovation and development led by industries. This paper discusses the policy implications for different regions based on the research conclusions.","container-title":"Growth and Change","DOI":"10.1111/grow.12490","ISSN":"1468-2257","issue":"3","language":"en","license":"© 2021 Wiley Periodicals LLC.","note":"_eprint: https://onlinelibrary.wiley.com/doi/pdf/10.1111/grow.12490","page":"1361-1386","source":"Wiley Online Library","title":"Triple helix relationship research on China's regional university–industry–government collaborative innovation: Based on provincial patent data","title-short":"Triple helix relationship research on China's regional university–industry–government collaborative innovation","volume":"52","author":[{"family":"Zhuang","given":"Tao"},{"family":"Zhao","given":"Shuliang"},{"family":"Zheng","given":"Mingliang"},{"family":"Chu","given":"Jianxun"}],"issued":{"date-parts":[["2021"]]}}}],"schema":"https://github.com/citation-style-language/schema/raw/master/csl-citation.json"} </w:instrText>
            </w:r>
            <w:r w:rsidRPr="0034117A">
              <w:rPr>
                <w:sz w:val="18"/>
                <w:szCs w:val="18"/>
              </w:rPr>
              <w:fldChar w:fldCharType="separate"/>
            </w:r>
            <w:r w:rsidRPr="0034117A">
              <w:rPr>
                <w:sz w:val="18"/>
              </w:rPr>
              <w:t>(Lei et al., 2012; Zhuang et al., 2021)</w:t>
            </w:r>
            <w:r w:rsidRPr="0034117A">
              <w:rPr>
                <w:sz w:val="18"/>
                <w:szCs w:val="18"/>
              </w:rPr>
              <w:fldChar w:fldCharType="end"/>
            </w:r>
          </w:p>
        </w:tc>
      </w:tr>
      <w:tr w:rsidR="00E22618" w:rsidRPr="0034117A" w14:paraId="6DCC1C74" w14:textId="77777777" w:rsidTr="00952AA8">
        <w:trPr>
          <w:trHeight w:val="131"/>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54B7F97F" w14:textId="77777777" w:rsidR="00D1012C" w:rsidRPr="0034117A" w:rsidRDefault="00D1012C" w:rsidP="00952AA8">
            <w:pPr>
              <w:widowControl/>
              <w:rPr>
                <w:sz w:val="18"/>
                <w:szCs w:val="18"/>
              </w:rPr>
            </w:pPr>
            <w:bookmarkStart w:id="23" w:name="_Hlk192943113"/>
            <w:bookmarkEnd w:id="22"/>
          </w:p>
        </w:tc>
        <w:tc>
          <w:tcPr>
            <w:tcW w:w="1487" w:type="dxa"/>
            <w:vAlign w:val="center"/>
          </w:tcPr>
          <w:p w14:paraId="30EB563A"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rFonts w:eastAsia="B5+华光书宋_CNKI"/>
                <w:sz w:val="18"/>
                <w:szCs w:val="18"/>
              </w:rPr>
            </w:pPr>
            <w:r w:rsidRPr="0034117A">
              <w:rPr>
                <w:rFonts w:eastAsia="B5+华光书宋_CNKI"/>
                <w:sz w:val="18"/>
                <w:szCs w:val="18"/>
              </w:rPr>
              <w:t>Financial Accessibility</w:t>
            </w:r>
            <w:r w:rsidRPr="00E22618">
              <w:rPr>
                <w:rFonts w:eastAsia="B5+华光书宋_CNKI"/>
                <w:sz w:val="18"/>
                <w:szCs w:val="18"/>
              </w:rPr>
              <w:t xml:space="preserve"> </w:t>
            </w:r>
            <w:r w:rsidRPr="00E22618">
              <w:rPr>
                <w:sz w:val="18"/>
                <w:szCs w:val="18"/>
              </w:rPr>
              <w:t>(</w:t>
            </w:r>
            <w:r w:rsidRPr="00E22618">
              <w:rPr>
                <w:rStyle w:val="10"/>
                <w:rFonts w:ascii="Times New Roman" w:hAnsi="Times New Roman" w:cs="Times New Roman"/>
                <w:color w:val="auto"/>
                <w:sz w:val="20"/>
                <w:szCs w:val="20"/>
              </w:rPr>
              <w:t>FA</w:t>
            </w:r>
            <w:r w:rsidRPr="00E22618">
              <w:rPr>
                <w:sz w:val="18"/>
                <w:szCs w:val="18"/>
              </w:rPr>
              <w:t>)</w:t>
            </w:r>
          </w:p>
        </w:tc>
        <w:tc>
          <w:tcPr>
            <w:tcW w:w="3369" w:type="dxa"/>
            <w:vAlign w:val="center"/>
          </w:tcPr>
          <w:p w14:paraId="4F57C7C9"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Represented by the number of financial institutions with licensed operations in each city</w:t>
            </w:r>
          </w:p>
        </w:tc>
        <w:tc>
          <w:tcPr>
            <w:tcW w:w="2582" w:type="dxa"/>
            <w:vAlign w:val="center"/>
          </w:tcPr>
          <w:p w14:paraId="75984641"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fldChar w:fldCharType="begin"/>
            </w:r>
            <w:r w:rsidRPr="0034117A">
              <w:rPr>
                <w:sz w:val="18"/>
                <w:szCs w:val="18"/>
              </w:rPr>
              <w:instrText xml:space="preserve"> ADDIN ZOTERO_ITEM CSL_CITATION {"citationID":"CWv8kl6Y","properties":{"formattedCitation":"(Emara &amp; El Said, 2021; Hu et al., 2023; S. Li et al., 2024)","plainCitation":"(Emara &amp; El Said, 2021; Hu et al., 2023; S. Li et al., 2024)","dontUpdate":true,"noteIndex":0},"citationItems":[{"id":2163,"uris":["http://zotero.org/users/8459910/items/NSSYJ6EI"],"itemData":{"id":2163,"type":"article-journal","abstract":"Although the relationship between financial development and economic growth have been extensively studied, the literature that examines the role of financial inclusion, as a key factor of financial development, and the possible impact of governance quality on financial inclusion link to growth is not as vast. Promoting financial inclusion and developing good governance are main, but challenging priorities in the MENA region. The paper empirically investigates the relationship between financial inclusion, governance, and economic growth in the MENA region. A system General Method of Moments (GMM) dynamic panel model technique is employed on annual data for 44 emerging markets (EMs) and MENA over the period 1990–2018, using a number of measures of financial inclusion covering the households and the firms’ access to finance. Particularly, the study uses indicators such as the number of bank accounts (per 1000 adult population), bank accounts for corporates/enterprises, and the number of bank branches and ATMS (per 100,000 people), percentage of firms using banks to finance investments, and the percentage of firms using bank loans to finance working capital. The results of the study indicate that financial inclusion positively impacts GDP per capita growth in the selected countries. Financial inclusion measured by the households’ financial access index has a positive and statistically significant impact on economic growth in the MENA region, but requires supervisory and regulatory regimes with backing of the rule of law, judicial independence, contract enforcement, control of corruption, and political stability. The results also indicate that the effect firms’ access to finance is only statistically significant in the presence of strong institutions. Finally, our results imply that countries with relatively low levels of financial access services, such as the MENA region, would benefit the most from an improvement in governance. Hence, our policy implications are directed towards developing a national strategic plan aimed towards improving access to finance coupled with policies aimed at improving the level of governance in order to maximize the impact of financial access on economic growth.","container-title":"International Review of Economics &amp; Finance","DOI":"10.1016/j.iref.2021.03.014","ISSN":"1059-0560","journalAbbreviation":"International Review of Economics &amp; Finance","page":"34-54","source":"ScienceDirect","title":"Financial inclusion and economic growth: The role of governance in selected MENA countries","title-short":"Financial inclusion and economic growth","volume":"75","author":[{"family":"Emara","given":"Noha"},{"family":"El Said","given":"Ayah"}],"issued":{"date-parts":[["2021",9,1]]}}},{"id":2782,"uris":["http://zotero.org/users/8459910/items/AJ357ZYV"],"itemData":{"id":2782,"type":"article-journal","container-title":"Journal of Innovation &amp; Knowledge","issue":"4","note":"publisher: Elsevier","page":"100434","source":"Google Scholar","title":"Financial agglomeration and regional green innovation efficiency from the perspective of spatial spillover","volume":"8","author":[{"family":"Hu","given":"Yue"},{"family":"Wang","given":"Chong"},{"family":"Zhang","given":"Xukang"},{"family":"Wan","given":"Hong"},{"family":"Jiang","given":"Dan"}],"issued":{"date-parts":[["2023"]]}}},{"id":2159,"uris":["http://zotero.org/users/8459910/items/FTLPQF5E"],"itemData":{"id":2159,"type":"article-journal","container-title":"Journal of the Knowledge Economy","DOI":"10.1007/s13132-024-01765-8","ISSN":"1868-7873","issue":"4","journalAbbreviation":"J Knowl Econ","language":"en","page":"16868-16912","source":"DOI.org (Crossref)","title":"Financial Density and Innovation Quality: Evidence from the Geographic Distribution of Financial Institutions in China","title-short":"Financial Density and Innovation Quality","volume":"15","author":[{"family":"Li","given":"Shengrui"},{"family":"Chen","given":"Leyi"},{"family":"Li","given":"Yushuang"},{"family":"Liu","given":"Ling"}],"issued":{"date-parts":[["2024",2,7]]}}}],"schema":"https://github.com/citation-style-language/schema/raw/master/csl-citation.json"} </w:instrText>
            </w:r>
            <w:r w:rsidRPr="0034117A">
              <w:rPr>
                <w:sz w:val="18"/>
                <w:szCs w:val="18"/>
              </w:rPr>
              <w:fldChar w:fldCharType="separate"/>
            </w:r>
            <w:r w:rsidRPr="0034117A">
              <w:rPr>
                <w:sz w:val="18"/>
              </w:rPr>
              <w:t>(Emara &amp; El Said, 2021; S. Li et al., 2024)</w:t>
            </w:r>
            <w:r w:rsidRPr="0034117A">
              <w:rPr>
                <w:sz w:val="18"/>
                <w:szCs w:val="18"/>
              </w:rPr>
              <w:fldChar w:fldCharType="end"/>
            </w:r>
          </w:p>
        </w:tc>
      </w:tr>
      <w:tr w:rsidR="00E22618" w:rsidRPr="0034117A" w14:paraId="63466C9D" w14:textId="77777777" w:rsidTr="00952AA8">
        <w:trPr>
          <w:trHeight w:val="131"/>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4A6C7D42" w14:textId="77777777" w:rsidR="00D1012C" w:rsidRPr="0034117A" w:rsidRDefault="00D1012C" w:rsidP="00952AA8">
            <w:pPr>
              <w:widowControl/>
              <w:rPr>
                <w:sz w:val="18"/>
                <w:szCs w:val="18"/>
              </w:rPr>
            </w:pPr>
            <w:bookmarkStart w:id="24" w:name="_Hlk192943209"/>
            <w:bookmarkEnd w:id="23"/>
          </w:p>
        </w:tc>
        <w:tc>
          <w:tcPr>
            <w:tcW w:w="1487" w:type="dxa"/>
            <w:vAlign w:val="center"/>
          </w:tcPr>
          <w:p w14:paraId="3F0E3534"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rFonts w:eastAsia="B5+华光书宋_CNKI"/>
                <w:sz w:val="18"/>
                <w:szCs w:val="18"/>
              </w:rPr>
            </w:pPr>
            <w:r w:rsidRPr="0034117A">
              <w:rPr>
                <w:rFonts w:eastAsia="B5+华光书宋_CNKI"/>
                <w:sz w:val="18"/>
                <w:szCs w:val="18"/>
              </w:rPr>
              <w:t>Innovation Network Density</w:t>
            </w:r>
            <w:r w:rsidRPr="00E22618">
              <w:rPr>
                <w:rFonts w:eastAsia="B5+华光书宋_CNKI"/>
                <w:sz w:val="18"/>
                <w:szCs w:val="18"/>
              </w:rPr>
              <w:t xml:space="preserve"> </w:t>
            </w:r>
            <w:r w:rsidRPr="00E22618">
              <w:rPr>
                <w:sz w:val="18"/>
                <w:szCs w:val="18"/>
              </w:rPr>
              <w:t>(</w:t>
            </w:r>
            <w:r w:rsidRPr="00E22618">
              <w:rPr>
                <w:rStyle w:val="10"/>
                <w:rFonts w:ascii="Times New Roman" w:hAnsi="Times New Roman" w:cs="Times New Roman"/>
                <w:color w:val="auto"/>
                <w:sz w:val="20"/>
                <w:szCs w:val="20"/>
              </w:rPr>
              <w:t>IND</w:t>
            </w:r>
            <w:r w:rsidRPr="00E22618">
              <w:rPr>
                <w:sz w:val="18"/>
                <w:szCs w:val="18"/>
              </w:rPr>
              <w:t>)</w:t>
            </w:r>
          </w:p>
        </w:tc>
        <w:tc>
          <w:tcPr>
            <w:tcW w:w="3369" w:type="dxa"/>
            <w:vAlign w:val="center"/>
          </w:tcPr>
          <w:p w14:paraId="1F1BD8C5"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Defined as the number of inventors listed on jointly applied patents</w:t>
            </w:r>
          </w:p>
        </w:tc>
        <w:tc>
          <w:tcPr>
            <w:tcW w:w="2582" w:type="dxa"/>
            <w:vAlign w:val="center"/>
          </w:tcPr>
          <w:p w14:paraId="0A57BEFB"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fldChar w:fldCharType="begin"/>
            </w:r>
            <w:r w:rsidRPr="0034117A">
              <w:rPr>
                <w:sz w:val="18"/>
                <w:szCs w:val="18"/>
              </w:rPr>
              <w:instrText xml:space="preserve"> ADDIN ZOTERO_ITEM CSL_CITATION {"citationID":"poW45kP4","properties":{"formattedCitation":"(Fitjar &amp; Rodr\\uc0\\u237{}guez\\uc0\\u8208{}Pose, 2020; W. Li &amp; He, 2024; Zhao &amp; Li, 2022)","plainCitation":"(Fitjar &amp; Rodríguez‐Pose, 2020; W. Li &amp; He, 2024; Zhao &amp; Li, 2022)","noteIndex":0},"citationItems":[{"id":2173,"uris":["http://zotero.org/users/8459910/items/IU2NHXZ2"],"itemData":{"id":2173,"type":"article-journal","abstract":"Abstract\n            The role of cities in fostering innovation has for long been taken for granted. Agglomeration and the knowledge spillovers generated in dense urban environments have been considered fundamental drivers of innovation. This view has, however, become challenged by research questioning the returns to physical agglomeration and local networking, placing instead more emphasis on the importance of interregional and international collaboration, and on innovation in peripheral regions. This paper delves into the debate on the role of cities for innovation by examining the interplay between urban location and local collaboration in Norway. It uses data from the Community Innovation Survey for 2006–2010 to map out the geographical dimension of R&amp;D collaboration in Norwegian firms with a view to assessing whether different types of R&amp;D collaboration in urban and rural locations affect firms’ propensity to innovate. The results show that local collaboration is associated with increased process and organisational innovation, while it does not produce higher levels of product or marketing innovation. Conversely, international collaboration is connected with higher probabilities of product, new‐to‐market and marketing innovations. Furthermore, location in urban or rural areas makes no difference for most innovation outcomes in Norway when other characteristics are controlled for. Location in cities also does not shape the returns to local R&amp;D collaboration. Hence, the role of cities for innovation in Norway, whether in themselves or as sites for dense local interaction, is less relevant than the urban innovation literature would predict.","container-title":"Journal of Regional Science","DOI":"10.1111/jors.12461","ISSN":"0022-4146, 1467-9787","issue":"1","journalAbbreviation":"Journal of Regional Science","language":"en","page":"5-32","source":"DOI.org (Crossref)","title":"Where cities fail to triumph: The impact of urban location and local collaboration on innovation in Norway","title-short":"Where cities fail to triumph","volume":"60","author":[{"family":"Fitjar","given":"Rune D."},{"family":"Rodríguez‐Pose","given":"Andrés"}],"issued":{"date-parts":[["2020",1]]}}},{"id":7,"uris":["http://zotero.org/users/8459910/items/KQUCZQLK"],"itemData":{"id":7,"type":"article-journal","abstract":"Regional diversification literature has increasingly recognized the importance of diversifying into unrelated technologies. The emergence of technologies is considered the outcome of collaborative efforts, nevertheless, the role of scientific organizations is largely ignored. Especially, we know less about the impact of IndustryUniversity-Research (IUR) collaboration on regional technological diversification. To fill in the gap, we conduct an empirical analysis based on patents from the Chinese Intellectual Patent Office over 2000–2019, in the case of China’s pharmaceutical industry. The results show that: (1) Universities are pharmaceutical firms’ primary collaborators, followed by research institutes, with hospitals accounting for a relatively small part. (2) There are significant differences in the knowledge bases of actors, with pharmaceutical firms more oriented to the applied field and scientific organizations, especially universities, focusing on basic research. (3) Regions with more IUR collaboration tend to diversify into unrelated technologies about pharmaceuticals, and its role is more evident for inter-regional collaboration. (4) Pharmaceutical firms engaging in IUR collaboration are more likely to diversify into unrelated technologies, while the technological diversification of scientific organizations seems to be irrelevant to IUR collaboration. Furthermore, pharmaceutical firms that collaborate with universities instead of research institutes and hospitals frequently tend to develop unrelated technologies.","container-title":"Applied Geography","DOI":"10.1016/j.apgeog.2024.103393","ISSN":"01436228","journalAbbreviation":"Applied Geography","language":"en","page":"103393","source":"DOI.org (Crossref)","title":"The role of Industry-University-Research collaboration in regional technological diversification: An empirical study on the pharmaceutical industry in China","title-short":"The role of Industry-University-Research collaboration in regional technological diversification","volume":"171","author":[{"family":"Li","given":"Wentao"},{"family":"He","given":"Canfei"}],"issued":{"date-parts":[["2024",10]]}}},{"id":2352,"uris":["http://zotero.org/users/8459910/items/NKUIAXLL"],"itemData":{"id":2352,"type":"article-journal","abstract":"With the development of regional economy, innovation network plays an increasingly prominent role in reducing regional innovation cost and enabling information, knowledge and capital flow and diffusion. Building an efficient innovation network has become a feasible way to improve regional innovation capabilities and performance. Thus, under the background of Chinese special triple helix structure, the specific mechanism of innovation network characteristics on regional innovation performance is still an issue that needs to be studied urgently.,This study conducts a multi-level regression analysis regional innovation panel data of China from the past four years to explore how the three dimensions of innovation network characteristics (i.e. network density, openness and strength) affect regional innovation performance.,The results show that there is an inverted-U relationship exists between network density and regional innovation performance. The network openness and regional innovation performance show a significantly positive relationship and a U-shaped relationship exists between network strength and regional innovation performance.,First, this study examines the relationship between network density, openness, strength and innovation ability in the network variable structure. However, this study does not analyze how absorptive capacity impacts the network structure and innovation performance of regional innovators. Second, innovation network intensity largely varies according to different types of enterprises or industries. Therefore, future studies can attempt to analyze the relationship between innovation network and innovation performance on the basis of the industry or the enterprise itself. Fourth, this study does not consider the change in the influence of innovation network structure on innovation ability.,The results of this study provide insights for the formulation of the regional innovation policy. First, enterprises must maintain good contact with research institutes, universities and technology intermediaries and promote resource, information and money flow between networks through formal and informal interactions. Enterprises can currently only interact with a limited number of innovative subjects due to their limited resources. Therefore, we should continue implementing the open policy of foreign capital utilization and absorb the technology, knowledge, management, ideas, talent and other resource advantages in the world. The investment environment in the central and western regions should be improved as soon as possible to guide foreign direct investments to the middle and the west part of China, thereby promoting the coordinated development of regional innovation ability and economy.,In 2015, the Chinese Government proposed “public entrepreneurship and innovation,” including technological, institutional, management and mode innovations. This study suggests that innovation subjects in the region should establish an interactive and dynamic innovation network among innovators.,The innovation of this study lies in the analysis of the characteristics of innovation network that significantly affect regional innovation performance, the exploration of different stages of innovation network construction path and provide theoretical guidance for the construction of innovation network.","archive_location":"world","DOI":"10.1108/JSTPM-05-2022-0084","ISSN":"2053-4620","language":"en","note":"publisher: Emerald Publishing Limited","source":"www.emerald.com","title":"Impact of innovation network on regional innovation performance: do network density, network openness and network strength have any influence?","title-short":"Impact of innovation network on regional innovation performance","URL":"https://www.emerald.com/insight/content/doi/10.1108/jstpm-05-2022-0084/full/html","author":[{"family":"Zhao","given":"Shuliang"},{"family":"Li","given":"Jinshuang"}],"accessed":{"date-parts":[["2025",3,24]]},"issued":{"date-parts":[["2022",11,3]]}}}],"schema":"https://github.com/citation-style-language/schema/raw/master/csl-citation.json"} </w:instrText>
            </w:r>
            <w:r w:rsidRPr="0034117A">
              <w:rPr>
                <w:sz w:val="18"/>
                <w:szCs w:val="18"/>
              </w:rPr>
              <w:fldChar w:fldCharType="separate"/>
            </w:r>
            <w:r w:rsidRPr="0034117A">
              <w:rPr>
                <w:sz w:val="18"/>
              </w:rPr>
              <w:t>(Fitjar &amp; Rodríguez‐Pose, 2020; W. Li &amp; He, 2024; Zhao &amp; Li, 2022)</w:t>
            </w:r>
            <w:r w:rsidRPr="0034117A">
              <w:rPr>
                <w:sz w:val="18"/>
                <w:szCs w:val="18"/>
              </w:rPr>
              <w:fldChar w:fldCharType="end"/>
            </w:r>
          </w:p>
        </w:tc>
      </w:tr>
      <w:tr w:rsidR="00E22618" w:rsidRPr="0034117A" w14:paraId="1A06DF0D" w14:textId="77777777" w:rsidTr="00952AA8">
        <w:trPr>
          <w:trHeight w:val="131"/>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1FC19D2D" w14:textId="77777777" w:rsidR="00D1012C" w:rsidRPr="0034117A" w:rsidRDefault="00D1012C" w:rsidP="00952AA8">
            <w:pPr>
              <w:widowControl/>
              <w:rPr>
                <w:sz w:val="18"/>
                <w:szCs w:val="18"/>
              </w:rPr>
            </w:pPr>
            <w:bookmarkStart w:id="25" w:name="_Hlk192943216"/>
            <w:bookmarkEnd w:id="24"/>
          </w:p>
        </w:tc>
        <w:tc>
          <w:tcPr>
            <w:tcW w:w="1487" w:type="dxa"/>
            <w:vAlign w:val="center"/>
          </w:tcPr>
          <w:p w14:paraId="61B78E87"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rFonts w:eastAsia="B5+华光书宋_CNKI"/>
                <w:sz w:val="18"/>
                <w:szCs w:val="18"/>
              </w:rPr>
            </w:pPr>
            <w:r w:rsidRPr="0034117A">
              <w:rPr>
                <w:rFonts w:eastAsia="B5+华光书宋_CNKI"/>
                <w:sz w:val="18"/>
                <w:szCs w:val="18"/>
              </w:rPr>
              <w:t>National Policy Support</w:t>
            </w:r>
            <w:r w:rsidRPr="00E22618">
              <w:rPr>
                <w:rFonts w:eastAsia="B5+华光书宋_CNKI"/>
                <w:sz w:val="18"/>
                <w:szCs w:val="18"/>
              </w:rPr>
              <w:t xml:space="preserve"> </w:t>
            </w:r>
            <w:r w:rsidRPr="00E22618">
              <w:rPr>
                <w:sz w:val="18"/>
                <w:szCs w:val="18"/>
              </w:rPr>
              <w:t>(</w:t>
            </w:r>
            <w:r w:rsidRPr="00E22618">
              <w:rPr>
                <w:rStyle w:val="10"/>
                <w:rFonts w:ascii="Times New Roman" w:hAnsi="Times New Roman" w:cs="Times New Roman"/>
                <w:color w:val="auto"/>
                <w:sz w:val="20"/>
                <w:szCs w:val="20"/>
              </w:rPr>
              <w:t>NPS</w:t>
            </w:r>
            <w:r w:rsidRPr="00E22618">
              <w:rPr>
                <w:sz w:val="18"/>
                <w:szCs w:val="18"/>
              </w:rPr>
              <w:t>)</w:t>
            </w:r>
          </w:p>
        </w:tc>
        <w:tc>
          <w:tcPr>
            <w:tcW w:w="3369" w:type="dxa"/>
            <w:vAlign w:val="center"/>
          </w:tcPr>
          <w:p w14:paraId="59E3C04F"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Proxied by the number of national-level economic and technological development zones in each city.</w:t>
            </w:r>
          </w:p>
        </w:tc>
        <w:tc>
          <w:tcPr>
            <w:tcW w:w="2582" w:type="dxa"/>
            <w:vAlign w:val="center"/>
          </w:tcPr>
          <w:p w14:paraId="11558CCA"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fldChar w:fldCharType="begin"/>
            </w:r>
            <w:r w:rsidRPr="0034117A">
              <w:rPr>
                <w:sz w:val="18"/>
                <w:szCs w:val="18"/>
              </w:rPr>
              <w:instrText xml:space="preserve"> ADDIN ZOTERO_ITEM CSL_CITATION {"citationID":"r2wnZpqy","properties":{"formattedCitation":"(Aisaiti et al., 2022; Wu et al., 2021; Ye et al., 2024)","plainCitation":"(Aisaiti et al., 2022; Wu et al., 2021; Ye et al., 2024)","noteIndex":0},"citationItems":[{"id":2179,"uris":["http://zotero.org/users/8459910/items/Y7TE9AEM"],"itemData":{"id":2179,"type":"article-journal","abstract":"Purpose\n              This paper aims to understand the relationship between the National Innovation Demonstration Zone policy and city innovation capability and the underlying mechanisms.\n            \n            \n              Design/methodology/approach\n              This paper collects panel data of 283 Chinese cities from 2006 to 2018 for the quasi-natural experiment of National Independent Demonstration Zone (NIDZ) policy. It applies the difference-in-difference (DID) method to study the impact of NIDZ policy on city innovation capability and its underlying mechanism to enhance it.\n            \n            \n              Findings\n              The empirical result indicates that the establishment of NIDZ significantly enhances the city's innovation capability, which was verified through a series of robustness tests. The mechanism analysis shows that the NIDZ promote the inflow and outflow of knowledge, which implies NIDZ enhances the innovation capability of cities by facilitating the innovation sharing impact. Heterogeneity analysis indicates that the higher degree of digitalization, the higher the government service level induce a more favourable policy effect. The policy effect is more significant in the cities with a higher marketization or the eastern developed region.\n            \n            \n              Practical implications\n              This study’s empirical findings suggest that it is essential to improve the digital infrastructure to accomplish the digital transformation and upgrading of NIDZ. The government should improve the service efficiency and reshape the city market environment to ensure the fair competition of science and technology enterprises.\n            \n            \n              Originality/value\n              The paper first proposed and empirically tested that innovation sharing is an important mechanism that can significantly enhance the city innovation capability. The authors analyse the heterogeneity of NIDZ from four aspects: digitalization level, marketization level, government service level, and regional development and expanded research boundaries.","container-title":"Industrial Management &amp; Data Systems","DOI":"10.1108/IMDS-12-2021-0772","ISSN":"0263-5577","issue":"5","journalAbbreviation":"IMDS","language":"en","license":"https://www.emerald.com/insight/site-policies","page":"1246-1267","source":"DOI.org (Crossref)","title":"National Innovation Demonstration Zone policy and city innovation capability – a quasi-natural experimental analysis","volume":"122","author":[{"family":"Aisaiti","given":"Gulizhaer"},{"family":"Xie","given":"Jiaping"},{"family":"Zhang","given":"Tingting"}],"issued":{"date-parts":[["2022",5,16]]}}},{"id":2182,"uris":["http://zotero.org/users/8459910/items/WFX5VNWP"],"itemData":{"id":2182,"type":"article-journal","container-title":"China Economic Quarterly International","issue":"4","note":"publisher: Elsevier","page":"319–330","source":"Google Scholar","title":"The special economic zones and innovation: Evidence from China","title-short":"The special economic zones and innovation","volume":"1","author":[{"family":"Wu","given":"Min"},{"family":"Liu","given":"Chong"},{"family":"Huang","given":"Jiuli"}],"issued":{"date-parts":[["2021"]]}}},{"id":2181,"uris":["http://zotero.org/users/8459910/items/DRKLKTQB"],"itemData":{"id":2181,"type":"article-journal","abstract":"With the proliferation of special economic zones (SEZs) among emerging economies, their mixed performance has sparked discussions on contextual heterogeneity and underlying driving mechanisms. Characterized by an outward-oriented economy and industry-city interaction, the cross-stage establishment practice of China's national economic and technological development zones (ETDZs) is conducive to expanding existing research focused on cross-country analyses of SEZs. This study constructs difference-in-differences models to analyze the influence of national ETDZs on regional industrial development in the Yellow River basin, a typical developing region in China, from 2003 to 2019, evaluating their performance under a regional balanced development strategy and a within a lagging economic backdrop. The results indicate that (1) national ETDZs do not contribute to industrial growth and even exert a negative effect; (2) while they fail to perform better over time, their spatial spillover effect slightly benefits neighboring cities; (3) an optimal economic environment and proactive policy promotion can respectively mitigate and exacerbate their negative effects; (4) the inability to attract external enterprises and achieve industrial restructuring is the primary cause of the negative effect, highlighting a mismatch and discord between the economic and policy attributes of national ETDZs and evolving contexts. Based on these findings, recommendations are proposed to cultivate SEZs as suitable policy platforms and effective economic spaces.","container-title":"Habitat International","DOI":"10.1016/j.habitatint.2024.103156","ISSN":"0197-3975","journalAbbreviation":"Habitat International","page":"103156","source":"ScienceDirect","title":"Yesterday's solution: Do national economic and technological development zones promote industrial development in typical developing regions of China?","title-short":"Yesterday's solution","volume":"152","author":[{"family":"Ye","given":"Zhicong"},{"family":"Ma","given":"Li"},{"family":"Jin","given":"Fengjun"}],"issued":{"date-parts":[["2024",10,1]]}}}],"schema":"https://github.com/citation-style-language/schema/raw/master/csl-citation.json"} </w:instrText>
            </w:r>
            <w:r w:rsidRPr="0034117A">
              <w:rPr>
                <w:sz w:val="18"/>
                <w:szCs w:val="18"/>
              </w:rPr>
              <w:fldChar w:fldCharType="separate"/>
            </w:r>
            <w:r w:rsidRPr="0034117A">
              <w:rPr>
                <w:sz w:val="18"/>
              </w:rPr>
              <w:t>(Aisaiti et al., 2022; Wu et al., 2021; Ye et al., 2024)</w:t>
            </w:r>
            <w:r w:rsidRPr="0034117A">
              <w:rPr>
                <w:sz w:val="18"/>
                <w:szCs w:val="18"/>
              </w:rPr>
              <w:fldChar w:fldCharType="end"/>
            </w:r>
          </w:p>
        </w:tc>
      </w:tr>
      <w:tr w:rsidR="00E22618" w:rsidRPr="0034117A" w14:paraId="79DC36F4" w14:textId="77777777" w:rsidTr="00952AA8">
        <w:trPr>
          <w:trHeight w:val="131"/>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14A7BC02" w14:textId="77777777" w:rsidR="00D1012C" w:rsidRPr="0034117A" w:rsidRDefault="00D1012C" w:rsidP="00952AA8">
            <w:pPr>
              <w:widowControl/>
              <w:rPr>
                <w:sz w:val="18"/>
                <w:szCs w:val="18"/>
              </w:rPr>
            </w:pPr>
            <w:bookmarkStart w:id="26" w:name="_Hlk192943260"/>
            <w:bookmarkEnd w:id="25"/>
          </w:p>
        </w:tc>
        <w:tc>
          <w:tcPr>
            <w:tcW w:w="1487" w:type="dxa"/>
            <w:vAlign w:val="center"/>
          </w:tcPr>
          <w:p w14:paraId="01E45ABE"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rFonts w:eastAsia="B5+华光书宋_CNKI"/>
                <w:sz w:val="18"/>
                <w:szCs w:val="18"/>
              </w:rPr>
            </w:pPr>
            <w:r w:rsidRPr="0034117A">
              <w:rPr>
                <w:rFonts w:eastAsia="B5+华光书宋_CNKI"/>
                <w:sz w:val="18"/>
                <w:szCs w:val="18"/>
              </w:rPr>
              <w:t>Provincial Policy Support</w:t>
            </w:r>
            <w:r w:rsidRPr="00E22618">
              <w:rPr>
                <w:rFonts w:eastAsia="B5+华光书宋_CNKI"/>
                <w:sz w:val="18"/>
                <w:szCs w:val="18"/>
              </w:rPr>
              <w:t xml:space="preserve"> </w:t>
            </w:r>
            <w:r w:rsidRPr="00E22618">
              <w:rPr>
                <w:sz w:val="18"/>
                <w:szCs w:val="18"/>
              </w:rPr>
              <w:t>(</w:t>
            </w:r>
            <w:r w:rsidRPr="00E22618">
              <w:rPr>
                <w:rStyle w:val="10"/>
                <w:rFonts w:ascii="Times New Roman" w:hAnsi="Times New Roman" w:cs="Times New Roman"/>
                <w:color w:val="auto"/>
                <w:sz w:val="20"/>
                <w:szCs w:val="20"/>
              </w:rPr>
              <w:t>PPS</w:t>
            </w:r>
            <w:r w:rsidRPr="00E22618">
              <w:rPr>
                <w:sz w:val="18"/>
                <w:szCs w:val="18"/>
              </w:rPr>
              <w:t>)</w:t>
            </w:r>
          </w:p>
        </w:tc>
        <w:tc>
          <w:tcPr>
            <w:tcW w:w="3369" w:type="dxa"/>
            <w:vAlign w:val="center"/>
          </w:tcPr>
          <w:p w14:paraId="3079DF79"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The number of provincial-level economic and technological development zones in each city is used as a measure.</w:t>
            </w:r>
          </w:p>
        </w:tc>
        <w:tc>
          <w:tcPr>
            <w:tcW w:w="2582" w:type="dxa"/>
            <w:vAlign w:val="center"/>
          </w:tcPr>
          <w:p w14:paraId="4E7F047E"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fldChar w:fldCharType="begin"/>
            </w:r>
            <w:r w:rsidRPr="0034117A">
              <w:rPr>
                <w:sz w:val="18"/>
                <w:szCs w:val="18"/>
              </w:rPr>
              <w:instrText xml:space="preserve"> ADDIN ZOTERO_ITEM CSL_CITATION {"citationID":"rUQLGMsy","properties":{"formattedCitation":"(Wu et al., 2021)","plainCitation":"(Wu et al., 2021)","noteIndex":0},"citationItems":[{"id":2182,"uris":["http://zotero.org/users/8459910/items/WFX5VNWP"],"itemData":{"id":2182,"type":"article-journal","container-title":"China Economic Quarterly International","issue":"4","note":"publisher: Elsevier","page":"319–330","source":"Google Scholar","title":"The special economic zones and innovation: Evidence from China","title-short":"The special economic zones and innovation","volume":"1","author":[{"family":"Wu","given":"Min"},{"family":"Liu","given":"Chong"},{"family":"Huang","given":"Jiuli"}],"issued":{"date-parts":[["2021"]]}}}],"schema":"https://github.com/citation-style-language/schema/raw/master/csl-citation.json"} </w:instrText>
            </w:r>
            <w:r w:rsidRPr="0034117A">
              <w:rPr>
                <w:sz w:val="18"/>
                <w:szCs w:val="18"/>
              </w:rPr>
              <w:fldChar w:fldCharType="separate"/>
            </w:r>
            <w:r w:rsidRPr="0034117A">
              <w:rPr>
                <w:sz w:val="18"/>
              </w:rPr>
              <w:t>(Wu et al., 2021)</w:t>
            </w:r>
            <w:r w:rsidRPr="0034117A">
              <w:rPr>
                <w:sz w:val="18"/>
                <w:szCs w:val="18"/>
              </w:rPr>
              <w:fldChar w:fldCharType="end"/>
            </w:r>
          </w:p>
        </w:tc>
      </w:tr>
      <w:tr w:rsidR="00E22618" w:rsidRPr="0034117A" w14:paraId="5206F22F" w14:textId="77777777" w:rsidTr="00952AA8">
        <w:trPr>
          <w:trHeight w:val="131"/>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10351F09" w14:textId="77777777" w:rsidR="00D1012C" w:rsidRPr="0034117A" w:rsidRDefault="00D1012C" w:rsidP="00952AA8">
            <w:pPr>
              <w:widowControl/>
              <w:rPr>
                <w:sz w:val="18"/>
                <w:szCs w:val="18"/>
              </w:rPr>
            </w:pPr>
            <w:bookmarkStart w:id="27" w:name="_Hlk192943266"/>
            <w:bookmarkEnd w:id="26"/>
          </w:p>
        </w:tc>
        <w:tc>
          <w:tcPr>
            <w:tcW w:w="1487" w:type="dxa"/>
            <w:vAlign w:val="center"/>
          </w:tcPr>
          <w:p w14:paraId="60F4616D"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rFonts w:eastAsia="B5+华光书宋_CNKI"/>
                <w:sz w:val="18"/>
                <w:szCs w:val="18"/>
              </w:rPr>
            </w:pPr>
            <w:r w:rsidRPr="0034117A">
              <w:rPr>
                <w:rFonts w:eastAsia="B5+华光书宋_CNKI"/>
                <w:sz w:val="18"/>
                <w:szCs w:val="18"/>
              </w:rPr>
              <w:t xml:space="preserve">Higher Education </w:t>
            </w:r>
            <w:r w:rsidRPr="0034117A">
              <w:rPr>
                <w:rFonts w:eastAsia="B5+华光书宋_CNKI"/>
                <w:sz w:val="18"/>
                <w:szCs w:val="18"/>
              </w:rPr>
              <w:lastRenderedPageBreak/>
              <w:t>Attainment</w:t>
            </w:r>
            <w:r w:rsidRPr="00E22618">
              <w:rPr>
                <w:rFonts w:eastAsia="B5+华光书宋_CNKI"/>
                <w:sz w:val="18"/>
                <w:szCs w:val="18"/>
              </w:rPr>
              <w:t xml:space="preserve"> </w:t>
            </w:r>
            <w:r w:rsidRPr="00E22618">
              <w:rPr>
                <w:sz w:val="18"/>
                <w:szCs w:val="18"/>
              </w:rPr>
              <w:t>(</w:t>
            </w:r>
            <w:r w:rsidRPr="00E22618">
              <w:rPr>
                <w:rStyle w:val="10"/>
                <w:rFonts w:ascii="Times New Roman" w:hAnsi="Times New Roman" w:cs="Times New Roman"/>
                <w:color w:val="auto"/>
                <w:sz w:val="20"/>
                <w:szCs w:val="20"/>
              </w:rPr>
              <w:t>HEA</w:t>
            </w:r>
            <w:r w:rsidRPr="00E22618">
              <w:rPr>
                <w:sz w:val="18"/>
                <w:szCs w:val="18"/>
              </w:rPr>
              <w:t>)</w:t>
            </w:r>
          </w:p>
        </w:tc>
        <w:tc>
          <w:tcPr>
            <w:tcW w:w="3369" w:type="dxa"/>
            <w:vAlign w:val="center"/>
          </w:tcPr>
          <w:p w14:paraId="1A4A858A"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bookmarkStart w:id="28" w:name="OLE_LINK101"/>
            <w:r w:rsidRPr="0034117A">
              <w:rPr>
                <w:sz w:val="18"/>
                <w:szCs w:val="18"/>
              </w:rPr>
              <w:lastRenderedPageBreak/>
              <w:t xml:space="preserve">Defined as the ratio of the number of students enrolled in ordinary higher </w:t>
            </w:r>
            <w:r w:rsidRPr="0034117A">
              <w:rPr>
                <w:sz w:val="18"/>
                <w:szCs w:val="18"/>
              </w:rPr>
              <w:lastRenderedPageBreak/>
              <w:t>education institutions to the total population in a city</w:t>
            </w:r>
            <w:bookmarkEnd w:id="28"/>
            <w:r w:rsidRPr="0034117A">
              <w:rPr>
                <w:sz w:val="18"/>
                <w:szCs w:val="18"/>
              </w:rPr>
              <w:t>.</w:t>
            </w:r>
          </w:p>
        </w:tc>
        <w:tc>
          <w:tcPr>
            <w:tcW w:w="2582" w:type="dxa"/>
            <w:vAlign w:val="center"/>
          </w:tcPr>
          <w:p w14:paraId="37F1CB09"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lastRenderedPageBreak/>
              <w:fldChar w:fldCharType="begin"/>
            </w:r>
            <w:r w:rsidRPr="0034117A">
              <w:rPr>
                <w:sz w:val="18"/>
                <w:szCs w:val="18"/>
              </w:rPr>
              <w:instrText xml:space="preserve"> ADDIN ZOTERO_ITEM CSL_CITATION {"citationID":"mSh7Ujek","properties":{"formattedCitation":"(Rodr\\uc0\\u237{}guez-Pose et al., 2021)","plainCitation":"(Rodríguez-Pose et al., 2021)","noteIndex":0},"citationItems":[{"id":72,"uris":["http://zotero.org/users/8459910/items/QYVA58U5"],"itemData":{"id":72,"type":"article-journal","abstract":"Innovation, proxied by patent applications, in China is highly territorialised. The lion's share of the country's innovation is concentrated in its richest city-regions. Less developed cities —defined as cities whose GDP per capita is below 75% of the national average— also innovate but innovate far less. And how they manage to do so is not sufficiently understood. This paper explores the processes of innovation in China's more and less developed cities. We develop an econometric analysis involving 283 Chinese cities between 2003 and 2014 to address: (a) what are the socioeconomic and structural factors that govern processes of innovation in Chinese cities? And (b) how do these factors differ between more and less developed cities? The analysis indicates that China's more and less developed cities innovate in markedly different ways. The innovation systems of China's more developed cities are more complex, integrated and mature —leveraging knowledge from R&amp;D activities, large human capital endowments and inter-city spillovers— than those that have emerged in the country's less developed cities. Innovation in less developed cities also suffers from the lower capacity of these cities to generate knowledge synergies.","container-title":"Applied Geography","DOI":"10.1016/j.apgeog.2021.102475","ISSN":"0143-6228","journalAbbreviation":"Applied Geography","language":"en-US","page":"102475","source":"ScienceDirect","title":"Innovating in “lagging” cities: A comparative exploration of the dynamics of innovation in Chinese cities","title-short":"Innovating in “lagging” cities","volume":"132","author":[{"family":"Rodríguez-Pose","given":"Andrés"},{"family":"Wilkie","given":"Callum"},{"family":"Zhang","given":"Min"}],"issued":{"date-parts":[["2021",7,1]]}}}],"schema":"https://github.com/citation-style-language/schema/raw/master/csl-citation.json"} </w:instrText>
            </w:r>
            <w:r w:rsidRPr="0034117A">
              <w:rPr>
                <w:sz w:val="18"/>
                <w:szCs w:val="18"/>
              </w:rPr>
              <w:fldChar w:fldCharType="separate"/>
            </w:r>
            <w:r w:rsidRPr="0034117A">
              <w:rPr>
                <w:sz w:val="18"/>
              </w:rPr>
              <w:t>(Rodríguez-Pose et al., 2021)</w:t>
            </w:r>
            <w:r w:rsidRPr="0034117A">
              <w:rPr>
                <w:sz w:val="18"/>
                <w:szCs w:val="18"/>
              </w:rPr>
              <w:fldChar w:fldCharType="end"/>
            </w:r>
          </w:p>
        </w:tc>
      </w:tr>
      <w:tr w:rsidR="00E22618" w:rsidRPr="0034117A" w14:paraId="37949F7C" w14:textId="77777777" w:rsidTr="00952AA8">
        <w:trPr>
          <w:trHeight w:val="131"/>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6F85CDB6" w14:textId="77777777" w:rsidR="00D1012C" w:rsidRPr="0034117A" w:rsidRDefault="00D1012C" w:rsidP="00952AA8">
            <w:pPr>
              <w:widowControl/>
              <w:rPr>
                <w:sz w:val="18"/>
                <w:szCs w:val="18"/>
              </w:rPr>
            </w:pPr>
            <w:bookmarkStart w:id="29" w:name="_Hlk192943285"/>
            <w:bookmarkEnd w:id="27"/>
          </w:p>
        </w:tc>
        <w:tc>
          <w:tcPr>
            <w:tcW w:w="1487" w:type="dxa"/>
            <w:vAlign w:val="center"/>
          </w:tcPr>
          <w:p w14:paraId="7B31BABF"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rFonts w:eastAsia="B5+华光书宋_CNKI"/>
                <w:sz w:val="18"/>
                <w:szCs w:val="18"/>
              </w:rPr>
            </w:pPr>
            <w:r w:rsidRPr="0034117A">
              <w:rPr>
                <w:rFonts w:eastAsia="B5+华光书宋_CNKI"/>
                <w:sz w:val="18"/>
                <w:szCs w:val="18"/>
              </w:rPr>
              <w:t>Transportation Infrastructure</w:t>
            </w:r>
            <w:r w:rsidRPr="00E22618">
              <w:rPr>
                <w:rFonts w:eastAsia="B5+华光书宋_CNKI"/>
                <w:sz w:val="18"/>
                <w:szCs w:val="18"/>
              </w:rPr>
              <w:t xml:space="preserve"> </w:t>
            </w:r>
            <w:r w:rsidRPr="00E22618">
              <w:rPr>
                <w:sz w:val="18"/>
                <w:szCs w:val="18"/>
              </w:rPr>
              <w:t>(TI)</w:t>
            </w:r>
          </w:p>
        </w:tc>
        <w:tc>
          <w:tcPr>
            <w:tcW w:w="3369" w:type="dxa"/>
            <w:vAlign w:val="center"/>
          </w:tcPr>
          <w:p w14:paraId="3DD62680"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Expressed using per capita road area.</w:t>
            </w:r>
          </w:p>
        </w:tc>
        <w:tc>
          <w:tcPr>
            <w:tcW w:w="2582" w:type="dxa"/>
            <w:vAlign w:val="center"/>
          </w:tcPr>
          <w:p w14:paraId="5B8FD2BE"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fldChar w:fldCharType="begin"/>
            </w:r>
            <w:r w:rsidRPr="0034117A">
              <w:rPr>
                <w:sz w:val="18"/>
                <w:szCs w:val="18"/>
              </w:rPr>
              <w:instrText xml:space="preserve"> ADDIN ZOTERO_ITEM CSL_CITATION {"citationID":"S0mS7G4w","properties":{"formattedCitation":"(Wang et al., 2018)","plainCitation":"(Wang et al., 2018)","noteIndex":0},"citationItems":[{"id":1948,"uris":["http://zotero.org/users/8459910/items/ZADYLF6R"],"itemData":{"id":1948,"type":"article-journal","container-title":"China Economic Review","note":"publisher: Elsevier","page":"154–170","source":"Google Scholar","title":"Roads to innovation: Firm-level evidence from People's Republic of China (PRC)","title-short":"Roads to innovation","volume":"49","author":[{"family":"Wang","given":"Xu"},{"family":"Xie","given":"Zhuan"},{"family":"Zhang","given":"Xiaobo"},{"family":"Huang","given":"Yiping"}],"issued":{"date-parts":[["2018"]]}}}],"schema":"https://github.com/citation-style-language/schema/raw/master/csl-citation.json"} </w:instrText>
            </w:r>
            <w:r w:rsidRPr="0034117A">
              <w:rPr>
                <w:sz w:val="18"/>
                <w:szCs w:val="18"/>
              </w:rPr>
              <w:fldChar w:fldCharType="separate"/>
            </w:r>
            <w:r w:rsidRPr="0034117A">
              <w:rPr>
                <w:sz w:val="18"/>
              </w:rPr>
              <w:t>(Wang et al., 2018)</w:t>
            </w:r>
            <w:r w:rsidRPr="0034117A">
              <w:rPr>
                <w:sz w:val="18"/>
                <w:szCs w:val="18"/>
              </w:rPr>
              <w:fldChar w:fldCharType="end"/>
            </w:r>
          </w:p>
        </w:tc>
      </w:tr>
      <w:tr w:rsidR="00E22618" w:rsidRPr="00E22618" w14:paraId="16549F55" w14:textId="77777777" w:rsidTr="00952AA8">
        <w:trPr>
          <w:trHeight w:val="131"/>
        </w:trPr>
        <w:tc>
          <w:tcPr>
            <w:cnfStyle w:val="001000000000" w:firstRow="0" w:lastRow="0" w:firstColumn="1" w:lastColumn="0" w:oddVBand="0" w:evenVBand="0" w:oddHBand="0" w:evenHBand="0" w:firstRowFirstColumn="0" w:firstRowLastColumn="0" w:lastRowFirstColumn="0" w:lastRowLastColumn="0"/>
            <w:tcW w:w="1376" w:type="dxa"/>
            <w:vAlign w:val="center"/>
          </w:tcPr>
          <w:p w14:paraId="5BB7376E" w14:textId="77777777" w:rsidR="00D1012C" w:rsidRPr="00E22618" w:rsidRDefault="00D1012C" w:rsidP="00952AA8">
            <w:pPr>
              <w:widowControl/>
              <w:rPr>
                <w:sz w:val="18"/>
                <w:szCs w:val="18"/>
              </w:rPr>
            </w:pPr>
          </w:p>
        </w:tc>
        <w:tc>
          <w:tcPr>
            <w:tcW w:w="1487" w:type="dxa"/>
            <w:vAlign w:val="center"/>
          </w:tcPr>
          <w:p w14:paraId="1ED65992" w14:textId="77777777" w:rsidR="00D1012C" w:rsidRPr="00E22618" w:rsidRDefault="00D1012C" w:rsidP="00952AA8">
            <w:pPr>
              <w:widowControl/>
              <w:cnfStyle w:val="000000000000" w:firstRow="0" w:lastRow="0" w:firstColumn="0" w:lastColumn="0" w:oddVBand="0" w:evenVBand="0" w:oddHBand="0" w:evenHBand="0" w:firstRowFirstColumn="0" w:firstRowLastColumn="0" w:lastRowFirstColumn="0" w:lastRowLastColumn="0"/>
              <w:rPr>
                <w:rFonts w:eastAsia="B5+华光书宋_CNKI"/>
                <w:sz w:val="18"/>
                <w:szCs w:val="18"/>
              </w:rPr>
            </w:pPr>
            <w:r w:rsidRPr="00E22618">
              <w:rPr>
                <w:rFonts w:eastAsia="B5+华光书宋_CNKI"/>
                <w:sz w:val="18"/>
                <w:szCs w:val="18"/>
              </w:rPr>
              <w:t>High Technology industry Development (</w:t>
            </w:r>
            <w:r w:rsidRPr="00E22618">
              <w:rPr>
                <w:sz w:val="18"/>
                <w:szCs w:val="18"/>
              </w:rPr>
              <w:t>HTID</w:t>
            </w:r>
            <w:r w:rsidRPr="00E22618">
              <w:rPr>
                <w:rFonts w:eastAsia="B5+华光书宋_CNKI"/>
                <w:sz w:val="18"/>
                <w:szCs w:val="18"/>
              </w:rPr>
              <w:t>)</w:t>
            </w:r>
          </w:p>
        </w:tc>
        <w:tc>
          <w:tcPr>
            <w:tcW w:w="3369" w:type="dxa"/>
            <w:vAlign w:val="center"/>
          </w:tcPr>
          <w:p w14:paraId="2036EB04" w14:textId="77777777" w:rsidR="00D1012C" w:rsidRPr="00E22618"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E22618">
              <w:rPr>
                <w:sz w:val="18"/>
                <w:szCs w:val="18"/>
              </w:rPr>
              <w:t>Measured by the number of newly registered high-tech enterprises in each city.</w:t>
            </w:r>
          </w:p>
        </w:tc>
        <w:tc>
          <w:tcPr>
            <w:tcW w:w="2582" w:type="dxa"/>
            <w:vAlign w:val="center"/>
          </w:tcPr>
          <w:p w14:paraId="75E2BC09" w14:textId="77777777" w:rsidR="00D1012C" w:rsidRPr="00E22618"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E22618">
              <w:rPr>
                <w:sz w:val="18"/>
                <w:szCs w:val="18"/>
              </w:rPr>
              <w:t>/</w:t>
            </w:r>
          </w:p>
        </w:tc>
      </w:tr>
      <w:tr w:rsidR="00E22618" w:rsidRPr="0034117A" w14:paraId="3A5B6B11" w14:textId="77777777" w:rsidTr="00952AA8">
        <w:trPr>
          <w:trHeight w:val="131"/>
        </w:trPr>
        <w:tc>
          <w:tcPr>
            <w:cnfStyle w:val="001000000000" w:firstRow="0" w:lastRow="0" w:firstColumn="1" w:lastColumn="0" w:oddVBand="0" w:evenVBand="0" w:oddHBand="0" w:evenHBand="0" w:firstRowFirstColumn="0" w:firstRowLastColumn="0" w:lastRowFirstColumn="0" w:lastRowLastColumn="0"/>
            <w:tcW w:w="1376" w:type="dxa"/>
            <w:vAlign w:val="center"/>
          </w:tcPr>
          <w:p w14:paraId="47712F4F" w14:textId="77777777" w:rsidR="00D1012C" w:rsidRPr="0034117A" w:rsidRDefault="00D1012C" w:rsidP="00952AA8">
            <w:pPr>
              <w:widowControl/>
              <w:rPr>
                <w:sz w:val="18"/>
                <w:szCs w:val="18"/>
              </w:rPr>
            </w:pPr>
            <w:bookmarkStart w:id="30" w:name="_Hlk192943309"/>
            <w:bookmarkEnd w:id="29"/>
            <w:r w:rsidRPr="0034117A">
              <w:rPr>
                <w:sz w:val="18"/>
                <w:szCs w:val="18"/>
              </w:rPr>
              <w:t>Global innovation networks theory</w:t>
            </w:r>
          </w:p>
        </w:tc>
        <w:tc>
          <w:tcPr>
            <w:tcW w:w="1487" w:type="dxa"/>
            <w:vAlign w:val="center"/>
          </w:tcPr>
          <w:p w14:paraId="5C30C2B6"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Foreign Direct Investment (FDI)</w:t>
            </w:r>
          </w:p>
        </w:tc>
        <w:tc>
          <w:tcPr>
            <w:tcW w:w="3369" w:type="dxa"/>
            <w:vAlign w:val="center"/>
          </w:tcPr>
          <w:p w14:paraId="55AAB83A"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t>Represented by the ratio of FDI to GDP</w:t>
            </w:r>
          </w:p>
        </w:tc>
        <w:tc>
          <w:tcPr>
            <w:tcW w:w="2582" w:type="dxa"/>
            <w:vAlign w:val="center"/>
          </w:tcPr>
          <w:p w14:paraId="116A696E"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fldChar w:fldCharType="begin"/>
            </w:r>
            <w:r w:rsidRPr="0034117A">
              <w:rPr>
                <w:rFonts w:eastAsia="等线"/>
                <w:sz w:val="18"/>
                <w:szCs w:val="18"/>
              </w:rPr>
              <w:instrText xml:space="preserve"> ADDIN ZOTERO_ITEM CSL_CITATION {"citationID":"I16xIbkg","properties":{"formattedCitation":"(Jiang et al., 2022; Ning et al., 2016)","plainCitation":"(Jiang et al., 2022; Ning et al., 2016)","noteIndex":0},"citationItems":[{"id":2356,"uris":["http://zotero.org/users/8459910/items/WPDM2FZW"],"itemData":{"id":2356,"type":"article-journal","abstract":"This paper studies the impact of foreign direct investment (FDI) on regional innovation, which is measured by patent applications and patent citations, based on city-level data in China from 1995 to 2015. Using an instrumental variable approach, this paper demonstrates that FDI not only promotes the quantity of regional innovation, but also improves the quality of regional innovation in China. The findings are robust to various specifications of the empirical model and measurements. In addition, we highlight the channel of improving local absorptive capacity and market competition through which FDI exerts positive influence on regional innovation, and show that FDI acts as a substitute for local financial development to raise regional innovation.","container-title":"The World Economy","DOI":"10.1111/twec.13205","ISSN":"1467-9701","issue":"6","language":"en","license":"© 2021 John Wiley &amp; Sons Ltd","note":"_eprint: https://onlinelibrary.wiley.com/doi/pdf/10.1111/twec.13205","page":"1876-1909","source":"Wiley Online Library","title":"Foreign direct investment and regional innovation: Evidence from China","title-short":"Foreign direct investment and regional innovation","volume":"45","author":[{"family":"Jiang","given":"Haiwei"},{"family":"Liang","given":"Yousha"},{"family":"Pan","given":"Shiyuan"}],"issued":{"date-parts":[["2022"]]}}},{"id":2143,"uris":["http://zotero.org/users/8459910/items/GBE6AQFA"],"itemData":{"id":2143,"type":"article-journal","container-title":"Research Policy","issue":"4","note":"publisher: Elsevier","page":"830–843","source":"Google Scholar","title":"Urban innovation, regional externalities of foreign direct investment and industrial agglomeration: Evidence from Chinese cities","title-short":"Urban innovation, regional externalities of foreign direct investment and industrial agglomeration","volume":"45","author":[{"family":"Ning","given":"Lutao"},{"family":"Wang","given":"Fan"},{"family":"Li","given":"Jian"}],"issued":{"date-parts":[["2016"]]}}}],"schema":"https://github.com/citation-style-language/schema/raw/master/csl-citation.json"} </w:instrText>
            </w:r>
            <w:r w:rsidRPr="0034117A">
              <w:rPr>
                <w:rFonts w:eastAsia="等线"/>
                <w:sz w:val="18"/>
                <w:szCs w:val="18"/>
              </w:rPr>
              <w:fldChar w:fldCharType="separate"/>
            </w:r>
            <w:r w:rsidRPr="0034117A">
              <w:rPr>
                <w:rFonts w:eastAsia="微软雅黑"/>
                <w:sz w:val="18"/>
              </w:rPr>
              <w:t>(Jiang et al., 2022; Ning et al., 2016)</w:t>
            </w:r>
            <w:r w:rsidRPr="0034117A">
              <w:rPr>
                <w:rFonts w:eastAsia="等线"/>
                <w:sz w:val="18"/>
                <w:szCs w:val="18"/>
              </w:rPr>
              <w:fldChar w:fldCharType="end"/>
            </w:r>
          </w:p>
        </w:tc>
      </w:tr>
      <w:tr w:rsidR="00E22618" w:rsidRPr="0034117A" w14:paraId="32AE4E70" w14:textId="77777777" w:rsidTr="00952AA8">
        <w:trPr>
          <w:trHeight w:val="295"/>
        </w:trPr>
        <w:tc>
          <w:tcPr>
            <w:cnfStyle w:val="001000000000" w:firstRow="0" w:lastRow="0" w:firstColumn="1" w:lastColumn="0" w:oddVBand="0" w:evenVBand="0" w:oddHBand="0" w:evenHBand="0" w:firstRowFirstColumn="0" w:firstRowLastColumn="0" w:lastRowFirstColumn="0" w:lastRowLastColumn="0"/>
            <w:tcW w:w="1376" w:type="dxa"/>
            <w:vAlign w:val="center"/>
          </w:tcPr>
          <w:p w14:paraId="6027374D" w14:textId="77777777" w:rsidR="00D1012C" w:rsidRPr="0034117A" w:rsidRDefault="00D1012C" w:rsidP="00952AA8">
            <w:pPr>
              <w:widowControl/>
              <w:rPr>
                <w:sz w:val="18"/>
                <w:szCs w:val="18"/>
              </w:rPr>
            </w:pPr>
            <w:bookmarkStart w:id="31" w:name="_Hlk192943355"/>
            <w:bookmarkEnd w:id="30"/>
          </w:p>
        </w:tc>
        <w:tc>
          <w:tcPr>
            <w:tcW w:w="1487" w:type="dxa"/>
            <w:vAlign w:val="center"/>
          </w:tcPr>
          <w:p w14:paraId="5B8173CA" w14:textId="77777777" w:rsidR="00D1012C" w:rsidRPr="0034117A" w:rsidRDefault="00D1012C" w:rsidP="00952AA8">
            <w:pPr>
              <w:widowControl/>
              <w:cnfStyle w:val="000000000000" w:firstRow="0" w:lastRow="0" w:firstColumn="0" w:lastColumn="0" w:oddVBand="0" w:evenVBand="0" w:oddHBand="0" w:evenHBand="0" w:firstRowFirstColumn="0" w:firstRowLastColumn="0" w:lastRowFirstColumn="0" w:lastRowLastColumn="0"/>
              <w:rPr>
                <w:sz w:val="18"/>
                <w:szCs w:val="18"/>
              </w:rPr>
            </w:pPr>
            <w:r w:rsidRPr="0034117A">
              <w:rPr>
                <w:sz w:val="18"/>
                <w:szCs w:val="18"/>
              </w:rPr>
              <w:t>Economic Openness</w:t>
            </w:r>
            <w:r w:rsidRPr="00E22618">
              <w:rPr>
                <w:sz w:val="18"/>
                <w:szCs w:val="18"/>
              </w:rPr>
              <w:t xml:space="preserve"> (</w:t>
            </w:r>
            <w:r w:rsidRPr="00E22618">
              <w:rPr>
                <w:rStyle w:val="10"/>
                <w:rFonts w:ascii="Times New Roman" w:hAnsi="Times New Roman" w:cs="Times New Roman"/>
                <w:color w:val="auto"/>
                <w:sz w:val="20"/>
                <w:szCs w:val="20"/>
              </w:rPr>
              <w:t>EO</w:t>
            </w:r>
            <w:r w:rsidRPr="00E22618">
              <w:rPr>
                <w:sz w:val="18"/>
                <w:szCs w:val="18"/>
              </w:rPr>
              <w:t>)</w:t>
            </w:r>
          </w:p>
        </w:tc>
        <w:tc>
          <w:tcPr>
            <w:tcW w:w="3369" w:type="dxa"/>
            <w:vAlign w:val="center"/>
          </w:tcPr>
          <w:p w14:paraId="1043FF07"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t>The ratio of import and export trade volume to GDP in each city is used as an indicator.</w:t>
            </w:r>
          </w:p>
        </w:tc>
        <w:tc>
          <w:tcPr>
            <w:tcW w:w="2582" w:type="dxa"/>
            <w:vAlign w:val="center"/>
          </w:tcPr>
          <w:p w14:paraId="1B9B5F93"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fldChar w:fldCharType="begin"/>
            </w:r>
            <w:r w:rsidRPr="00E22618">
              <w:rPr>
                <w:rFonts w:eastAsia="等线"/>
                <w:sz w:val="18"/>
                <w:szCs w:val="18"/>
              </w:rPr>
              <w:instrText xml:space="preserve"> ADDIN ZOTERO_ITEM CSL_CITATION {"citationID":"bNadXEiu","properties":{"formattedCitation":"(Wen et al., 2023)","plainCitation":"(Wen et al., 2023)","noteIndex":0},"citationItems":[{"id":2190,"uris":["http://zotero.org/users/8459910/items/NFL3XEQ6"],"itemData":{"id":2190,"type":"article-journal","container-title":"Heliyon","issue":"1","note":"publisher: Elsevier","source":"Google Scholar","title":"Economic openness, innovation and economic growth: Nonlinear relationships based on policy support","title-short":"Economic openness, innovation and economic growth","URL":"https://www.cell.com/heliyon/fulltext/S2405-8440(23)00032-4","volume":"9","author":[{"family":"Wen","given":"Ya"},{"family":"Song","given":"Pingting"},{"family":"Gao","given":"Chen"},{"family":"Yang","given":"Deyong"}],"accessed":{"date-parts":[["2025",3,22]]},"issued":{"date-parts":[["2023"]]}}}],"schema":"https://github.com/citation-style-language/schema/raw/master/csl-citation.json"} </w:instrText>
            </w:r>
            <w:r w:rsidRPr="0034117A">
              <w:rPr>
                <w:rFonts w:eastAsia="等线"/>
                <w:sz w:val="18"/>
                <w:szCs w:val="18"/>
              </w:rPr>
              <w:fldChar w:fldCharType="separate"/>
            </w:r>
            <w:r w:rsidRPr="00E22618">
              <w:rPr>
                <w:sz w:val="18"/>
              </w:rPr>
              <w:t>(Wen et al., 2023)</w:t>
            </w:r>
            <w:r w:rsidRPr="0034117A">
              <w:rPr>
                <w:rFonts w:eastAsia="等线"/>
                <w:sz w:val="18"/>
                <w:szCs w:val="18"/>
              </w:rPr>
              <w:fldChar w:fldCharType="end"/>
            </w:r>
          </w:p>
        </w:tc>
      </w:tr>
      <w:tr w:rsidR="00E22618" w:rsidRPr="0034117A" w14:paraId="6E523CA0" w14:textId="77777777" w:rsidTr="00952AA8">
        <w:trPr>
          <w:trHeight w:val="295"/>
        </w:trPr>
        <w:tc>
          <w:tcPr>
            <w:cnfStyle w:val="001000000000" w:firstRow="0" w:lastRow="0" w:firstColumn="1" w:lastColumn="0" w:oddVBand="0" w:evenVBand="0" w:oddHBand="0" w:evenHBand="0" w:firstRowFirstColumn="0" w:firstRowLastColumn="0" w:lastRowFirstColumn="0" w:lastRowLastColumn="0"/>
            <w:tcW w:w="1376" w:type="dxa"/>
            <w:vMerge w:val="restart"/>
            <w:vAlign w:val="center"/>
          </w:tcPr>
          <w:p w14:paraId="6403F5D4" w14:textId="77777777" w:rsidR="00D1012C" w:rsidRPr="0034117A" w:rsidRDefault="00D1012C" w:rsidP="00952AA8">
            <w:pPr>
              <w:widowControl/>
              <w:rPr>
                <w:sz w:val="18"/>
                <w:szCs w:val="18"/>
              </w:rPr>
            </w:pPr>
            <w:bookmarkStart w:id="32" w:name="_Hlk192943957"/>
            <w:bookmarkEnd w:id="31"/>
            <w:r w:rsidRPr="0034117A">
              <w:rPr>
                <w:sz w:val="18"/>
                <w:szCs w:val="18"/>
              </w:rPr>
              <w:t>Creative class and urban innovation</w:t>
            </w:r>
          </w:p>
        </w:tc>
        <w:tc>
          <w:tcPr>
            <w:tcW w:w="1487" w:type="dxa"/>
            <w:vAlign w:val="center"/>
          </w:tcPr>
          <w:p w14:paraId="06FAA960"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bookmarkStart w:id="33" w:name="OLE_LINK41"/>
            <w:r w:rsidRPr="0034117A">
              <w:rPr>
                <w:rFonts w:eastAsia="等线"/>
                <w:sz w:val="18"/>
                <w:szCs w:val="18"/>
              </w:rPr>
              <w:t xml:space="preserve">Creative Industry </w:t>
            </w:r>
            <w:bookmarkEnd w:id="33"/>
            <w:r w:rsidRPr="0034117A">
              <w:rPr>
                <w:rFonts w:eastAsia="等线"/>
                <w:sz w:val="18"/>
                <w:szCs w:val="18"/>
              </w:rPr>
              <w:t xml:space="preserve">Development </w:t>
            </w:r>
            <w:r w:rsidRPr="00E22618">
              <w:rPr>
                <w:sz w:val="18"/>
                <w:szCs w:val="18"/>
              </w:rPr>
              <w:t>(</w:t>
            </w:r>
            <w:r w:rsidRPr="00E22618">
              <w:rPr>
                <w:rStyle w:val="10"/>
                <w:rFonts w:ascii="Times New Roman" w:hAnsi="Times New Roman" w:cs="Times New Roman"/>
                <w:color w:val="auto"/>
                <w:sz w:val="20"/>
                <w:szCs w:val="20"/>
              </w:rPr>
              <w:t>CRID</w:t>
            </w:r>
            <w:r w:rsidRPr="00E22618">
              <w:rPr>
                <w:sz w:val="18"/>
                <w:szCs w:val="18"/>
              </w:rPr>
              <w:t>)</w:t>
            </w:r>
          </w:p>
        </w:tc>
        <w:tc>
          <w:tcPr>
            <w:tcW w:w="3369" w:type="dxa"/>
            <w:vAlign w:val="center"/>
          </w:tcPr>
          <w:p w14:paraId="594075CE"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t>Measured as the proportion of employment in the information transmission, software, and information technology service sectors, scientific research and technical services, and cultural, sports, and entertainment industries to total employment.</w:t>
            </w:r>
          </w:p>
        </w:tc>
        <w:tc>
          <w:tcPr>
            <w:tcW w:w="2582" w:type="dxa"/>
            <w:vAlign w:val="center"/>
          </w:tcPr>
          <w:p w14:paraId="18F446F1"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fldChar w:fldCharType="begin"/>
            </w:r>
            <w:r w:rsidRPr="0034117A">
              <w:rPr>
                <w:rFonts w:eastAsia="等线"/>
                <w:sz w:val="18"/>
                <w:szCs w:val="18"/>
              </w:rPr>
              <w:instrText xml:space="preserve"> ADDIN ZOTERO_ITEM CSL_CITATION {"citationID":"hgu9fKYA","properties":{"formattedCitation":"(M\\uc0\\u252{}ller et al., 2009; Sleuwaegen &amp; Boiardi, 2014)","plainCitation":"(Müller et al., 2009; Sleuwaegen &amp; Boiardi, 2014)","noteIndex":0},"citationItems":[{"id":2191,"uris":["http://zotero.org/users/8459910/items/2W88RUD4"],"itemData":{"id":2191,"type":"article-journal","container-title":"Innovation","DOI":"10.5172/impp.11.2.148","ISSN":"1447-9338, 2204-0226","issue":"2","journalAbbreviation":"Innovation","language":"en","page":"148-168","source":"DOI.org (Crossref)","title":"The role of creative industries in industrial innovation","volume":"11","author":[{"family":"Müller","given":"Kathrin"},{"family":"Rammer","given":"Christian"},{"family":"Trüby","given":"Johannes"}],"issued":{"date-parts":[["2009",8]]}}},{"id":2193,"uris":["http://zotero.org/users/8459910/items/SSH8J7CF"],"itemData":{"id":2193,"type":"article-journal","container-title":"Research Policy","issue":"9","note":"publisher: Elsevier","page":"1508–1522","source":"Google Scholar","title":"Creativity and regional innovation: Evidence from EU regions","title-short":"Creativity and regional innovation","volume":"43","author":[{"family":"Sleuwaegen","given":"Leo"},{"family":"Boiardi","given":"Priscilla"}],"issued":{"date-parts":[["2014"]]}}}],"schema":"https://github.com/citation-style-language/schema/raw/master/csl-citation.json"} </w:instrText>
            </w:r>
            <w:r w:rsidRPr="0034117A">
              <w:rPr>
                <w:rFonts w:eastAsia="等线"/>
                <w:sz w:val="18"/>
                <w:szCs w:val="18"/>
              </w:rPr>
              <w:fldChar w:fldCharType="separate"/>
            </w:r>
            <w:r w:rsidRPr="0034117A">
              <w:rPr>
                <w:rFonts w:eastAsia="微软雅黑"/>
                <w:sz w:val="18"/>
              </w:rPr>
              <w:t>(Müller et al., 2009; Sleuwaegen &amp; Boiardi, 2014)</w:t>
            </w:r>
            <w:r w:rsidRPr="0034117A">
              <w:rPr>
                <w:rFonts w:eastAsia="等线"/>
                <w:sz w:val="18"/>
                <w:szCs w:val="18"/>
              </w:rPr>
              <w:fldChar w:fldCharType="end"/>
            </w:r>
          </w:p>
        </w:tc>
      </w:tr>
      <w:tr w:rsidR="00E22618" w:rsidRPr="0034117A" w14:paraId="7D5BB5E2" w14:textId="77777777" w:rsidTr="00952AA8">
        <w:trPr>
          <w:trHeight w:val="295"/>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63ECC55A" w14:textId="77777777" w:rsidR="00D1012C" w:rsidRPr="0034117A" w:rsidRDefault="00D1012C" w:rsidP="00952AA8">
            <w:pPr>
              <w:widowControl/>
              <w:rPr>
                <w:sz w:val="18"/>
                <w:szCs w:val="18"/>
              </w:rPr>
            </w:pPr>
            <w:bookmarkStart w:id="34" w:name="_Hlk192944769"/>
            <w:bookmarkEnd w:id="32"/>
          </w:p>
        </w:tc>
        <w:tc>
          <w:tcPr>
            <w:tcW w:w="1487" w:type="dxa"/>
            <w:vAlign w:val="center"/>
          </w:tcPr>
          <w:p w14:paraId="0D5BF806"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t xml:space="preserve">Cultural Infrastructure </w:t>
            </w:r>
            <w:r w:rsidRPr="00E22618">
              <w:rPr>
                <w:sz w:val="18"/>
                <w:szCs w:val="18"/>
              </w:rPr>
              <w:t>(</w:t>
            </w:r>
            <w:r w:rsidRPr="00E22618">
              <w:rPr>
                <w:rStyle w:val="10"/>
                <w:rFonts w:ascii="Times New Roman" w:hAnsi="Times New Roman" w:cs="Times New Roman"/>
                <w:color w:val="auto"/>
                <w:sz w:val="20"/>
                <w:szCs w:val="20"/>
              </w:rPr>
              <w:t>CUI</w:t>
            </w:r>
            <w:r w:rsidRPr="00E22618">
              <w:rPr>
                <w:sz w:val="18"/>
                <w:szCs w:val="18"/>
              </w:rPr>
              <w:t>)</w:t>
            </w:r>
          </w:p>
        </w:tc>
        <w:tc>
          <w:tcPr>
            <w:tcW w:w="3369" w:type="dxa"/>
            <w:vAlign w:val="center"/>
          </w:tcPr>
          <w:p w14:paraId="1C46A7FE"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t>Proxied by the number of public library collections per 100 people.</w:t>
            </w:r>
          </w:p>
        </w:tc>
        <w:tc>
          <w:tcPr>
            <w:tcW w:w="2582" w:type="dxa"/>
            <w:vAlign w:val="center"/>
          </w:tcPr>
          <w:p w14:paraId="5DA77C62"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fldChar w:fldCharType="begin"/>
            </w:r>
            <w:r w:rsidRPr="0034117A">
              <w:rPr>
                <w:rFonts w:eastAsia="等线"/>
                <w:sz w:val="18"/>
                <w:szCs w:val="18"/>
              </w:rPr>
              <w:instrText xml:space="preserve"> ADDIN ZOTERO_ITEM CSL_CITATION {"citationID":"v3ARi6Pf","properties":{"formattedCitation":"(H. Song et al., 2019; M. Zhang et al., 2020)","plainCitation":"(H. Song et al., 2019; M. Zhang et al., 2020)","noteIndex":0},"citationItems":[{"id":2201,"uris":["http://zotero.org/users/8459910/items/CV6W87FZ"],"itemData":{"id":2201,"type":"article-journal","container-title":"Chinese Management Studies","issue":"2","note":"publisher: Emerald Publishing Limited","page":"397–420","source":"Google Scholar","title":"Culture and regional innovation performance: an exploration in China","title-short":"Culture and regional innovation performance","volume":"13","author":[{"family":"Song","given":"Hemin"},{"family":"Zhang-Zhang","given":"Yingying"},{"family":"Tian","given":"Mu"},{"family":"Rohlfer","given":"Sylvia"},{"family":"Sharkasi","given":"Nora"}],"issued":{"date-parts":[["2019"]]}}},{"id":71,"uris":["http://zotero.org/users/8459910/items/QW8789ZB"],"itemData":{"id":71,"type":"article-journal","abstract":"Studies in the regional innovation literature have largely focused on the role of economic, structural, demographic, and institutional factors, but very few studies shed light on the role of amenities. This paper investigates this question by examining how amenities shape the geography of innovation in China. The empirical results based on city-level data suggest that both natural and consumer amenities are positively associated with regional innovation. Specifically, amenities related to air quality, sunshine, public transportation, educational resources, and healthcare services matter most. Further, the analysis suggests the influence of amenities on innovation is closely linked to city characteristics such as income, density, and human capital. Therefore, to formulate innovation-driven growth, these results suggest that more attention should be paid to the role of amenities and amenity-related strategies should be tailored to city characteristics.","container-title":"The Annals of Regional Science","DOI":"10.1007/s00168-020-00977-5","ISSN":"1432-0592","issue":"1","journalAbbreviation":"Ann Reg Sci","language":"en","page":"105-145","source":"Springer Link","title":"Amenities and the geography of innovation: evidence from Chinese cities","title-short":"Amenities and the geography of innovation","volume":"65","author":[{"family":"Zhang","given":"Min"},{"family":"Partridge","given":"Mark D."},{"family":"Song","given":"Huasheng"}],"issued":{"date-parts":[["2020",8,1]]}}}],"schema":"https://github.com/citation-style-language/schema/raw/master/csl-citation.json"} </w:instrText>
            </w:r>
            <w:r w:rsidRPr="0034117A">
              <w:rPr>
                <w:rFonts w:eastAsia="等线"/>
                <w:sz w:val="18"/>
                <w:szCs w:val="18"/>
              </w:rPr>
              <w:fldChar w:fldCharType="separate"/>
            </w:r>
            <w:r w:rsidRPr="0034117A">
              <w:rPr>
                <w:rFonts w:eastAsia="微软雅黑"/>
                <w:sz w:val="18"/>
              </w:rPr>
              <w:t>(H. Song et al., 2019; M. Zhang et al., 2020)</w:t>
            </w:r>
            <w:r w:rsidRPr="0034117A">
              <w:rPr>
                <w:rFonts w:eastAsia="等线"/>
                <w:sz w:val="18"/>
                <w:szCs w:val="18"/>
              </w:rPr>
              <w:fldChar w:fldCharType="end"/>
            </w:r>
          </w:p>
        </w:tc>
      </w:tr>
      <w:tr w:rsidR="00E22618" w:rsidRPr="0034117A" w14:paraId="68F5C54F" w14:textId="77777777" w:rsidTr="00952AA8">
        <w:trPr>
          <w:trHeight w:val="295"/>
        </w:trPr>
        <w:tc>
          <w:tcPr>
            <w:cnfStyle w:val="001000000000" w:firstRow="0" w:lastRow="0" w:firstColumn="1" w:lastColumn="0" w:oddVBand="0" w:evenVBand="0" w:oddHBand="0" w:evenHBand="0" w:firstRowFirstColumn="0" w:firstRowLastColumn="0" w:lastRowFirstColumn="0" w:lastRowLastColumn="0"/>
            <w:tcW w:w="1376" w:type="dxa"/>
            <w:vMerge w:val="restart"/>
            <w:vAlign w:val="center"/>
          </w:tcPr>
          <w:p w14:paraId="425D89BA" w14:textId="77777777" w:rsidR="00D1012C" w:rsidRPr="0034117A" w:rsidRDefault="00D1012C" w:rsidP="00952AA8">
            <w:pPr>
              <w:widowControl/>
              <w:rPr>
                <w:sz w:val="18"/>
                <w:szCs w:val="18"/>
              </w:rPr>
            </w:pPr>
            <w:bookmarkStart w:id="35" w:name="_Hlk192944792"/>
            <w:bookmarkEnd w:id="34"/>
            <w:r w:rsidRPr="0034117A">
              <w:rPr>
                <w:sz w:val="18"/>
                <w:szCs w:val="18"/>
              </w:rPr>
              <w:t>Other geographical variables</w:t>
            </w:r>
          </w:p>
        </w:tc>
        <w:tc>
          <w:tcPr>
            <w:tcW w:w="1487" w:type="dxa"/>
            <w:vAlign w:val="center"/>
          </w:tcPr>
          <w:p w14:paraId="19796A55"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t>Digital Development Level</w:t>
            </w:r>
            <w:r w:rsidRPr="00E22618">
              <w:rPr>
                <w:rFonts w:eastAsia="等线"/>
                <w:sz w:val="18"/>
                <w:szCs w:val="18"/>
              </w:rPr>
              <w:t xml:space="preserve"> </w:t>
            </w:r>
            <w:r w:rsidRPr="00E22618">
              <w:rPr>
                <w:sz w:val="18"/>
                <w:szCs w:val="18"/>
              </w:rPr>
              <w:t>(</w:t>
            </w:r>
            <w:r w:rsidRPr="00E22618">
              <w:rPr>
                <w:rFonts w:eastAsiaTheme="minorEastAsia"/>
                <w:kern w:val="2"/>
                <w:sz w:val="18"/>
                <w:szCs w:val="18"/>
              </w:rPr>
              <w:t>DDL</w:t>
            </w:r>
            <w:r w:rsidRPr="00E22618">
              <w:rPr>
                <w:sz w:val="18"/>
                <w:szCs w:val="18"/>
              </w:rPr>
              <w:t>)</w:t>
            </w:r>
          </w:p>
        </w:tc>
        <w:tc>
          <w:tcPr>
            <w:tcW w:w="3369" w:type="dxa"/>
            <w:vAlign w:val="center"/>
          </w:tcPr>
          <w:p w14:paraId="61F0F679"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t>Measured by the number of broadband internet users per 100 people.</w:t>
            </w:r>
          </w:p>
        </w:tc>
        <w:tc>
          <w:tcPr>
            <w:tcW w:w="2582" w:type="dxa"/>
            <w:vAlign w:val="center"/>
          </w:tcPr>
          <w:p w14:paraId="742C779D"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fldChar w:fldCharType="begin"/>
            </w:r>
            <w:r w:rsidRPr="0034117A">
              <w:rPr>
                <w:rFonts w:eastAsia="等线"/>
                <w:sz w:val="18"/>
                <w:szCs w:val="18"/>
              </w:rPr>
              <w:instrText xml:space="preserve"> ADDIN ZOTERO_ITEM CSL_CITATION {"citationID":"OKRxYF6P","properties":{"formattedCitation":"(M. Yang et al., 2022)","plainCitation":"(M. Yang et al., 2022)","noteIndex":0},"citationItems":[{"id":2199,"uris":["http://zotero.org/users/8459910/items/BCQXPS2T"],"itemData":{"id":2199,"type":"article-journal","container-title":"China Economic Review","note":"publisher: Elsevier","page":"101802","source":"Google Scholar","title":"Broadband internet and enterprise innovation","volume":"74","author":[{"family":"Yang","given":"Mengjun"},{"family":"Zheng","given":"Shilin"},{"family":"Zhou","given":"Lin"}],"issued":{"date-parts":[["2022"]]}}}],"schema":"https://github.com/citation-style-language/schema/raw/master/csl-citation.json"} </w:instrText>
            </w:r>
            <w:r w:rsidRPr="0034117A">
              <w:rPr>
                <w:rFonts w:eastAsia="等线"/>
                <w:sz w:val="18"/>
                <w:szCs w:val="18"/>
              </w:rPr>
              <w:fldChar w:fldCharType="separate"/>
            </w:r>
            <w:r w:rsidRPr="0034117A">
              <w:rPr>
                <w:rFonts w:eastAsia="微软雅黑"/>
                <w:sz w:val="18"/>
              </w:rPr>
              <w:t>(M. Yang et al., 2022)</w:t>
            </w:r>
            <w:r w:rsidRPr="0034117A">
              <w:rPr>
                <w:rFonts w:eastAsia="等线"/>
                <w:sz w:val="18"/>
                <w:szCs w:val="18"/>
              </w:rPr>
              <w:fldChar w:fldCharType="end"/>
            </w:r>
          </w:p>
        </w:tc>
      </w:tr>
      <w:bookmarkEnd w:id="35"/>
      <w:tr w:rsidR="00E22618" w:rsidRPr="0034117A" w14:paraId="1E5F2A84" w14:textId="77777777" w:rsidTr="00952AA8">
        <w:trPr>
          <w:trHeight w:val="295"/>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379F4A88" w14:textId="77777777" w:rsidR="00D1012C" w:rsidRPr="0034117A" w:rsidRDefault="00D1012C" w:rsidP="00952AA8">
            <w:pPr>
              <w:widowControl/>
              <w:rPr>
                <w:sz w:val="18"/>
                <w:szCs w:val="18"/>
              </w:rPr>
            </w:pPr>
          </w:p>
        </w:tc>
        <w:tc>
          <w:tcPr>
            <w:tcW w:w="1487" w:type="dxa"/>
            <w:vAlign w:val="center"/>
          </w:tcPr>
          <w:p w14:paraId="74FB0D48"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bookmarkStart w:id="36" w:name="_Hlk192944812"/>
            <w:r w:rsidRPr="0034117A">
              <w:rPr>
                <w:rFonts w:eastAsia="等线"/>
                <w:sz w:val="18"/>
                <w:szCs w:val="18"/>
              </w:rPr>
              <w:t>Location Advantage</w:t>
            </w:r>
            <w:bookmarkEnd w:id="36"/>
            <w:r w:rsidRPr="00E22618">
              <w:rPr>
                <w:rFonts w:eastAsia="等线"/>
                <w:sz w:val="18"/>
                <w:szCs w:val="18"/>
              </w:rPr>
              <w:t xml:space="preserve"> </w:t>
            </w:r>
            <w:r w:rsidRPr="00E22618">
              <w:rPr>
                <w:sz w:val="18"/>
                <w:szCs w:val="18"/>
              </w:rPr>
              <w:t>(</w:t>
            </w:r>
            <w:r w:rsidRPr="00E22618">
              <w:rPr>
                <w:rStyle w:val="10"/>
                <w:rFonts w:ascii="Times New Roman" w:hAnsi="Times New Roman" w:cs="Times New Roman"/>
                <w:color w:val="auto"/>
                <w:sz w:val="20"/>
                <w:szCs w:val="20"/>
              </w:rPr>
              <w:t>LA</w:t>
            </w:r>
            <w:r w:rsidRPr="00E22618">
              <w:rPr>
                <w:sz w:val="18"/>
                <w:szCs w:val="18"/>
              </w:rPr>
              <w:t>)</w:t>
            </w:r>
          </w:p>
        </w:tc>
        <w:tc>
          <w:tcPr>
            <w:tcW w:w="3369" w:type="dxa"/>
            <w:vAlign w:val="center"/>
          </w:tcPr>
          <w:p w14:paraId="5E39871A"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t>Defined as the geographical distance between the city and the provincial capital.</w:t>
            </w:r>
          </w:p>
        </w:tc>
        <w:tc>
          <w:tcPr>
            <w:tcW w:w="2582" w:type="dxa"/>
            <w:vAlign w:val="center"/>
          </w:tcPr>
          <w:p w14:paraId="6000EBB3"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p>
        </w:tc>
      </w:tr>
      <w:tr w:rsidR="00E22618" w:rsidRPr="0034117A" w14:paraId="6255DE43" w14:textId="77777777" w:rsidTr="00952AA8">
        <w:trPr>
          <w:trHeight w:val="295"/>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43EEC06D" w14:textId="77777777" w:rsidR="00D1012C" w:rsidRPr="0034117A" w:rsidRDefault="00D1012C" w:rsidP="00952AA8">
            <w:pPr>
              <w:widowControl/>
              <w:rPr>
                <w:sz w:val="18"/>
                <w:szCs w:val="18"/>
              </w:rPr>
            </w:pPr>
          </w:p>
        </w:tc>
        <w:tc>
          <w:tcPr>
            <w:tcW w:w="1487" w:type="dxa"/>
            <w:vAlign w:val="center"/>
          </w:tcPr>
          <w:p w14:paraId="3958F176"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t>Climate Suitability</w:t>
            </w:r>
            <w:r w:rsidRPr="00E22618">
              <w:rPr>
                <w:rFonts w:eastAsia="等线"/>
                <w:sz w:val="18"/>
                <w:szCs w:val="18"/>
              </w:rPr>
              <w:t xml:space="preserve"> </w:t>
            </w:r>
            <w:r w:rsidRPr="00E22618">
              <w:rPr>
                <w:sz w:val="18"/>
                <w:szCs w:val="18"/>
              </w:rPr>
              <w:t>(</w:t>
            </w:r>
            <w:r w:rsidRPr="00E22618">
              <w:rPr>
                <w:rStyle w:val="10"/>
                <w:rFonts w:ascii="Times New Roman" w:hAnsi="Times New Roman" w:cs="Times New Roman"/>
                <w:color w:val="auto"/>
                <w:sz w:val="20"/>
                <w:szCs w:val="20"/>
              </w:rPr>
              <w:t>CS</w:t>
            </w:r>
            <w:r w:rsidRPr="00E22618">
              <w:rPr>
                <w:sz w:val="18"/>
                <w:szCs w:val="18"/>
              </w:rPr>
              <w:t>)</w:t>
            </w:r>
          </w:p>
        </w:tc>
        <w:tc>
          <w:tcPr>
            <w:tcW w:w="3369" w:type="dxa"/>
            <w:vAlign w:val="center"/>
          </w:tcPr>
          <w:p w14:paraId="243409DF"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t>Measured by the lowest recorded temperature in the city.</w:t>
            </w:r>
          </w:p>
        </w:tc>
        <w:tc>
          <w:tcPr>
            <w:tcW w:w="2582" w:type="dxa"/>
            <w:vAlign w:val="center"/>
          </w:tcPr>
          <w:p w14:paraId="7B6B66DB"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p>
        </w:tc>
      </w:tr>
      <w:tr w:rsidR="00E22618" w:rsidRPr="0034117A" w14:paraId="6F5CEDC5" w14:textId="77777777" w:rsidTr="00952AA8">
        <w:trPr>
          <w:trHeight w:val="295"/>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133C902D" w14:textId="77777777" w:rsidR="00D1012C" w:rsidRPr="0034117A" w:rsidRDefault="00D1012C" w:rsidP="00952AA8">
            <w:pPr>
              <w:widowControl/>
              <w:rPr>
                <w:sz w:val="18"/>
                <w:szCs w:val="18"/>
              </w:rPr>
            </w:pPr>
          </w:p>
        </w:tc>
        <w:tc>
          <w:tcPr>
            <w:tcW w:w="1487" w:type="dxa"/>
            <w:vAlign w:val="center"/>
          </w:tcPr>
          <w:p w14:paraId="1573CE0A"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t>Natural Disaster Risk</w:t>
            </w:r>
            <w:r w:rsidRPr="00E22618">
              <w:rPr>
                <w:rFonts w:eastAsia="等线"/>
                <w:sz w:val="18"/>
                <w:szCs w:val="18"/>
              </w:rPr>
              <w:t xml:space="preserve"> </w:t>
            </w:r>
            <w:r w:rsidRPr="00E22618">
              <w:rPr>
                <w:sz w:val="18"/>
                <w:szCs w:val="18"/>
              </w:rPr>
              <w:t>(</w:t>
            </w:r>
            <w:r w:rsidRPr="00E22618">
              <w:rPr>
                <w:rStyle w:val="10"/>
                <w:rFonts w:ascii="Times New Roman" w:hAnsi="Times New Roman" w:cs="Times New Roman"/>
                <w:color w:val="auto"/>
                <w:sz w:val="20"/>
                <w:szCs w:val="20"/>
              </w:rPr>
              <w:t>NDR</w:t>
            </w:r>
            <w:r w:rsidRPr="00E22618">
              <w:rPr>
                <w:sz w:val="18"/>
                <w:szCs w:val="18"/>
              </w:rPr>
              <w:t>)</w:t>
            </w:r>
          </w:p>
        </w:tc>
        <w:tc>
          <w:tcPr>
            <w:tcW w:w="3369" w:type="dxa"/>
            <w:vAlign w:val="center"/>
          </w:tcPr>
          <w:p w14:paraId="16B4183F"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t>Proxied by the frequency or intensity of extreme rainfall events in the city.</w:t>
            </w:r>
          </w:p>
        </w:tc>
        <w:tc>
          <w:tcPr>
            <w:tcW w:w="2582" w:type="dxa"/>
            <w:vAlign w:val="center"/>
          </w:tcPr>
          <w:p w14:paraId="1612EEB9"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p>
        </w:tc>
      </w:tr>
      <w:tr w:rsidR="00E22618" w:rsidRPr="0034117A" w14:paraId="107BA394" w14:textId="77777777" w:rsidTr="00952AA8">
        <w:trPr>
          <w:trHeight w:val="295"/>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5B1A921B" w14:textId="77777777" w:rsidR="00D1012C" w:rsidRPr="0034117A" w:rsidRDefault="00D1012C" w:rsidP="00952AA8">
            <w:pPr>
              <w:widowControl/>
              <w:rPr>
                <w:sz w:val="18"/>
                <w:szCs w:val="18"/>
              </w:rPr>
            </w:pPr>
          </w:p>
        </w:tc>
        <w:tc>
          <w:tcPr>
            <w:tcW w:w="1487" w:type="dxa"/>
            <w:vAlign w:val="center"/>
          </w:tcPr>
          <w:p w14:paraId="2563F33F"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t>Water Resource Availability</w:t>
            </w:r>
            <w:r w:rsidRPr="00E22618">
              <w:rPr>
                <w:rFonts w:eastAsia="等线"/>
                <w:sz w:val="18"/>
                <w:szCs w:val="18"/>
              </w:rPr>
              <w:t xml:space="preserve"> </w:t>
            </w:r>
            <w:r w:rsidRPr="00E22618">
              <w:rPr>
                <w:sz w:val="18"/>
                <w:szCs w:val="18"/>
              </w:rPr>
              <w:t>(</w:t>
            </w:r>
            <w:r w:rsidRPr="00E22618">
              <w:rPr>
                <w:rStyle w:val="10"/>
                <w:rFonts w:ascii="Times New Roman" w:hAnsi="Times New Roman" w:cs="Times New Roman"/>
                <w:color w:val="auto"/>
                <w:sz w:val="20"/>
                <w:szCs w:val="20"/>
              </w:rPr>
              <w:t>WRA</w:t>
            </w:r>
            <w:r w:rsidRPr="00E22618">
              <w:rPr>
                <w:sz w:val="18"/>
                <w:szCs w:val="18"/>
              </w:rPr>
              <w:t>)</w:t>
            </w:r>
          </w:p>
        </w:tc>
        <w:tc>
          <w:tcPr>
            <w:tcW w:w="3369" w:type="dxa"/>
            <w:vAlign w:val="center"/>
          </w:tcPr>
          <w:p w14:paraId="06777EC6"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t>Measured by the annual precipitation in the city.</w:t>
            </w:r>
          </w:p>
        </w:tc>
        <w:tc>
          <w:tcPr>
            <w:tcW w:w="2582" w:type="dxa"/>
            <w:vAlign w:val="center"/>
          </w:tcPr>
          <w:p w14:paraId="31471EF6"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p>
        </w:tc>
      </w:tr>
      <w:tr w:rsidR="00E22618" w:rsidRPr="0034117A" w14:paraId="1CC955C6" w14:textId="77777777" w:rsidTr="00952AA8">
        <w:trPr>
          <w:trHeight w:val="295"/>
        </w:trPr>
        <w:tc>
          <w:tcPr>
            <w:cnfStyle w:val="001000000000" w:firstRow="0" w:lastRow="0" w:firstColumn="1" w:lastColumn="0" w:oddVBand="0" w:evenVBand="0" w:oddHBand="0" w:evenHBand="0" w:firstRowFirstColumn="0" w:firstRowLastColumn="0" w:lastRowFirstColumn="0" w:lastRowLastColumn="0"/>
            <w:tcW w:w="1376" w:type="dxa"/>
            <w:vMerge/>
            <w:vAlign w:val="center"/>
          </w:tcPr>
          <w:p w14:paraId="723F20EE" w14:textId="77777777" w:rsidR="00D1012C" w:rsidRPr="0034117A" w:rsidRDefault="00D1012C" w:rsidP="00952AA8">
            <w:pPr>
              <w:widowControl/>
              <w:rPr>
                <w:sz w:val="18"/>
                <w:szCs w:val="18"/>
              </w:rPr>
            </w:pPr>
            <w:bookmarkStart w:id="37" w:name="_Hlk192578682"/>
          </w:p>
        </w:tc>
        <w:tc>
          <w:tcPr>
            <w:tcW w:w="1487" w:type="dxa"/>
            <w:vAlign w:val="center"/>
          </w:tcPr>
          <w:p w14:paraId="7ADF4531"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t>Trade Accessibility</w:t>
            </w:r>
            <w:r w:rsidRPr="00E22618">
              <w:rPr>
                <w:rFonts w:eastAsia="等线"/>
                <w:sz w:val="18"/>
                <w:szCs w:val="18"/>
              </w:rPr>
              <w:t xml:space="preserve"> </w:t>
            </w:r>
            <w:r w:rsidRPr="00E22618">
              <w:rPr>
                <w:sz w:val="18"/>
                <w:szCs w:val="18"/>
              </w:rPr>
              <w:t>(</w:t>
            </w:r>
            <w:r w:rsidRPr="00E22618">
              <w:rPr>
                <w:rStyle w:val="10"/>
                <w:rFonts w:ascii="Times New Roman" w:hAnsi="Times New Roman" w:cs="Times New Roman"/>
                <w:color w:val="auto"/>
                <w:sz w:val="20"/>
                <w:szCs w:val="20"/>
              </w:rPr>
              <w:t>TA</w:t>
            </w:r>
            <w:r w:rsidRPr="00E22618">
              <w:rPr>
                <w:sz w:val="18"/>
                <w:szCs w:val="18"/>
              </w:rPr>
              <w:t>)</w:t>
            </w:r>
          </w:p>
        </w:tc>
        <w:tc>
          <w:tcPr>
            <w:tcW w:w="3369" w:type="dxa"/>
            <w:vAlign w:val="center"/>
          </w:tcPr>
          <w:p w14:paraId="626E5705"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34117A">
              <w:rPr>
                <w:rFonts w:eastAsia="等线"/>
                <w:sz w:val="18"/>
                <w:szCs w:val="18"/>
              </w:rPr>
              <w:t>Defined as the geographical distance between the city and the nearest port.</w:t>
            </w:r>
          </w:p>
        </w:tc>
        <w:tc>
          <w:tcPr>
            <w:tcW w:w="2582" w:type="dxa"/>
            <w:vAlign w:val="center"/>
          </w:tcPr>
          <w:p w14:paraId="3E0D3C26" w14:textId="77777777" w:rsidR="00D1012C" w:rsidRPr="0034117A" w:rsidRDefault="00D1012C" w:rsidP="00952A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等线"/>
                <w:sz w:val="18"/>
                <w:szCs w:val="18"/>
              </w:rPr>
            </w:pPr>
          </w:p>
        </w:tc>
      </w:tr>
      <w:bookmarkEnd w:id="1"/>
      <w:bookmarkEnd w:id="37"/>
    </w:tbl>
    <w:p w14:paraId="72EC49D8" w14:textId="77777777" w:rsidR="00D1012C" w:rsidRPr="00E22618" w:rsidRDefault="00D1012C" w:rsidP="00D1012C">
      <w:pPr>
        <w:rPr>
          <w:rFonts w:ascii="Times New Roman" w:hAnsi="Times New Roman" w:cs="Times New Roman"/>
        </w:rPr>
      </w:pPr>
    </w:p>
    <w:p w14:paraId="6DD9D728" w14:textId="77777777" w:rsidR="00D1012C" w:rsidRPr="00E22618" w:rsidRDefault="00D1012C" w:rsidP="00D1012C">
      <w:pPr>
        <w:rPr>
          <w:rFonts w:ascii="Times New Roman" w:hAnsi="Times New Roman" w:cs="Times New Roman"/>
        </w:rPr>
      </w:pPr>
    </w:p>
    <w:p w14:paraId="592004C1" w14:textId="4A134510" w:rsidR="00D1012C" w:rsidRPr="00F87098" w:rsidRDefault="00F87098" w:rsidP="00F87098">
      <w:pPr>
        <w:pStyle w:val="1"/>
        <w:rPr>
          <w:rFonts w:ascii="Times New Roman" w:hAnsi="Times New Roman" w:cs="Times New Roman"/>
          <w:color w:val="auto"/>
        </w:rPr>
      </w:pPr>
      <w:r w:rsidRPr="00F87098">
        <w:rPr>
          <w:rFonts w:ascii="Times New Roman" w:hAnsi="Times New Roman" w:cs="Times New Roman"/>
          <w:color w:val="auto"/>
        </w:rPr>
        <w:lastRenderedPageBreak/>
        <w:t>R</w:t>
      </w:r>
      <w:r w:rsidRPr="00F87098">
        <w:rPr>
          <w:rFonts w:ascii="Times New Roman" w:hAnsi="Times New Roman" w:cs="Times New Roman" w:hint="eastAsia"/>
          <w:color w:val="auto"/>
        </w:rPr>
        <w:t>eferences</w:t>
      </w:r>
    </w:p>
    <w:p w14:paraId="7B199836" w14:textId="77777777" w:rsidR="00F87098" w:rsidRPr="00F87098" w:rsidRDefault="00F87098" w:rsidP="00F87098">
      <w:pPr>
        <w:pStyle w:val="af3"/>
        <w:spacing w:line="240" w:lineRule="auto"/>
        <w:rPr>
          <w:rFonts w:ascii="Times New Roman" w:hAnsi="Times New Roman" w:cs="Times New Roman"/>
        </w:rPr>
      </w:pPr>
      <w:r>
        <w:fldChar w:fldCharType="begin"/>
      </w:r>
      <w:r>
        <w:instrText xml:space="preserve"> ADDIN ZOTERO_BIBL {"uncited":[],"omitted":[],"custom":[]} CSL_BIBLIOGRAPHY </w:instrText>
      </w:r>
      <w:r>
        <w:fldChar w:fldCharType="separate"/>
      </w:r>
      <w:r w:rsidRPr="00F87098">
        <w:rPr>
          <w:rFonts w:ascii="Times New Roman" w:hAnsi="Times New Roman" w:cs="Times New Roman"/>
        </w:rPr>
        <w:t xml:space="preserve">Aisaiti, G., Xie, J., &amp; Zhang, T. (2022). National Innovation Demonstration Zone policy and city innovation capability – a quasi-natural experimental analysis. </w:t>
      </w:r>
      <w:r w:rsidRPr="00F87098">
        <w:rPr>
          <w:rFonts w:ascii="Times New Roman" w:hAnsi="Times New Roman" w:cs="Times New Roman"/>
          <w:i/>
          <w:iCs/>
        </w:rPr>
        <w:t>Industrial Management &amp; Data Systems</w:t>
      </w:r>
      <w:r w:rsidRPr="00F87098">
        <w:rPr>
          <w:rFonts w:ascii="Times New Roman" w:hAnsi="Times New Roman" w:cs="Times New Roman"/>
        </w:rPr>
        <w:t xml:space="preserve">, </w:t>
      </w:r>
      <w:r w:rsidRPr="00F87098">
        <w:rPr>
          <w:rFonts w:ascii="Times New Roman" w:hAnsi="Times New Roman" w:cs="Times New Roman"/>
          <w:i/>
          <w:iCs/>
        </w:rPr>
        <w:t>122</w:t>
      </w:r>
      <w:r w:rsidRPr="00F87098">
        <w:rPr>
          <w:rFonts w:ascii="Times New Roman" w:hAnsi="Times New Roman" w:cs="Times New Roman"/>
        </w:rPr>
        <w:t>(5), 1246–1267. https://doi.org/10.1108/IMDS-12-2021-0772</w:t>
      </w:r>
    </w:p>
    <w:p w14:paraId="1FF13C0A"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Andersson, M., Klaesson, J., &amp; Larsson, J. P. (2016). How Local are Spatial Density Externalities? Neighbourhood Effects in Agglomeration Economies. </w:t>
      </w:r>
      <w:r w:rsidRPr="00F87098">
        <w:rPr>
          <w:rFonts w:ascii="Times New Roman" w:hAnsi="Times New Roman" w:cs="Times New Roman"/>
          <w:i/>
          <w:iCs/>
        </w:rPr>
        <w:t>Regional Studies</w:t>
      </w:r>
      <w:r w:rsidRPr="00F87098">
        <w:rPr>
          <w:rFonts w:ascii="Times New Roman" w:hAnsi="Times New Roman" w:cs="Times New Roman"/>
        </w:rPr>
        <w:t xml:space="preserve">, </w:t>
      </w:r>
      <w:r w:rsidRPr="00F87098">
        <w:rPr>
          <w:rFonts w:ascii="Times New Roman" w:hAnsi="Times New Roman" w:cs="Times New Roman"/>
          <w:i/>
          <w:iCs/>
        </w:rPr>
        <w:t>50</w:t>
      </w:r>
      <w:r w:rsidRPr="00F87098">
        <w:rPr>
          <w:rFonts w:ascii="Times New Roman" w:hAnsi="Times New Roman" w:cs="Times New Roman"/>
        </w:rPr>
        <w:t>(6), 1082–1095. https://doi.org/10.1080/00343404.2014.968119</w:t>
      </w:r>
    </w:p>
    <w:p w14:paraId="04991F2F"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Cai, Y., Yan, D., Li, W., &amp; Liu, S. (2025). The spatial dynamics of financial expenditure on science and technology in Chinese cities: Financial capacity and government competition. </w:t>
      </w:r>
      <w:r w:rsidRPr="00F87098">
        <w:rPr>
          <w:rFonts w:ascii="Times New Roman" w:hAnsi="Times New Roman" w:cs="Times New Roman"/>
          <w:i/>
          <w:iCs/>
        </w:rPr>
        <w:t>Cities</w:t>
      </w:r>
      <w:r w:rsidRPr="00F87098">
        <w:rPr>
          <w:rFonts w:ascii="Times New Roman" w:hAnsi="Times New Roman" w:cs="Times New Roman"/>
        </w:rPr>
        <w:t xml:space="preserve">, </w:t>
      </w:r>
      <w:r w:rsidRPr="00F87098">
        <w:rPr>
          <w:rFonts w:ascii="Times New Roman" w:hAnsi="Times New Roman" w:cs="Times New Roman"/>
          <w:i/>
          <w:iCs/>
        </w:rPr>
        <w:t>156</w:t>
      </w:r>
      <w:r w:rsidRPr="00F87098">
        <w:rPr>
          <w:rFonts w:ascii="Times New Roman" w:hAnsi="Times New Roman" w:cs="Times New Roman"/>
        </w:rPr>
        <w:t>, 105584.</w:t>
      </w:r>
    </w:p>
    <w:p w14:paraId="014DEF7F"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Carlino, G. A., Chatterjee, S., &amp; Hunt, R. M. (2007). Urban density and the rate of invention. </w:t>
      </w:r>
      <w:r w:rsidRPr="00F87098">
        <w:rPr>
          <w:rFonts w:ascii="Times New Roman" w:hAnsi="Times New Roman" w:cs="Times New Roman"/>
          <w:i/>
          <w:iCs/>
        </w:rPr>
        <w:t>Journal of Urban Economics</w:t>
      </w:r>
      <w:r w:rsidRPr="00F87098">
        <w:rPr>
          <w:rFonts w:ascii="Times New Roman" w:hAnsi="Times New Roman" w:cs="Times New Roman"/>
        </w:rPr>
        <w:t xml:space="preserve">, </w:t>
      </w:r>
      <w:r w:rsidRPr="00F87098">
        <w:rPr>
          <w:rFonts w:ascii="Times New Roman" w:hAnsi="Times New Roman" w:cs="Times New Roman"/>
          <w:i/>
          <w:iCs/>
        </w:rPr>
        <w:t>61</w:t>
      </w:r>
      <w:r w:rsidRPr="00F87098">
        <w:rPr>
          <w:rFonts w:ascii="Times New Roman" w:hAnsi="Times New Roman" w:cs="Times New Roman"/>
        </w:rPr>
        <w:t>(3), 389–419.</w:t>
      </w:r>
    </w:p>
    <w:p w14:paraId="25E98F10"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Emara, N., &amp; El Said, A. (2021). Financial inclusion and economic growth: The role of governance in selected MENA countries. </w:t>
      </w:r>
      <w:r w:rsidRPr="00F87098">
        <w:rPr>
          <w:rFonts w:ascii="Times New Roman" w:hAnsi="Times New Roman" w:cs="Times New Roman"/>
          <w:i/>
          <w:iCs/>
        </w:rPr>
        <w:t>International Review of Economics &amp; Finance</w:t>
      </w:r>
      <w:r w:rsidRPr="00F87098">
        <w:rPr>
          <w:rFonts w:ascii="Times New Roman" w:hAnsi="Times New Roman" w:cs="Times New Roman"/>
        </w:rPr>
        <w:t xml:space="preserve">, </w:t>
      </w:r>
      <w:r w:rsidRPr="00F87098">
        <w:rPr>
          <w:rFonts w:ascii="Times New Roman" w:hAnsi="Times New Roman" w:cs="Times New Roman"/>
          <w:i/>
          <w:iCs/>
        </w:rPr>
        <w:t>75</w:t>
      </w:r>
      <w:r w:rsidRPr="00F87098">
        <w:rPr>
          <w:rFonts w:ascii="Times New Roman" w:hAnsi="Times New Roman" w:cs="Times New Roman"/>
        </w:rPr>
        <w:t>, 34–54. https://doi.org/10.1016/j.iref.2021.03.014</w:t>
      </w:r>
    </w:p>
    <w:p w14:paraId="0C222DF0"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Fitjar, R. D., &amp; Rodríguez‐Pose, A. (2020). Where cities fail to triumph: The impact of urban location and local collaboration on innovation in Norway. </w:t>
      </w:r>
      <w:r w:rsidRPr="00F87098">
        <w:rPr>
          <w:rFonts w:ascii="Times New Roman" w:hAnsi="Times New Roman" w:cs="Times New Roman"/>
          <w:i/>
          <w:iCs/>
        </w:rPr>
        <w:t>Journal of Regional Science</w:t>
      </w:r>
      <w:r w:rsidRPr="00F87098">
        <w:rPr>
          <w:rFonts w:ascii="Times New Roman" w:hAnsi="Times New Roman" w:cs="Times New Roman"/>
        </w:rPr>
        <w:t xml:space="preserve">, </w:t>
      </w:r>
      <w:r w:rsidRPr="00F87098">
        <w:rPr>
          <w:rFonts w:ascii="Times New Roman" w:hAnsi="Times New Roman" w:cs="Times New Roman"/>
          <w:i/>
          <w:iCs/>
        </w:rPr>
        <w:t>60</w:t>
      </w:r>
      <w:r w:rsidRPr="00F87098">
        <w:rPr>
          <w:rFonts w:ascii="Times New Roman" w:hAnsi="Times New Roman" w:cs="Times New Roman"/>
        </w:rPr>
        <w:t>(1), 5–32. https://doi.org/10.1111/jors.12461</w:t>
      </w:r>
    </w:p>
    <w:p w14:paraId="1648F5FE"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Ganau, R., &amp; Grandinetti, R. (2021). Disentangling regional innovation capability: What really matters? </w:t>
      </w:r>
      <w:r w:rsidRPr="00F87098">
        <w:rPr>
          <w:rFonts w:ascii="Times New Roman" w:hAnsi="Times New Roman" w:cs="Times New Roman"/>
          <w:i/>
          <w:iCs/>
        </w:rPr>
        <w:t>Industry and Innovation</w:t>
      </w:r>
      <w:r w:rsidRPr="00F87098">
        <w:rPr>
          <w:rFonts w:ascii="Times New Roman" w:hAnsi="Times New Roman" w:cs="Times New Roman"/>
        </w:rPr>
        <w:t xml:space="preserve">, </w:t>
      </w:r>
      <w:r w:rsidRPr="00F87098">
        <w:rPr>
          <w:rFonts w:ascii="Times New Roman" w:hAnsi="Times New Roman" w:cs="Times New Roman"/>
          <w:i/>
          <w:iCs/>
        </w:rPr>
        <w:t>28</w:t>
      </w:r>
      <w:r w:rsidRPr="00F87098">
        <w:rPr>
          <w:rFonts w:ascii="Times New Roman" w:hAnsi="Times New Roman" w:cs="Times New Roman"/>
        </w:rPr>
        <w:t>(6), 749–772. https://doi.org/10.1080/13662716.2021.1904841</w:t>
      </w:r>
    </w:p>
    <w:p w14:paraId="0811CA09"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Greunz, L. (2004). Industrial structure and innovation—Evidence from European regions. </w:t>
      </w:r>
      <w:r w:rsidRPr="00F87098">
        <w:rPr>
          <w:rFonts w:ascii="Times New Roman" w:hAnsi="Times New Roman" w:cs="Times New Roman"/>
          <w:i/>
          <w:iCs/>
        </w:rPr>
        <w:t>Journal of Evolutionary Economics</w:t>
      </w:r>
      <w:r w:rsidRPr="00F87098">
        <w:rPr>
          <w:rFonts w:ascii="Times New Roman" w:hAnsi="Times New Roman" w:cs="Times New Roman"/>
        </w:rPr>
        <w:t xml:space="preserve">, </w:t>
      </w:r>
      <w:r w:rsidRPr="00F87098">
        <w:rPr>
          <w:rFonts w:ascii="Times New Roman" w:hAnsi="Times New Roman" w:cs="Times New Roman"/>
          <w:i/>
          <w:iCs/>
        </w:rPr>
        <w:t>14</w:t>
      </w:r>
      <w:r w:rsidRPr="00F87098">
        <w:rPr>
          <w:rFonts w:ascii="Times New Roman" w:hAnsi="Times New Roman" w:cs="Times New Roman"/>
        </w:rPr>
        <w:t>(5), Article 5. https://doi.org/10.1007/s00191-004-0234-8</w:t>
      </w:r>
    </w:p>
    <w:p w14:paraId="2D80724E"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Hu, Y., Wang, C., Zhang, X., Wan, H., &amp; Jiang, D. (2023). Financial agglomeration and regional green innovation efficiency from the perspective of spatial spillover. </w:t>
      </w:r>
      <w:r w:rsidRPr="00F87098">
        <w:rPr>
          <w:rFonts w:ascii="Times New Roman" w:hAnsi="Times New Roman" w:cs="Times New Roman"/>
          <w:i/>
          <w:iCs/>
        </w:rPr>
        <w:t>Journal of Innovation &amp; Knowledge</w:t>
      </w:r>
      <w:r w:rsidRPr="00F87098">
        <w:rPr>
          <w:rFonts w:ascii="Times New Roman" w:hAnsi="Times New Roman" w:cs="Times New Roman"/>
        </w:rPr>
        <w:t xml:space="preserve">, </w:t>
      </w:r>
      <w:r w:rsidRPr="00F87098">
        <w:rPr>
          <w:rFonts w:ascii="Times New Roman" w:hAnsi="Times New Roman" w:cs="Times New Roman"/>
          <w:i/>
          <w:iCs/>
        </w:rPr>
        <w:t>8</w:t>
      </w:r>
      <w:r w:rsidRPr="00F87098">
        <w:rPr>
          <w:rFonts w:ascii="Times New Roman" w:hAnsi="Times New Roman" w:cs="Times New Roman"/>
        </w:rPr>
        <w:t>(4), 100434.</w:t>
      </w:r>
    </w:p>
    <w:p w14:paraId="33ADF0EB"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Jiang, H., Liang, Y., &amp; Pan, S. (2022). Foreign direct investment and regional innovation: Evidence from China. </w:t>
      </w:r>
      <w:r w:rsidRPr="00F87098">
        <w:rPr>
          <w:rFonts w:ascii="Times New Roman" w:hAnsi="Times New Roman" w:cs="Times New Roman"/>
          <w:i/>
          <w:iCs/>
        </w:rPr>
        <w:t>The World Economy</w:t>
      </w:r>
      <w:r w:rsidRPr="00F87098">
        <w:rPr>
          <w:rFonts w:ascii="Times New Roman" w:hAnsi="Times New Roman" w:cs="Times New Roman"/>
        </w:rPr>
        <w:t xml:space="preserve">, </w:t>
      </w:r>
      <w:r w:rsidRPr="00F87098">
        <w:rPr>
          <w:rFonts w:ascii="Times New Roman" w:hAnsi="Times New Roman" w:cs="Times New Roman"/>
          <w:i/>
          <w:iCs/>
        </w:rPr>
        <w:t>45</w:t>
      </w:r>
      <w:r w:rsidRPr="00F87098">
        <w:rPr>
          <w:rFonts w:ascii="Times New Roman" w:hAnsi="Times New Roman" w:cs="Times New Roman"/>
        </w:rPr>
        <w:t>(6), 1876–1909. https://doi.org/10.1111/twec.13205</w:t>
      </w:r>
    </w:p>
    <w:p w14:paraId="330029A5"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Knudsen, B., Florida, R., Stolarick, K., &amp; Gates, G. (2008). Density and Creativity in U.S. Regions. </w:t>
      </w:r>
      <w:r w:rsidRPr="00F87098">
        <w:rPr>
          <w:rFonts w:ascii="Times New Roman" w:hAnsi="Times New Roman" w:cs="Times New Roman"/>
          <w:i/>
          <w:iCs/>
        </w:rPr>
        <w:t>Taylor &amp; Francis</w:t>
      </w:r>
      <w:r w:rsidRPr="00F87098">
        <w:rPr>
          <w:rFonts w:ascii="Times New Roman" w:hAnsi="Times New Roman" w:cs="Times New Roman"/>
        </w:rPr>
        <w:t>. https://doi.org/10.1080/00045600701851150</w:t>
      </w:r>
    </w:p>
    <w:p w14:paraId="284A7EF7"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Lei, X.-P., Zhao, Z.-Y., Zhang, X., Chen, D.-Z., Huang, M.-H., &amp; Zhao, Y.-H. (2012). The inventive activities and collaboration pattern of university–industry–government in China based on patent analysis. </w:t>
      </w:r>
      <w:r w:rsidRPr="00F87098">
        <w:rPr>
          <w:rFonts w:ascii="Times New Roman" w:hAnsi="Times New Roman" w:cs="Times New Roman"/>
          <w:i/>
          <w:iCs/>
        </w:rPr>
        <w:t>Scientometrics</w:t>
      </w:r>
      <w:r w:rsidRPr="00F87098">
        <w:rPr>
          <w:rFonts w:ascii="Times New Roman" w:hAnsi="Times New Roman" w:cs="Times New Roman"/>
        </w:rPr>
        <w:t xml:space="preserve">, </w:t>
      </w:r>
      <w:r w:rsidRPr="00F87098">
        <w:rPr>
          <w:rFonts w:ascii="Times New Roman" w:hAnsi="Times New Roman" w:cs="Times New Roman"/>
          <w:i/>
          <w:iCs/>
        </w:rPr>
        <w:t>90</w:t>
      </w:r>
      <w:r w:rsidRPr="00F87098">
        <w:rPr>
          <w:rFonts w:ascii="Times New Roman" w:hAnsi="Times New Roman" w:cs="Times New Roman"/>
        </w:rPr>
        <w:t>(1), 231–251.</w:t>
      </w:r>
    </w:p>
    <w:p w14:paraId="4CF587A9"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Li, S., Chen, L., Li, Y., &amp; Liu, L. (2024). Financial Density and Innovation Quality: Evidence from the Geographic Distribution of Financial Institutions in China. </w:t>
      </w:r>
      <w:r w:rsidRPr="00F87098">
        <w:rPr>
          <w:rFonts w:ascii="Times New Roman" w:hAnsi="Times New Roman" w:cs="Times New Roman"/>
          <w:i/>
          <w:iCs/>
        </w:rPr>
        <w:t>Journal of the Knowledge Economy</w:t>
      </w:r>
      <w:r w:rsidRPr="00F87098">
        <w:rPr>
          <w:rFonts w:ascii="Times New Roman" w:hAnsi="Times New Roman" w:cs="Times New Roman"/>
        </w:rPr>
        <w:t xml:space="preserve">, </w:t>
      </w:r>
      <w:r w:rsidRPr="00F87098">
        <w:rPr>
          <w:rFonts w:ascii="Times New Roman" w:hAnsi="Times New Roman" w:cs="Times New Roman"/>
          <w:i/>
          <w:iCs/>
        </w:rPr>
        <w:t>15</w:t>
      </w:r>
      <w:r w:rsidRPr="00F87098">
        <w:rPr>
          <w:rFonts w:ascii="Times New Roman" w:hAnsi="Times New Roman" w:cs="Times New Roman"/>
        </w:rPr>
        <w:t>(4), 16868–16912. https://doi.org/10.1007/s13132-024-01765-8</w:t>
      </w:r>
    </w:p>
    <w:p w14:paraId="026229E4"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Li, W., &amp; He, C. (2024). The role of Industry-University-Research collaboration in regional technological diversification: An empirical study on the pharmaceutical industry in China. </w:t>
      </w:r>
      <w:r w:rsidRPr="00F87098">
        <w:rPr>
          <w:rFonts w:ascii="Times New Roman" w:hAnsi="Times New Roman" w:cs="Times New Roman"/>
          <w:i/>
          <w:iCs/>
        </w:rPr>
        <w:t>Applied Geography</w:t>
      </w:r>
      <w:r w:rsidRPr="00F87098">
        <w:rPr>
          <w:rFonts w:ascii="Times New Roman" w:hAnsi="Times New Roman" w:cs="Times New Roman"/>
        </w:rPr>
        <w:t xml:space="preserve">, </w:t>
      </w:r>
      <w:r w:rsidRPr="00F87098">
        <w:rPr>
          <w:rFonts w:ascii="Times New Roman" w:hAnsi="Times New Roman" w:cs="Times New Roman"/>
          <w:i/>
          <w:iCs/>
        </w:rPr>
        <w:t>171</w:t>
      </w:r>
      <w:r w:rsidRPr="00F87098">
        <w:rPr>
          <w:rFonts w:ascii="Times New Roman" w:hAnsi="Times New Roman" w:cs="Times New Roman"/>
        </w:rPr>
        <w:t xml:space="preserve">, 103393. </w:t>
      </w:r>
      <w:r w:rsidRPr="00F87098">
        <w:rPr>
          <w:rFonts w:ascii="Times New Roman" w:hAnsi="Times New Roman" w:cs="Times New Roman"/>
        </w:rPr>
        <w:lastRenderedPageBreak/>
        <w:t>https://doi.org/10.1016/j.apgeog.2024.103393</w:t>
      </w:r>
    </w:p>
    <w:p w14:paraId="0AEDB033"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Mao, K., &amp; Failler, P. (2022). Does stronger protection of intellectual property improve sustainable development? Evidence from city data in China. </w:t>
      </w:r>
      <w:r w:rsidRPr="00F87098">
        <w:rPr>
          <w:rFonts w:ascii="Times New Roman" w:hAnsi="Times New Roman" w:cs="Times New Roman"/>
          <w:i/>
          <w:iCs/>
        </w:rPr>
        <w:t>Sustainability</w:t>
      </w:r>
      <w:r w:rsidRPr="00F87098">
        <w:rPr>
          <w:rFonts w:ascii="Times New Roman" w:hAnsi="Times New Roman" w:cs="Times New Roman"/>
        </w:rPr>
        <w:t xml:space="preserve">, </w:t>
      </w:r>
      <w:r w:rsidRPr="00F87098">
        <w:rPr>
          <w:rFonts w:ascii="Times New Roman" w:hAnsi="Times New Roman" w:cs="Times New Roman"/>
          <w:i/>
          <w:iCs/>
        </w:rPr>
        <w:t>14</w:t>
      </w:r>
      <w:r w:rsidRPr="00F87098">
        <w:rPr>
          <w:rFonts w:ascii="Times New Roman" w:hAnsi="Times New Roman" w:cs="Times New Roman"/>
        </w:rPr>
        <w:t>(21), 14369.</w:t>
      </w:r>
    </w:p>
    <w:p w14:paraId="5B8D59FD"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Müller, K., Rammer, C., &amp; Trüby, J. (2009). The role of creative industries in industrial innovation. </w:t>
      </w:r>
      <w:r w:rsidRPr="00F87098">
        <w:rPr>
          <w:rFonts w:ascii="Times New Roman" w:hAnsi="Times New Roman" w:cs="Times New Roman"/>
          <w:i/>
          <w:iCs/>
        </w:rPr>
        <w:t>Innovation</w:t>
      </w:r>
      <w:r w:rsidRPr="00F87098">
        <w:rPr>
          <w:rFonts w:ascii="Times New Roman" w:hAnsi="Times New Roman" w:cs="Times New Roman"/>
        </w:rPr>
        <w:t xml:space="preserve">, </w:t>
      </w:r>
      <w:r w:rsidRPr="00F87098">
        <w:rPr>
          <w:rFonts w:ascii="Times New Roman" w:hAnsi="Times New Roman" w:cs="Times New Roman"/>
          <w:i/>
          <w:iCs/>
        </w:rPr>
        <w:t>11</w:t>
      </w:r>
      <w:r w:rsidRPr="00F87098">
        <w:rPr>
          <w:rFonts w:ascii="Times New Roman" w:hAnsi="Times New Roman" w:cs="Times New Roman"/>
        </w:rPr>
        <w:t>(2), 148–168. https://doi.org/10.5172/impp.11.2.148</w:t>
      </w:r>
    </w:p>
    <w:p w14:paraId="58C217FD"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Ning, L., Wang, F., &amp; Li, J. (2016). Urban innovation, regional externalities of foreign direct investment and industrial agglomeration: Evidence from Chinese cities. </w:t>
      </w:r>
      <w:r w:rsidRPr="00F87098">
        <w:rPr>
          <w:rFonts w:ascii="Times New Roman" w:hAnsi="Times New Roman" w:cs="Times New Roman"/>
          <w:i/>
          <w:iCs/>
        </w:rPr>
        <w:t>Research Policy</w:t>
      </w:r>
      <w:r w:rsidRPr="00F87098">
        <w:rPr>
          <w:rFonts w:ascii="Times New Roman" w:hAnsi="Times New Roman" w:cs="Times New Roman"/>
        </w:rPr>
        <w:t xml:space="preserve">, </w:t>
      </w:r>
      <w:r w:rsidRPr="00F87098">
        <w:rPr>
          <w:rFonts w:ascii="Times New Roman" w:hAnsi="Times New Roman" w:cs="Times New Roman"/>
          <w:i/>
          <w:iCs/>
        </w:rPr>
        <w:t>45</w:t>
      </w:r>
      <w:r w:rsidRPr="00F87098">
        <w:rPr>
          <w:rFonts w:ascii="Times New Roman" w:hAnsi="Times New Roman" w:cs="Times New Roman"/>
        </w:rPr>
        <w:t>(4), 830–843.</w:t>
      </w:r>
    </w:p>
    <w:p w14:paraId="291F34B4"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Rodríguez-Pose, A., Wilkie, C., &amp; Zhang, M. (2021). Innovating in “lagging” cities: A comparative exploration of the dynamics of innovation in Chinese cities. </w:t>
      </w:r>
      <w:r w:rsidRPr="00F87098">
        <w:rPr>
          <w:rFonts w:ascii="Times New Roman" w:hAnsi="Times New Roman" w:cs="Times New Roman"/>
          <w:i/>
          <w:iCs/>
        </w:rPr>
        <w:t>Applied Geography</w:t>
      </w:r>
      <w:r w:rsidRPr="00F87098">
        <w:rPr>
          <w:rFonts w:ascii="Times New Roman" w:hAnsi="Times New Roman" w:cs="Times New Roman"/>
        </w:rPr>
        <w:t xml:space="preserve">, </w:t>
      </w:r>
      <w:r w:rsidRPr="00F87098">
        <w:rPr>
          <w:rFonts w:ascii="Times New Roman" w:hAnsi="Times New Roman" w:cs="Times New Roman"/>
          <w:i/>
          <w:iCs/>
        </w:rPr>
        <w:t>132</w:t>
      </w:r>
      <w:r w:rsidRPr="00F87098">
        <w:rPr>
          <w:rFonts w:ascii="Times New Roman" w:hAnsi="Times New Roman" w:cs="Times New Roman"/>
        </w:rPr>
        <w:t>, 102475. https://doi.org/10.1016/j.apgeog.2021.102475</w:t>
      </w:r>
    </w:p>
    <w:p w14:paraId="2D35B788"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Sleuwaegen, L., &amp; Boiardi, P. (2014). Creativity and regional innovation: Evidence from EU regions. </w:t>
      </w:r>
      <w:r w:rsidRPr="00F87098">
        <w:rPr>
          <w:rFonts w:ascii="Times New Roman" w:hAnsi="Times New Roman" w:cs="Times New Roman"/>
          <w:i/>
          <w:iCs/>
        </w:rPr>
        <w:t>Research Policy</w:t>
      </w:r>
      <w:r w:rsidRPr="00F87098">
        <w:rPr>
          <w:rFonts w:ascii="Times New Roman" w:hAnsi="Times New Roman" w:cs="Times New Roman"/>
        </w:rPr>
        <w:t xml:space="preserve">, </w:t>
      </w:r>
      <w:r w:rsidRPr="00F87098">
        <w:rPr>
          <w:rFonts w:ascii="Times New Roman" w:hAnsi="Times New Roman" w:cs="Times New Roman"/>
          <w:i/>
          <w:iCs/>
        </w:rPr>
        <w:t>43</w:t>
      </w:r>
      <w:r w:rsidRPr="00F87098">
        <w:rPr>
          <w:rFonts w:ascii="Times New Roman" w:hAnsi="Times New Roman" w:cs="Times New Roman"/>
        </w:rPr>
        <w:t>(9), 1508–1522.</w:t>
      </w:r>
    </w:p>
    <w:p w14:paraId="00CEA398"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Song, B., Yuan, K., Jin, Y., &amp; Zhao, L. (2024). Regional institutional environment and R&amp;D performance: Evidence from marketization index of China’s provinces and panel data of high-tech manufacturing firms. </w:t>
      </w:r>
      <w:r w:rsidRPr="00F87098">
        <w:rPr>
          <w:rFonts w:ascii="Times New Roman" w:hAnsi="Times New Roman" w:cs="Times New Roman"/>
          <w:i/>
          <w:iCs/>
        </w:rPr>
        <w:t>Chinese Management Studies</w:t>
      </w:r>
      <w:r w:rsidRPr="00F87098">
        <w:rPr>
          <w:rFonts w:ascii="Times New Roman" w:hAnsi="Times New Roman" w:cs="Times New Roman"/>
        </w:rPr>
        <w:t xml:space="preserve">, </w:t>
      </w:r>
      <w:r w:rsidRPr="00F87098">
        <w:rPr>
          <w:rFonts w:ascii="Times New Roman" w:hAnsi="Times New Roman" w:cs="Times New Roman"/>
          <w:i/>
          <w:iCs/>
        </w:rPr>
        <w:t>18</w:t>
      </w:r>
      <w:r w:rsidRPr="00F87098">
        <w:rPr>
          <w:rFonts w:ascii="Times New Roman" w:hAnsi="Times New Roman" w:cs="Times New Roman"/>
        </w:rPr>
        <w:t>(6), 1613–1633.</w:t>
      </w:r>
    </w:p>
    <w:p w14:paraId="1266A0C4"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Song, H., Zhang-Zhang, Y., Tian, M., Rohlfer, S., &amp; Sharkasi, N. (2019). Culture and regional innovation performance: An exploration in China. </w:t>
      </w:r>
      <w:r w:rsidRPr="00F87098">
        <w:rPr>
          <w:rFonts w:ascii="Times New Roman" w:hAnsi="Times New Roman" w:cs="Times New Roman"/>
          <w:i/>
          <w:iCs/>
        </w:rPr>
        <w:t>Chinese Management Studies</w:t>
      </w:r>
      <w:r w:rsidRPr="00F87098">
        <w:rPr>
          <w:rFonts w:ascii="Times New Roman" w:hAnsi="Times New Roman" w:cs="Times New Roman"/>
        </w:rPr>
        <w:t xml:space="preserve">, </w:t>
      </w:r>
      <w:r w:rsidRPr="00F87098">
        <w:rPr>
          <w:rFonts w:ascii="Times New Roman" w:hAnsi="Times New Roman" w:cs="Times New Roman"/>
          <w:i/>
          <w:iCs/>
        </w:rPr>
        <w:t>13</w:t>
      </w:r>
      <w:r w:rsidRPr="00F87098">
        <w:rPr>
          <w:rFonts w:ascii="Times New Roman" w:hAnsi="Times New Roman" w:cs="Times New Roman"/>
        </w:rPr>
        <w:t>(2), 397–420.</w:t>
      </w:r>
    </w:p>
    <w:p w14:paraId="06322892"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Tang, D., Li, Y., Zheng, H., &amp; Yuan, X. (2022). Government R&amp;D spending, fiscal instruments and corporate technological innovation. </w:t>
      </w:r>
      <w:r w:rsidRPr="00F87098">
        <w:rPr>
          <w:rFonts w:ascii="Times New Roman" w:hAnsi="Times New Roman" w:cs="Times New Roman"/>
          <w:i/>
          <w:iCs/>
        </w:rPr>
        <w:t>China Journal of Accounting Research</w:t>
      </w:r>
      <w:r w:rsidRPr="00F87098">
        <w:rPr>
          <w:rFonts w:ascii="Times New Roman" w:hAnsi="Times New Roman" w:cs="Times New Roman"/>
        </w:rPr>
        <w:t xml:space="preserve">, </w:t>
      </w:r>
      <w:r w:rsidRPr="00F87098">
        <w:rPr>
          <w:rFonts w:ascii="Times New Roman" w:hAnsi="Times New Roman" w:cs="Times New Roman"/>
          <w:i/>
          <w:iCs/>
        </w:rPr>
        <w:t>15</w:t>
      </w:r>
      <w:r w:rsidRPr="00F87098">
        <w:rPr>
          <w:rFonts w:ascii="Times New Roman" w:hAnsi="Times New Roman" w:cs="Times New Roman"/>
        </w:rPr>
        <w:t>(3), 100250.</w:t>
      </w:r>
    </w:p>
    <w:p w14:paraId="4D4B0BD8"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Wang, X., Xie, Z., Zhang, X., &amp; Huang, Y. (2018). Roads to innovation: Firm-level evidence from People’s Republic of China (PRC). </w:t>
      </w:r>
      <w:r w:rsidRPr="00F87098">
        <w:rPr>
          <w:rFonts w:ascii="Times New Roman" w:hAnsi="Times New Roman" w:cs="Times New Roman"/>
          <w:i/>
          <w:iCs/>
        </w:rPr>
        <w:t>China Economic Review</w:t>
      </w:r>
      <w:r w:rsidRPr="00F87098">
        <w:rPr>
          <w:rFonts w:ascii="Times New Roman" w:hAnsi="Times New Roman" w:cs="Times New Roman"/>
        </w:rPr>
        <w:t xml:space="preserve">, </w:t>
      </w:r>
      <w:r w:rsidRPr="00F87098">
        <w:rPr>
          <w:rFonts w:ascii="Times New Roman" w:hAnsi="Times New Roman" w:cs="Times New Roman"/>
          <w:i/>
          <w:iCs/>
        </w:rPr>
        <w:t>49</w:t>
      </w:r>
      <w:r w:rsidRPr="00F87098">
        <w:rPr>
          <w:rFonts w:ascii="Times New Roman" w:hAnsi="Times New Roman" w:cs="Times New Roman"/>
        </w:rPr>
        <w:t>, 154–170.</w:t>
      </w:r>
    </w:p>
    <w:p w14:paraId="53123266"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Wen, Y., Song, P., Gao, C., &amp; Yang, D. (2023). Economic openness, innovation and economic growth: Nonlinear relationships based on policy support. </w:t>
      </w:r>
      <w:r w:rsidRPr="00F87098">
        <w:rPr>
          <w:rFonts w:ascii="Times New Roman" w:hAnsi="Times New Roman" w:cs="Times New Roman"/>
          <w:i/>
          <w:iCs/>
        </w:rPr>
        <w:t>Heliyon</w:t>
      </w:r>
      <w:r w:rsidRPr="00F87098">
        <w:rPr>
          <w:rFonts w:ascii="Times New Roman" w:hAnsi="Times New Roman" w:cs="Times New Roman"/>
        </w:rPr>
        <w:t xml:space="preserve">, </w:t>
      </w:r>
      <w:r w:rsidRPr="00F87098">
        <w:rPr>
          <w:rFonts w:ascii="Times New Roman" w:hAnsi="Times New Roman" w:cs="Times New Roman"/>
          <w:i/>
          <w:iCs/>
        </w:rPr>
        <w:t>9</w:t>
      </w:r>
      <w:r w:rsidRPr="00F87098">
        <w:rPr>
          <w:rFonts w:ascii="Times New Roman" w:hAnsi="Times New Roman" w:cs="Times New Roman"/>
        </w:rPr>
        <w:t>(1). https://www.cell.com/heliyon/fulltext/S2405-8440(23)00032-4</w:t>
      </w:r>
    </w:p>
    <w:p w14:paraId="7C245BCD"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Wu, M., Liu, C., &amp; Huang, J. (2021). The special economic zones and innovation: Evidence from China. </w:t>
      </w:r>
      <w:r w:rsidRPr="00F87098">
        <w:rPr>
          <w:rFonts w:ascii="Times New Roman" w:hAnsi="Times New Roman" w:cs="Times New Roman"/>
          <w:i/>
          <w:iCs/>
        </w:rPr>
        <w:t>China Economic Quarterly International</w:t>
      </w:r>
      <w:r w:rsidRPr="00F87098">
        <w:rPr>
          <w:rFonts w:ascii="Times New Roman" w:hAnsi="Times New Roman" w:cs="Times New Roman"/>
        </w:rPr>
        <w:t xml:space="preserve">, </w:t>
      </w:r>
      <w:r w:rsidRPr="00F87098">
        <w:rPr>
          <w:rFonts w:ascii="Times New Roman" w:hAnsi="Times New Roman" w:cs="Times New Roman"/>
          <w:i/>
          <w:iCs/>
        </w:rPr>
        <w:t>1</w:t>
      </w:r>
      <w:r w:rsidRPr="00F87098">
        <w:rPr>
          <w:rFonts w:ascii="Times New Roman" w:hAnsi="Times New Roman" w:cs="Times New Roman"/>
        </w:rPr>
        <w:t>(4), 319–330.</w:t>
      </w:r>
    </w:p>
    <w:p w14:paraId="19E2C521"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Yang, M., Zheng, S., &amp; Zhou, L. (2022). Broadband internet and enterprise innovation. </w:t>
      </w:r>
      <w:r w:rsidRPr="00F87098">
        <w:rPr>
          <w:rFonts w:ascii="Times New Roman" w:hAnsi="Times New Roman" w:cs="Times New Roman"/>
          <w:i/>
          <w:iCs/>
        </w:rPr>
        <w:t>China Economic Review</w:t>
      </w:r>
      <w:r w:rsidRPr="00F87098">
        <w:rPr>
          <w:rFonts w:ascii="Times New Roman" w:hAnsi="Times New Roman" w:cs="Times New Roman"/>
        </w:rPr>
        <w:t xml:space="preserve">, </w:t>
      </w:r>
      <w:r w:rsidRPr="00F87098">
        <w:rPr>
          <w:rFonts w:ascii="Times New Roman" w:hAnsi="Times New Roman" w:cs="Times New Roman"/>
          <w:i/>
          <w:iCs/>
        </w:rPr>
        <w:t>74</w:t>
      </w:r>
      <w:r w:rsidRPr="00F87098">
        <w:rPr>
          <w:rFonts w:ascii="Times New Roman" w:hAnsi="Times New Roman" w:cs="Times New Roman"/>
        </w:rPr>
        <w:t>, 101802.</w:t>
      </w:r>
    </w:p>
    <w:p w14:paraId="2BB14DFE"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Yang, S., Liu, F., Wang, G., &amp; Feng, D. (2024). Intellectual property system and urban green innovation: Evidence from China. </w:t>
      </w:r>
      <w:r w:rsidRPr="00F87098">
        <w:rPr>
          <w:rFonts w:ascii="Times New Roman" w:hAnsi="Times New Roman" w:cs="Times New Roman"/>
          <w:i/>
          <w:iCs/>
        </w:rPr>
        <w:t>Growth and Change</w:t>
      </w:r>
      <w:r w:rsidRPr="00F87098">
        <w:rPr>
          <w:rFonts w:ascii="Times New Roman" w:hAnsi="Times New Roman" w:cs="Times New Roman"/>
        </w:rPr>
        <w:t xml:space="preserve">, </w:t>
      </w:r>
      <w:r w:rsidRPr="00F87098">
        <w:rPr>
          <w:rFonts w:ascii="Times New Roman" w:hAnsi="Times New Roman" w:cs="Times New Roman"/>
          <w:i/>
          <w:iCs/>
        </w:rPr>
        <w:t>55</w:t>
      </w:r>
      <w:r w:rsidRPr="00F87098">
        <w:rPr>
          <w:rFonts w:ascii="Times New Roman" w:hAnsi="Times New Roman" w:cs="Times New Roman"/>
        </w:rPr>
        <w:t>(1), e12689. https://doi.org/10.1111/grow.12689</w:t>
      </w:r>
    </w:p>
    <w:p w14:paraId="4C09DC4B"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Ye, Z., Ma, L., &amp; Jin, F. (2024). Yesterday’s solution: Do national economic and technological development zones promote industrial development in typical developing regions of China? </w:t>
      </w:r>
      <w:r w:rsidRPr="00F87098">
        <w:rPr>
          <w:rFonts w:ascii="Times New Roman" w:hAnsi="Times New Roman" w:cs="Times New Roman"/>
          <w:i/>
          <w:iCs/>
        </w:rPr>
        <w:t>Habitat International</w:t>
      </w:r>
      <w:r w:rsidRPr="00F87098">
        <w:rPr>
          <w:rFonts w:ascii="Times New Roman" w:hAnsi="Times New Roman" w:cs="Times New Roman"/>
        </w:rPr>
        <w:t xml:space="preserve">, </w:t>
      </w:r>
      <w:r w:rsidRPr="00F87098">
        <w:rPr>
          <w:rFonts w:ascii="Times New Roman" w:hAnsi="Times New Roman" w:cs="Times New Roman"/>
          <w:i/>
          <w:iCs/>
        </w:rPr>
        <w:t>152</w:t>
      </w:r>
      <w:r w:rsidRPr="00F87098">
        <w:rPr>
          <w:rFonts w:ascii="Times New Roman" w:hAnsi="Times New Roman" w:cs="Times New Roman"/>
        </w:rPr>
        <w:t>, 103156. https://doi.org/10.1016/j.habitatint.2024.103156</w:t>
      </w:r>
    </w:p>
    <w:p w14:paraId="31550CFA"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Zhang, C., Liu, B., &amp; Yang, Y. (2024). Digital economy and urban innovation level: A quasi-natural experiment from the strategy of “Digital China.” </w:t>
      </w:r>
      <w:r w:rsidRPr="00F87098">
        <w:rPr>
          <w:rFonts w:ascii="Times New Roman" w:hAnsi="Times New Roman" w:cs="Times New Roman"/>
          <w:i/>
          <w:iCs/>
        </w:rPr>
        <w:t>Humanities and Social Sciences Communications</w:t>
      </w:r>
      <w:r w:rsidRPr="00F87098">
        <w:rPr>
          <w:rFonts w:ascii="Times New Roman" w:hAnsi="Times New Roman" w:cs="Times New Roman"/>
        </w:rPr>
        <w:t xml:space="preserve">, </w:t>
      </w:r>
      <w:r w:rsidRPr="00F87098">
        <w:rPr>
          <w:rFonts w:ascii="Times New Roman" w:hAnsi="Times New Roman" w:cs="Times New Roman"/>
          <w:i/>
          <w:iCs/>
        </w:rPr>
        <w:t>11</w:t>
      </w:r>
      <w:r w:rsidRPr="00F87098">
        <w:rPr>
          <w:rFonts w:ascii="Times New Roman" w:hAnsi="Times New Roman" w:cs="Times New Roman"/>
        </w:rPr>
        <w:t>(1), 1–12. https://doi.org/10.1057/s41599-024-03122-1</w:t>
      </w:r>
    </w:p>
    <w:p w14:paraId="26DFA398"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Zhang, M., Partridge, M. D., &amp; Song, H. (2020). Amenities and the geography of innovation: Evidence from Chinese cities. </w:t>
      </w:r>
      <w:r w:rsidRPr="00F87098">
        <w:rPr>
          <w:rFonts w:ascii="Times New Roman" w:hAnsi="Times New Roman" w:cs="Times New Roman"/>
          <w:i/>
          <w:iCs/>
        </w:rPr>
        <w:t>The Annals of Regional Science</w:t>
      </w:r>
      <w:r w:rsidRPr="00F87098">
        <w:rPr>
          <w:rFonts w:ascii="Times New Roman" w:hAnsi="Times New Roman" w:cs="Times New Roman"/>
        </w:rPr>
        <w:t xml:space="preserve">, </w:t>
      </w:r>
      <w:r w:rsidRPr="00F87098">
        <w:rPr>
          <w:rFonts w:ascii="Times New Roman" w:hAnsi="Times New Roman" w:cs="Times New Roman"/>
          <w:i/>
          <w:iCs/>
        </w:rPr>
        <w:t>65</w:t>
      </w:r>
      <w:r w:rsidRPr="00F87098">
        <w:rPr>
          <w:rFonts w:ascii="Times New Roman" w:hAnsi="Times New Roman" w:cs="Times New Roman"/>
        </w:rPr>
        <w:t xml:space="preserve">(1), 105–145. </w:t>
      </w:r>
      <w:r w:rsidRPr="00F87098">
        <w:rPr>
          <w:rFonts w:ascii="Times New Roman" w:hAnsi="Times New Roman" w:cs="Times New Roman"/>
        </w:rPr>
        <w:lastRenderedPageBreak/>
        <w:t>https://doi.org/10.1007/s00168-020-00977-5</w:t>
      </w:r>
    </w:p>
    <w:p w14:paraId="6C93D0B6"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Zhao, S., &amp; Li, J. (2022). </w:t>
      </w:r>
      <w:r w:rsidRPr="00F87098">
        <w:rPr>
          <w:rFonts w:ascii="Times New Roman" w:hAnsi="Times New Roman" w:cs="Times New Roman"/>
          <w:i/>
          <w:iCs/>
        </w:rPr>
        <w:t>Impact of innovation network on regional innovation performance: Do network density, network openness and network strength have any influence?</w:t>
      </w:r>
      <w:r w:rsidRPr="00F87098">
        <w:rPr>
          <w:rFonts w:ascii="Times New Roman" w:hAnsi="Times New Roman" w:cs="Times New Roman"/>
        </w:rPr>
        <w:t xml:space="preserve"> (world). https://doi.org/10.1108/JSTPM-05-2022-0084</w:t>
      </w:r>
    </w:p>
    <w:p w14:paraId="7DBAD5CB" w14:textId="77777777" w:rsidR="00F87098" w:rsidRPr="00F87098" w:rsidRDefault="00F87098" w:rsidP="00F87098">
      <w:pPr>
        <w:pStyle w:val="af3"/>
        <w:spacing w:line="240" w:lineRule="auto"/>
        <w:rPr>
          <w:rFonts w:ascii="Times New Roman" w:hAnsi="Times New Roman" w:cs="Times New Roman"/>
        </w:rPr>
      </w:pPr>
      <w:r w:rsidRPr="00F87098">
        <w:rPr>
          <w:rFonts w:ascii="Times New Roman" w:hAnsi="Times New Roman" w:cs="Times New Roman"/>
        </w:rPr>
        <w:t xml:space="preserve">Zhuang, T., Zhao, S., Zheng, M., &amp; Chu, J. (2021). Triple helix relationship research on China’s regional university–industry–government collaborative innovation: Based on provincial patent data. </w:t>
      </w:r>
      <w:r w:rsidRPr="00F87098">
        <w:rPr>
          <w:rFonts w:ascii="Times New Roman" w:hAnsi="Times New Roman" w:cs="Times New Roman"/>
          <w:i/>
          <w:iCs/>
        </w:rPr>
        <w:t>Growth and Change</w:t>
      </w:r>
      <w:r w:rsidRPr="00F87098">
        <w:rPr>
          <w:rFonts w:ascii="Times New Roman" w:hAnsi="Times New Roman" w:cs="Times New Roman"/>
        </w:rPr>
        <w:t xml:space="preserve">, </w:t>
      </w:r>
      <w:r w:rsidRPr="00F87098">
        <w:rPr>
          <w:rFonts w:ascii="Times New Roman" w:hAnsi="Times New Roman" w:cs="Times New Roman"/>
          <w:i/>
          <w:iCs/>
        </w:rPr>
        <w:t>52</w:t>
      </w:r>
      <w:r w:rsidRPr="00F87098">
        <w:rPr>
          <w:rFonts w:ascii="Times New Roman" w:hAnsi="Times New Roman" w:cs="Times New Roman"/>
        </w:rPr>
        <w:t>(3), 1361–1386. https://doi.org/10.1111/grow.12490</w:t>
      </w:r>
    </w:p>
    <w:p w14:paraId="12C55534" w14:textId="28C629A8" w:rsidR="00F87098" w:rsidRPr="00E22618" w:rsidRDefault="00F87098" w:rsidP="00F87098">
      <w:pPr>
        <w:spacing w:line="240" w:lineRule="auto"/>
        <w:rPr>
          <w:rFonts w:ascii="Times New Roman" w:hAnsi="Times New Roman" w:cs="Times New Roman"/>
        </w:rPr>
      </w:pPr>
      <w:r>
        <w:rPr>
          <w:rFonts w:ascii="Times New Roman" w:hAnsi="Times New Roman" w:cs="Times New Roman"/>
        </w:rPr>
        <w:fldChar w:fldCharType="end"/>
      </w:r>
    </w:p>
    <w:p w14:paraId="454B9BF8" w14:textId="7B550749" w:rsidR="00D1012C" w:rsidRPr="00E22618" w:rsidRDefault="00F87098" w:rsidP="00D1012C">
      <w:pPr>
        <w:rPr>
          <w:rFonts w:ascii="Times New Roman" w:hAnsi="Times New Roman" w:cs="Times New Roman"/>
        </w:rPr>
      </w:pPr>
      <w:r>
        <w:rPr>
          <w:rFonts w:ascii="Times New Roman" w:hAnsi="Times New Roman" w:cs="Times New Roman"/>
        </w:rPr>
        <w:br w:type="page"/>
      </w:r>
    </w:p>
    <w:p w14:paraId="00AB4D64" w14:textId="77777777" w:rsidR="00D1012C" w:rsidRDefault="00D1012C" w:rsidP="00D1012C">
      <w:pPr>
        <w:pStyle w:val="1"/>
        <w:rPr>
          <w:rFonts w:ascii="Times New Roman" w:hAnsi="Times New Roman" w:cs="Times New Roman"/>
          <w:color w:val="auto"/>
        </w:rPr>
      </w:pPr>
      <w:r w:rsidRPr="00E22618">
        <w:rPr>
          <w:rFonts w:ascii="Times New Roman" w:hAnsi="Times New Roman" w:cs="Times New Roman"/>
          <w:color w:val="auto"/>
        </w:rPr>
        <w:lastRenderedPageBreak/>
        <w:t>Appendix B</w:t>
      </w:r>
    </w:p>
    <w:p w14:paraId="37132B18" w14:textId="77777777" w:rsidR="00EF4582" w:rsidRDefault="00EF4582" w:rsidP="00EF4582"/>
    <w:p w14:paraId="598BBB5D" w14:textId="77777777" w:rsidR="00EF4582" w:rsidRDefault="00EF4582" w:rsidP="00EF4582"/>
    <w:p w14:paraId="06B130F3" w14:textId="77777777" w:rsidR="00EF4582" w:rsidRPr="000712BF" w:rsidRDefault="00EF4582" w:rsidP="00EF4582">
      <w:pPr>
        <w:pStyle w:val="3"/>
        <w:rPr>
          <w:rFonts w:ascii="Times New Roman" w:hAnsi="Times New Roman" w:cs="Times New Roman"/>
          <w:color w:val="auto"/>
        </w:rPr>
      </w:pPr>
      <w:r w:rsidRPr="000712BF">
        <w:rPr>
          <w:rFonts w:ascii="Times New Roman" w:hAnsi="Times New Roman" w:cs="Times New Roman"/>
          <w:color w:val="auto"/>
        </w:rPr>
        <w:t>Model Selection and Performance Evaluation</w:t>
      </w:r>
    </w:p>
    <w:p w14:paraId="56AF8583" w14:textId="77777777" w:rsidR="00EF4582" w:rsidRPr="000712BF" w:rsidRDefault="00EF4582" w:rsidP="00EF4582">
      <w:pPr>
        <w:spacing w:after="0" w:line="360" w:lineRule="auto"/>
        <w:jc w:val="both"/>
        <w:rPr>
          <w:rFonts w:ascii="Times New Roman" w:hAnsi="Times New Roman" w:cs="Times New Roman"/>
          <w:sz w:val="24"/>
        </w:rPr>
      </w:pPr>
      <w:r w:rsidRPr="000712BF">
        <w:rPr>
          <w:rFonts w:ascii="Times New Roman" w:hAnsi="Times New Roman" w:cs="Times New Roman"/>
          <w:sz w:val="24"/>
        </w:rPr>
        <w:t xml:space="preserve">To identify the most suitable predictive model for UICs, we evaluated multiple </w:t>
      </w:r>
      <w:r w:rsidRPr="000712BF">
        <w:rPr>
          <w:rFonts w:ascii="Times New Roman" w:hAnsi="Times New Roman" w:cs="Times New Roman" w:hint="eastAsia"/>
          <w:sz w:val="24"/>
        </w:rPr>
        <w:t>ML</w:t>
      </w:r>
      <w:r w:rsidRPr="000712BF">
        <w:rPr>
          <w:rFonts w:ascii="Times New Roman" w:hAnsi="Times New Roman" w:cs="Times New Roman"/>
          <w:sz w:val="24"/>
        </w:rPr>
        <w:t xml:space="preserve"> algorithms, including Linear Regression (LR), Elastic Net (EN), GBDT, XGBoost, and Random Forest (RF). The performance of each model was assessed using out-of-sample and cross-validation metrics to ensure both predictive accuracy and generalizability.</w:t>
      </w:r>
      <w:r w:rsidRPr="000712BF">
        <w:rPr>
          <w:rFonts w:ascii="Times New Roman" w:hAnsi="Times New Roman" w:cs="Times New Roman" w:hint="eastAsia"/>
          <w:sz w:val="24"/>
        </w:rPr>
        <w:t xml:space="preserve"> </w:t>
      </w:r>
      <w:r w:rsidRPr="000712BF">
        <w:rPr>
          <w:rFonts w:ascii="Times New Roman" w:hAnsi="Times New Roman" w:cs="Times New Roman"/>
          <w:sz w:val="24"/>
        </w:rPr>
        <w:t>Key evaluation metrics included the coefficient of determination (R²), mean absolute error (MAE)</w:t>
      </w:r>
      <w:r w:rsidRPr="000712BF">
        <w:rPr>
          <w:rFonts w:ascii="Times New Roman" w:hAnsi="Times New Roman" w:cs="Times New Roman" w:hint="eastAsia"/>
          <w:sz w:val="24"/>
        </w:rPr>
        <w:t xml:space="preserve">, </w:t>
      </w:r>
      <w:r w:rsidRPr="000712BF">
        <w:rPr>
          <w:rFonts w:ascii="Times New Roman" w:hAnsi="Times New Roman" w:cs="Times New Roman"/>
          <w:sz w:val="24"/>
        </w:rPr>
        <w:t>root mean squared error (RMSE), and mean absolute percentage error (MAPE). These metrics are formally defined as follows:</w:t>
      </w:r>
    </w:p>
    <w:tbl>
      <w:tblPr>
        <w:tblStyle w:val="41"/>
        <w:tblW w:w="0" w:type="auto"/>
        <w:jc w:val="center"/>
        <w:tblLook w:val="04A0" w:firstRow="1" w:lastRow="0" w:firstColumn="1" w:lastColumn="0" w:noHBand="0" w:noVBand="1"/>
      </w:tblPr>
      <w:tblGrid>
        <w:gridCol w:w="7810"/>
        <w:gridCol w:w="496"/>
      </w:tblGrid>
      <w:tr w:rsidR="00EF4582" w:rsidRPr="000712BF" w14:paraId="25A25211" w14:textId="77777777" w:rsidTr="004D2E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10" w:type="dxa"/>
            <w:vAlign w:val="center"/>
          </w:tcPr>
          <w:p w14:paraId="26A1C503" w14:textId="77777777" w:rsidR="00EF4582" w:rsidRPr="000712BF" w:rsidRDefault="00EF4582" w:rsidP="004D2EEA">
            <w:pPr>
              <w:rPr>
                <w:b w:val="0"/>
                <w:bCs w:val="0"/>
                <w:sz w:val="21"/>
                <w:szCs w:val="22"/>
              </w:rPr>
            </w:pPr>
            <m:oMathPara>
              <m:oMath>
                <m:sSup>
                  <m:sSupPr>
                    <m:ctrlPr>
                      <w:rPr>
                        <w:rFonts w:ascii="Cambria Math" w:hAnsi="Cambria Math"/>
                        <w:b w:val="0"/>
                        <w:bCs w:val="0"/>
                        <w:sz w:val="21"/>
                        <w:szCs w:val="22"/>
                      </w:rPr>
                    </m:ctrlPr>
                  </m:sSupPr>
                  <m:e>
                    <m:r>
                      <m:rPr>
                        <m:sty m:val="bi"/>
                      </m:rPr>
                      <w:rPr>
                        <w:rFonts w:ascii="Cambria Math" w:hAnsi="Cambria Math"/>
                        <w:sz w:val="21"/>
                        <w:szCs w:val="22"/>
                      </w:rPr>
                      <m:t>R</m:t>
                    </m:r>
                  </m:e>
                  <m:sup>
                    <m:r>
                      <m:rPr>
                        <m:sty m:val="bi"/>
                      </m:rPr>
                      <w:rPr>
                        <w:rFonts w:ascii="Cambria Math" w:hAnsi="Cambria Math"/>
                        <w:sz w:val="21"/>
                        <w:szCs w:val="22"/>
                      </w:rPr>
                      <m:t>2</m:t>
                    </m:r>
                  </m:sup>
                </m:sSup>
                <m:r>
                  <m:rPr>
                    <m:sty m:val="bi"/>
                  </m:rPr>
                  <w:rPr>
                    <w:rFonts w:ascii="Cambria Math" w:hAnsi="Cambria Math"/>
                    <w:sz w:val="21"/>
                    <w:szCs w:val="22"/>
                  </w:rPr>
                  <m:t>=1-</m:t>
                </m:r>
                <m:f>
                  <m:fPr>
                    <m:ctrlPr>
                      <w:rPr>
                        <w:rFonts w:ascii="Cambria Math" w:hAnsi="Cambria Math"/>
                        <w:b w:val="0"/>
                        <w:bCs w:val="0"/>
                        <w:sz w:val="21"/>
                        <w:szCs w:val="22"/>
                      </w:rPr>
                    </m:ctrlPr>
                  </m:fPr>
                  <m:num>
                    <m:nary>
                      <m:naryPr>
                        <m:chr m:val="∑"/>
                        <m:limLoc m:val="undOvr"/>
                        <m:grow m:val="1"/>
                        <m:ctrlPr>
                          <w:rPr>
                            <w:rFonts w:ascii="Cambria Math" w:hAnsi="Cambria Math"/>
                            <w:b w:val="0"/>
                            <w:bCs w:val="0"/>
                            <w:sz w:val="21"/>
                            <w:szCs w:val="22"/>
                          </w:rPr>
                        </m:ctrlPr>
                      </m:naryPr>
                      <m:sub>
                        <m:r>
                          <m:rPr>
                            <m:sty m:val="bi"/>
                          </m:rPr>
                          <w:rPr>
                            <w:rFonts w:ascii="Cambria Math" w:hAnsi="Cambria Math"/>
                            <w:sz w:val="21"/>
                            <w:szCs w:val="22"/>
                          </w:rPr>
                          <m:t>i=1</m:t>
                        </m:r>
                      </m:sub>
                      <m:sup>
                        <m:r>
                          <m:rPr>
                            <m:sty m:val="bi"/>
                          </m:rPr>
                          <w:rPr>
                            <w:rFonts w:ascii="Cambria Math" w:hAnsi="Cambria Math"/>
                            <w:sz w:val="21"/>
                            <w:szCs w:val="22"/>
                          </w:rPr>
                          <m:t>n</m:t>
                        </m:r>
                      </m:sup>
                      <m:e>
                        <m:r>
                          <m:rPr>
                            <m:sty m:val="bi"/>
                          </m:rPr>
                          <w:rPr>
                            <w:rFonts w:ascii="Cambria Math" w:hAnsi="Cambria Math"/>
                            <w:sz w:val="21"/>
                            <w:szCs w:val="22"/>
                          </w:rPr>
                          <m:t>(</m:t>
                        </m:r>
                      </m:e>
                    </m:nary>
                    <m:sSub>
                      <m:sSubPr>
                        <m:ctrlPr>
                          <w:rPr>
                            <w:rFonts w:ascii="Cambria Math" w:hAnsi="Cambria Math"/>
                            <w:b w:val="0"/>
                            <w:bCs w:val="0"/>
                            <w:sz w:val="21"/>
                            <w:szCs w:val="22"/>
                          </w:rPr>
                        </m:ctrlPr>
                      </m:sSubPr>
                      <m:e>
                        <m:r>
                          <m:rPr>
                            <m:sty m:val="bi"/>
                          </m:rPr>
                          <w:rPr>
                            <w:rFonts w:ascii="Cambria Math" w:hAnsi="Cambria Math"/>
                            <w:sz w:val="21"/>
                            <w:szCs w:val="22"/>
                          </w:rPr>
                          <m:t>y</m:t>
                        </m:r>
                      </m:e>
                      <m:sub>
                        <m:r>
                          <m:rPr>
                            <m:sty m:val="bi"/>
                          </m:rPr>
                          <w:rPr>
                            <w:rFonts w:ascii="Cambria Math" w:hAnsi="Cambria Math"/>
                            <w:sz w:val="21"/>
                            <w:szCs w:val="22"/>
                          </w:rPr>
                          <m:t>i</m:t>
                        </m:r>
                      </m:sub>
                    </m:sSub>
                    <m:r>
                      <m:rPr>
                        <m:sty m:val="bi"/>
                      </m:rPr>
                      <w:rPr>
                        <w:rFonts w:ascii="Cambria Math" w:hAnsi="Cambria Math"/>
                        <w:sz w:val="21"/>
                        <w:szCs w:val="22"/>
                      </w:rPr>
                      <m:t>-</m:t>
                    </m:r>
                    <m:sSub>
                      <m:sSubPr>
                        <m:ctrlPr>
                          <w:rPr>
                            <w:rFonts w:ascii="Cambria Math" w:hAnsi="Cambria Math"/>
                            <w:b w:val="0"/>
                            <w:bCs w:val="0"/>
                            <w:sz w:val="21"/>
                            <w:szCs w:val="22"/>
                          </w:rPr>
                        </m:ctrlPr>
                      </m:sSubPr>
                      <m:e>
                        <m:acc>
                          <m:accPr>
                            <m:ctrlPr>
                              <w:rPr>
                                <w:rFonts w:ascii="Cambria Math" w:hAnsi="Cambria Math"/>
                                <w:b w:val="0"/>
                                <w:bCs w:val="0"/>
                                <w:sz w:val="21"/>
                                <w:szCs w:val="22"/>
                              </w:rPr>
                            </m:ctrlPr>
                          </m:accPr>
                          <m:e>
                            <m:r>
                              <m:rPr>
                                <m:sty m:val="bi"/>
                              </m:rPr>
                              <w:rPr>
                                <w:rFonts w:ascii="Cambria Math" w:hAnsi="Cambria Math"/>
                                <w:sz w:val="21"/>
                                <w:szCs w:val="22"/>
                              </w:rPr>
                              <m:t>y</m:t>
                            </m:r>
                          </m:e>
                        </m:acc>
                      </m:e>
                      <m:sub>
                        <m:r>
                          <m:rPr>
                            <m:sty m:val="bi"/>
                          </m:rPr>
                          <w:rPr>
                            <w:rFonts w:ascii="Cambria Math" w:hAnsi="Cambria Math"/>
                            <w:sz w:val="21"/>
                            <w:szCs w:val="22"/>
                          </w:rPr>
                          <m:t>i</m:t>
                        </m:r>
                      </m:sub>
                    </m:sSub>
                    <m:sSup>
                      <m:sSupPr>
                        <m:ctrlPr>
                          <w:rPr>
                            <w:rFonts w:ascii="Cambria Math" w:hAnsi="Cambria Math"/>
                            <w:b w:val="0"/>
                            <w:bCs w:val="0"/>
                            <w:sz w:val="21"/>
                            <w:szCs w:val="22"/>
                          </w:rPr>
                        </m:ctrlPr>
                      </m:sSupPr>
                      <m:e>
                        <m:r>
                          <m:rPr>
                            <m:sty m:val="bi"/>
                          </m:rPr>
                          <w:rPr>
                            <w:rFonts w:ascii="Cambria Math" w:hAnsi="Cambria Math"/>
                            <w:sz w:val="21"/>
                            <w:szCs w:val="22"/>
                          </w:rPr>
                          <m:t>)</m:t>
                        </m:r>
                      </m:e>
                      <m:sup>
                        <m:r>
                          <m:rPr>
                            <m:sty m:val="bi"/>
                          </m:rPr>
                          <w:rPr>
                            <w:rFonts w:ascii="Cambria Math" w:hAnsi="Cambria Math"/>
                            <w:sz w:val="21"/>
                            <w:szCs w:val="22"/>
                          </w:rPr>
                          <m:t>2</m:t>
                        </m:r>
                      </m:sup>
                    </m:sSup>
                  </m:num>
                  <m:den>
                    <m:nary>
                      <m:naryPr>
                        <m:chr m:val="∑"/>
                        <m:limLoc m:val="undOvr"/>
                        <m:grow m:val="1"/>
                        <m:ctrlPr>
                          <w:rPr>
                            <w:rFonts w:ascii="Cambria Math" w:hAnsi="Cambria Math"/>
                            <w:b w:val="0"/>
                            <w:bCs w:val="0"/>
                            <w:sz w:val="21"/>
                            <w:szCs w:val="22"/>
                          </w:rPr>
                        </m:ctrlPr>
                      </m:naryPr>
                      <m:sub>
                        <m:r>
                          <m:rPr>
                            <m:sty m:val="bi"/>
                          </m:rPr>
                          <w:rPr>
                            <w:rFonts w:ascii="Cambria Math" w:hAnsi="Cambria Math"/>
                            <w:sz w:val="21"/>
                            <w:szCs w:val="22"/>
                          </w:rPr>
                          <m:t>i=1</m:t>
                        </m:r>
                      </m:sub>
                      <m:sup>
                        <m:r>
                          <m:rPr>
                            <m:sty m:val="bi"/>
                          </m:rPr>
                          <w:rPr>
                            <w:rFonts w:ascii="Cambria Math" w:hAnsi="Cambria Math"/>
                            <w:sz w:val="21"/>
                            <w:szCs w:val="22"/>
                          </w:rPr>
                          <m:t>n</m:t>
                        </m:r>
                      </m:sup>
                      <m:e>
                        <m:r>
                          <m:rPr>
                            <m:sty m:val="bi"/>
                          </m:rPr>
                          <w:rPr>
                            <w:rFonts w:ascii="Cambria Math" w:hAnsi="Cambria Math"/>
                            <w:sz w:val="21"/>
                            <w:szCs w:val="22"/>
                          </w:rPr>
                          <m:t>(</m:t>
                        </m:r>
                      </m:e>
                    </m:nary>
                    <m:sSub>
                      <m:sSubPr>
                        <m:ctrlPr>
                          <w:rPr>
                            <w:rFonts w:ascii="Cambria Math" w:hAnsi="Cambria Math"/>
                            <w:b w:val="0"/>
                            <w:bCs w:val="0"/>
                            <w:sz w:val="21"/>
                            <w:szCs w:val="22"/>
                          </w:rPr>
                        </m:ctrlPr>
                      </m:sSubPr>
                      <m:e>
                        <m:r>
                          <m:rPr>
                            <m:sty m:val="bi"/>
                          </m:rPr>
                          <w:rPr>
                            <w:rFonts w:ascii="Cambria Math" w:hAnsi="Cambria Math"/>
                            <w:sz w:val="21"/>
                            <w:szCs w:val="22"/>
                          </w:rPr>
                          <m:t>y</m:t>
                        </m:r>
                      </m:e>
                      <m:sub>
                        <m:r>
                          <m:rPr>
                            <m:sty m:val="bi"/>
                          </m:rPr>
                          <w:rPr>
                            <w:rFonts w:ascii="Cambria Math" w:hAnsi="Cambria Math"/>
                            <w:sz w:val="21"/>
                            <w:szCs w:val="22"/>
                          </w:rPr>
                          <m:t>i</m:t>
                        </m:r>
                      </m:sub>
                    </m:sSub>
                    <m:r>
                      <m:rPr>
                        <m:sty m:val="bi"/>
                      </m:rPr>
                      <w:rPr>
                        <w:rFonts w:ascii="Cambria Math" w:hAnsi="Cambria Math"/>
                        <w:sz w:val="21"/>
                        <w:szCs w:val="22"/>
                      </w:rPr>
                      <m:t>-</m:t>
                    </m:r>
                    <m:acc>
                      <m:accPr>
                        <m:chr m:val="ˉ"/>
                        <m:ctrlPr>
                          <w:rPr>
                            <w:rFonts w:ascii="Cambria Math" w:hAnsi="Cambria Math"/>
                            <w:b w:val="0"/>
                            <w:bCs w:val="0"/>
                            <w:sz w:val="21"/>
                            <w:szCs w:val="22"/>
                          </w:rPr>
                        </m:ctrlPr>
                      </m:accPr>
                      <m:e>
                        <m:r>
                          <m:rPr>
                            <m:sty m:val="bi"/>
                          </m:rPr>
                          <w:rPr>
                            <w:rFonts w:ascii="Cambria Math" w:hAnsi="Cambria Math"/>
                            <w:sz w:val="21"/>
                            <w:szCs w:val="22"/>
                          </w:rPr>
                          <m:t>y</m:t>
                        </m:r>
                      </m:e>
                    </m:acc>
                    <m:sSup>
                      <m:sSupPr>
                        <m:ctrlPr>
                          <w:rPr>
                            <w:rFonts w:ascii="Cambria Math" w:hAnsi="Cambria Math"/>
                            <w:b w:val="0"/>
                            <w:bCs w:val="0"/>
                            <w:sz w:val="21"/>
                            <w:szCs w:val="22"/>
                          </w:rPr>
                        </m:ctrlPr>
                      </m:sSupPr>
                      <m:e>
                        <m:r>
                          <m:rPr>
                            <m:sty m:val="bi"/>
                          </m:rPr>
                          <w:rPr>
                            <w:rFonts w:ascii="Cambria Math" w:hAnsi="Cambria Math"/>
                            <w:sz w:val="21"/>
                            <w:szCs w:val="22"/>
                          </w:rPr>
                          <m:t>)</m:t>
                        </m:r>
                      </m:e>
                      <m:sup>
                        <m:r>
                          <m:rPr>
                            <m:sty m:val="bi"/>
                          </m:rPr>
                          <w:rPr>
                            <w:rFonts w:ascii="Cambria Math" w:hAnsi="Cambria Math"/>
                            <w:sz w:val="21"/>
                            <w:szCs w:val="22"/>
                          </w:rPr>
                          <m:t>2</m:t>
                        </m:r>
                      </m:sup>
                    </m:sSup>
                  </m:den>
                </m:f>
              </m:oMath>
            </m:oMathPara>
          </w:p>
        </w:tc>
        <w:tc>
          <w:tcPr>
            <w:tcW w:w="496" w:type="dxa"/>
            <w:vAlign w:val="center"/>
          </w:tcPr>
          <w:p w14:paraId="270FD670" w14:textId="3BC14072" w:rsidR="00EF4582" w:rsidRPr="000712BF" w:rsidRDefault="00EF4582" w:rsidP="004D2EEA">
            <w:pPr>
              <w:spacing w:line="360" w:lineRule="auto"/>
              <w:jc w:val="both"/>
              <w:cnfStyle w:val="100000000000" w:firstRow="1" w:lastRow="0" w:firstColumn="0" w:lastColumn="0" w:oddVBand="0" w:evenVBand="0" w:oddHBand="0" w:evenHBand="0" w:firstRowFirstColumn="0" w:firstRowLastColumn="0" w:lastRowFirstColumn="0" w:lastRowLastColumn="0"/>
              <w:rPr>
                <w:b w:val="0"/>
                <w:bCs w:val="0"/>
                <w:sz w:val="21"/>
                <w:szCs w:val="22"/>
              </w:rPr>
            </w:pPr>
            <w:r w:rsidRPr="000712BF">
              <w:rPr>
                <w:b w:val="0"/>
                <w:bCs w:val="0"/>
                <w:sz w:val="21"/>
                <w:szCs w:val="22"/>
              </w:rPr>
              <w:t>(</w:t>
            </w:r>
            <w:r w:rsidR="00023F74">
              <w:rPr>
                <w:rFonts w:hint="eastAsia"/>
                <w:b w:val="0"/>
                <w:bCs w:val="0"/>
                <w:sz w:val="21"/>
                <w:szCs w:val="22"/>
              </w:rPr>
              <w:t>1</w:t>
            </w:r>
            <w:r w:rsidRPr="000712BF">
              <w:rPr>
                <w:b w:val="0"/>
                <w:bCs w:val="0"/>
                <w:sz w:val="21"/>
                <w:szCs w:val="22"/>
              </w:rPr>
              <w:t>)</w:t>
            </w:r>
          </w:p>
        </w:tc>
      </w:tr>
      <w:tr w:rsidR="00EF4582" w:rsidRPr="000712BF" w14:paraId="547F1F1A" w14:textId="77777777" w:rsidTr="004D2EEA">
        <w:tblPrEx>
          <w:jc w:val="left"/>
        </w:tblPrEx>
        <w:tc>
          <w:tcPr>
            <w:cnfStyle w:val="001000000000" w:firstRow="0" w:lastRow="0" w:firstColumn="1" w:lastColumn="0" w:oddVBand="0" w:evenVBand="0" w:oddHBand="0" w:evenHBand="0" w:firstRowFirstColumn="0" w:firstRowLastColumn="0" w:lastRowFirstColumn="0" w:lastRowLastColumn="0"/>
            <w:tcW w:w="7810" w:type="dxa"/>
          </w:tcPr>
          <w:p w14:paraId="5F3325AC" w14:textId="77777777" w:rsidR="00EF4582" w:rsidRPr="000712BF" w:rsidRDefault="00EF4582" w:rsidP="004D2EEA">
            <w:pPr>
              <w:rPr>
                <w:b w:val="0"/>
                <w:bCs w:val="0"/>
                <w:sz w:val="21"/>
                <w:szCs w:val="22"/>
              </w:rPr>
            </w:pPr>
            <m:oMathPara>
              <m:oMath>
                <m:r>
                  <m:rPr>
                    <m:nor/>
                  </m:rPr>
                  <w:rPr>
                    <w:b w:val="0"/>
                    <w:bCs w:val="0"/>
                    <w:sz w:val="21"/>
                    <w:szCs w:val="22"/>
                  </w:rPr>
                  <m:t>MAE</m:t>
                </m:r>
                <m:r>
                  <m:rPr>
                    <m:sty m:val="bi"/>
                  </m:rPr>
                  <w:rPr>
                    <w:rFonts w:ascii="Cambria Math" w:hAnsi="Cambria Math"/>
                    <w:sz w:val="21"/>
                    <w:szCs w:val="22"/>
                  </w:rPr>
                  <m:t>=</m:t>
                </m:r>
                <m:f>
                  <m:fPr>
                    <m:ctrlPr>
                      <w:rPr>
                        <w:rFonts w:ascii="Cambria Math" w:hAnsi="Cambria Math"/>
                        <w:b w:val="0"/>
                        <w:bCs w:val="0"/>
                        <w:sz w:val="21"/>
                        <w:szCs w:val="22"/>
                      </w:rPr>
                    </m:ctrlPr>
                  </m:fPr>
                  <m:num>
                    <m:r>
                      <m:rPr>
                        <m:sty m:val="bi"/>
                      </m:rPr>
                      <w:rPr>
                        <w:rFonts w:ascii="Cambria Math" w:hAnsi="Cambria Math"/>
                        <w:sz w:val="21"/>
                        <w:szCs w:val="22"/>
                      </w:rPr>
                      <m:t>1</m:t>
                    </m:r>
                  </m:num>
                  <m:den>
                    <m:r>
                      <m:rPr>
                        <m:sty m:val="bi"/>
                      </m:rPr>
                      <w:rPr>
                        <w:rFonts w:ascii="Cambria Math" w:hAnsi="Cambria Math"/>
                        <w:sz w:val="21"/>
                        <w:szCs w:val="22"/>
                      </w:rPr>
                      <m:t>n</m:t>
                    </m:r>
                  </m:den>
                </m:f>
                <m:nary>
                  <m:naryPr>
                    <m:chr m:val="∑"/>
                    <m:limLoc m:val="undOvr"/>
                    <m:grow m:val="1"/>
                    <m:ctrlPr>
                      <w:rPr>
                        <w:rFonts w:ascii="Cambria Math" w:hAnsi="Cambria Math"/>
                        <w:b w:val="0"/>
                        <w:bCs w:val="0"/>
                        <w:sz w:val="21"/>
                        <w:szCs w:val="22"/>
                      </w:rPr>
                    </m:ctrlPr>
                  </m:naryPr>
                  <m:sub>
                    <m:r>
                      <m:rPr>
                        <m:sty m:val="bi"/>
                      </m:rPr>
                      <w:rPr>
                        <w:rFonts w:ascii="Cambria Math" w:hAnsi="Cambria Math"/>
                        <w:sz w:val="21"/>
                        <w:szCs w:val="22"/>
                      </w:rPr>
                      <m:t>i=1</m:t>
                    </m:r>
                  </m:sub>
                  <m:sup>
                    <m:r>
                      <m:rPr>
                        <m:sty m:val="bi"/>
                      </m:rPr>
                      <w:rPr>
                        <w:rFonts w:ascii="Cambria Math" w:hAnsi="Cambria Math"/>
                        <w:sz w:val="21"/>
                        <w:szCs w:val="22"/>
                      </w:rPr>
                      <m:t>n</m:t>
                    </m:r>
                  </m:sup>
                  <m:e>
                    <m:r>
                      <m:rPr>
                        <m:sty m:val="b"/>
                      </m:rPr>
                      <w:rPr>
                        <w:rFonts w:ascii="Cambria Math" w:hAnsi="Cambria Math"/>
                        <w:sz w:val="21"/>
                        <w:szCs w:val="22"/>
                      </w:rPr>
                      <m:t>∣</m:t>
                    </m:r>
                  </m:e>
                </m:nary>
                <m:sSub>
                  <m:sSubPr>
                    <m:ctrlPr>
                      <w:rPr>
                        <w:rFonts w:ascii="Cambria Math" w:hAnsi="Cambria Math"/>
                        <w:b w:val="0"/>
                        <w:bCs w:val="0"/>
                        <w:sz w:val="21"/>
                        <w:szCs w:val="22"/>
                      </w:rPr>
                    </m:ctrlPr>
                  </m:sSubPr>
                  <m:e>
                    <m:r>
                      <m:rPr>
                        <m:sty m:val="bi"/>
                      </m:rPr>
                      <w:rPr>
                        <w:rFonts w:ascii="Cambria Math" w:hAnsi="Cambria Math"/>
                        <w:sz w:val="21"/>
                        <w:szCs w:val="22"/>
                      </w:rPr>
                      <m:t>y</m:t>
                    </m:r>
                  </m:e>
                  <m:sub>
                    <m:r>
                      <m:rPr>
                        <m:sty m:val="bi"/>
                      </m:rPr>
                      <w:rPr>
                        <w:rFonts w:ascii="Cambria Math" w:hAnsi="Cambria Math"/>
                        <w:sz w:val="21"/>
                        <w:szCs w:val="22"/>
                      </w:rPr>
                      <m:t>i</m:t>
                    </m:r>
                  </m:sub>
                </m:sSub>
                <m:r>
                  <m:rPr>
                    <m:sty m:val="bi"/>
                  </m:rPr>
                  <w:rPr>
                    <w:rFonts w:ascii="Cambria Math" w:hAnsi="Cambria Math"/>
                    <w:sz w:val="21"/>
                    <w:szCs w:val="22"/>
                  </w:rPr>
                  <m:t>-</m:t>
                </m:r>
                <m:sSub>
                  <m:sSubPr>
                    <m:ctrlPr>
                      <w:rPr>
                        <w:rFonts w:ascii="Cambria Math" w:hAnsi="Cambria Math"/>
                        <w:b w:val="0"/>
                        <w:bCs w:val="0"/>
                        <w:sz w:val="21"/>
                        <w:szCs w:val="22"/>
                      </w:rPr>
                    </m:ctrlPr>
                  </m:sSubPr>
                  <m:e>
                    <m:acc>
                      <m:accPr>
                        <m:ctrlPr>
                          <w:rPr>
                            <w:rFonts w:ascii="Cambria Math" w:hAnsi="Cambria Math"/>
                            <w:b w:val="0"/>
                            <w:bCs w:val="0"/>
                            <w:sz w:val="21"/>
                            <w:szCs w:val="22"/>
                          </w:rPr>
                        </m:ctrlPr>
                      </m:accPr>
                      <m:e>
                        <m:r>
                          <m:rPr>
                            <m:sty m:val="bi"/>
                          </m:rPr>
                          <w:rPr>
                            <w:rFonts w:ascii="Cambria Math" w:hAnsi="Cambria Math"/>
                            <w:sz w:val="21"/>
                            <w:szCs w:val="22"/>
                          </w:rPr>
                          <m:t>y</m:t>
                        </m:r>
                      </m:e>
                    </m:acc>
                  </m:e>
                  <m:sub>
                    <m:r>
                      <m:rPr>
                        <m:sty m:val="bi"/>
                      </m:rPr>
                      <w:rPr>
                        <w:rFonts w:ascii="Cambria Math" w:hAnsi="Cambria Math"/>
                        <w:sz w:val="21"/>
                        <w:szCs w:val="22"/>
                      </w:rPr>
                      <m:t>i</m:t>
                    </m:r>
                  </m:sub>
                </m:sSub>
                <m:r>
                  <m:rPr>
                    <m:sty m:val="b"/>
                  </m:rPr>
                  <w:rPr>
                    <w:rFonts w:ascii="Cambria Math" w:hAnsi="Cambria Math"/>
                    <w:sz w:val="21"/>
                    <w:szCs w:val="22"/>
                  </w:rPr>
                  <m:t>∣</m:t>
                </m:r>
              </m:oMath>
            </m:oMathPara>
          </w:p>
        </w:tc>
        <w:tc>
          <w:tcPr>
            <w:tcW w:w="496" w:type="dxa"/>
          </w:tcPr>
          <w:p w14:paraId="48392CF9" w14:textId="3C746D68" w:rsidR="00EF4582" w:rsidRPr="000712BF" w:rsidRDefault="00EF4582" w:rsidP="004D2EEA">
            <w:pPr>
              <w:spacing w:line="360" w:lineRule="auto"/>
              <w:jc w:val="both"/>
              <w:cnfStyle w:val="000000000000" w:firstRow="0" w:lastRow="0" w:firstColumn="0" w:lastColumn="0" w:oddVBand="0" w:evenVBand="0" w:oddHBand="0" w:evenHBand="0" w:firstRowFirstColumn="0" w:firstRowLastColumn="0" w:lastRowFirstColumn="0" w:lastRowLastColumn="0"/>
              <w:rPr>
                <w:sz w:val="21"/>
                <w:szCs w:val="22"/>
              </w:rPr>
            </w:pPr>
            <w:r w:rsidRPr="000712BF">
              <w:rPr>
                <w:sz w:val="21"/>
                <w:szCs w:val="22"/>
              </w:rPr>
              <w:t>(</w:t>
            </w:r>
            <w:r w:rsidR="00023F74">
              <w:rPr>
                <w:rFonts w:hint="eastAsia"/>
                <w:sz w:val="21"/>
                <w:szCs w:val="22"/>
              </w:rPr>
              <w:t>2</w:t>
            </w:r>
            <w:r w:rsidRPr="000712BF">
              <w:rPr>
                <w:sz w:val="21"/>
                <w:szCs w:val="22"/>
              </w:rPr>
              <w:t>)</w:t>
            </w:r>
          </w:p>
        </w:tc>
      </w:tr>
      <w:tr w:rsidR="00EF4582" w:rsidRPr="000712BF" w14:paraId="369A479F" w14:textId="77777777" w:rsidTr="004D2EEA">
        <w:tblPrEx>
          <w:jc w:val="left"/>
        </w:tblPrEx>
        <w:tc>
          <w:tcPr>
            <w:cnfStyle w:val="001000000000" w:firstRow="0" w:lastRow="0" w:firstColumn="1" w:lastColumn="0" w:oddVBand="0" w:evenVBand="0" w:oddHBand="0" w:evenHBand="0" w:firstRowFirstColumn="0" w:firstRowLastColumn="0" w:lastRowFirstColumn="0" w:lastRowLastColumn="0"/>
            <w:tcW w:w="7810" w:type="dxa"/>
          </w:tcPr>
          <w:p w14:paraId="2BD90FB3" w14:textId="77777777" w:rsidR="00EF4582" w:rsidRPr="000712BF" w:rsidRDefault="00EF4582" w:rsidP="004D2EEA">
            <w:pPr>
              <w:spacing w:line="360" w:lineRule="auto"/>
              <w:jc w:val="both"/>
              <w:rPr>
                <w:rFonts w:ascii="Cambria Math" w:hAnsi="Cambria Math"/>
                <w:sz w:val="21"/>
                <w:szCs w:val="22"/>
                <w:oMath/>
              </w:rPr>
            </w:pPr>
            <m:oMathPara>
              <m:oMath>
                <m:r>
                  <m:rPr>
                    <m:nor/>
                  </m:rPr>
                  <w:rPr>
                    <w:rFonts w:ascii="Cambria Math" w:hAnsi="Cambria Math"/>
                    <w:b w:val="0"/>
                    <w:bCs w:val="0"/>
                    <w:sz w:val="21"/>
                    <w:szCs w:val="22"/>
                  </w:rPr>
                  <m:t>RMSE</m:t>
                </m:r>
                <m:r>
                  <m:rPr>
                    <m:sty m:val="bi"/>
                  </m:rPr>
                  <w:rPr>
                    <w:rFonts w:ascii="Cambria Math" w:hAnsi="Cambria Math"/>
                    <w:sz w:val="21"/>
                    <w:szCs w:val="22"/>
                  </w:rPr>
                  <m:t>=</m:t>
                </m:r>
                <m:rad>
                  <m:radPr>
                    <m:degHide m:val="1"/>
                    <m:ctrlPr>
                      <w:rPr>
                        <w:rFonts w:ascii="Cambria Math" w:hAnsi="Cambria Math"/>
                        <w:b w:val="0"/>
                        <w:bCs w:val="0"/>
                        <w:sz w:val="21"/>
                        <w:szCs w:val="22"/>
                      </w:rPr>
                    </m:ctrlPr>
                  </m:radPr>
                  <m:deg>
                    <m:ctrlPr>
                      <w:rPr>
                        <w:rFonts w:ascii="Cambria Math" w:hAnsi="Cambria Math"/>
                        <w:b w:val="0"/>
                        <w:bCs w:val="0"/>
                        <w:i/>
                        <w:sz w:val="21"/>
                        <w:szCs w:val="22"/>
                      </w:rPr>
                    </m:ctrlPr>
                  </m:deg>
                  <m:e>
                    <m:f>
                      <m:fPr>
                        <m:ctrlPr>
                          <w:rPr>
                            <w:rFonts w:ascii="Cambria Math" w:hAnsi="Cambria Math"/>
                            <w:b w:val="0"/>
                            <w:bCs w:val="0"/>
                            <w:sz w:val="21"/>
                            <w:szCs w:val="22"/>
                          </w:rPr>
                        </m:ctrlPr>
                      </m:fPr>
                      <m:num>
                        <m:r>
                          <m:rPr>
                            <m:sty m:val="bi"/>
                          </m:rPr>
                          <w:rPr>
                            <w:rFonts w:ascii="Cambria Math" w:hAnsi="Cambria Math"/>
                            <w:sz w:val="21"/>
                            <w:szCs w:val="22"/>
                          </w:rPr>
                          <m:t>1</m:t>
                        </m:r>
                        <m:ctrlPr>
                          <w:rPr>
                            <w:rFonts w:ascii="Cambria Math" w:hAnsi="Cambria Math"/>
                            <w:b w:val="0"/>
                            <w:bCs w:val="0"/>
                            <w:i/>
                            <w:sz w:val="21"/>
                            <w:szCs w:val="22"/>
                          </w:rPr>
                        </m:ctrlPr>
                      </m:num>
                      <m:den>
                        <m:r>
                          <m:rPr>
                            <m:sty m:val="bi"/>
                          </m:rPr>
                          <w:rPr>
                            <w:rFonts w:ascii="Cambria Math" w:hAnsi="Cambria Math"/>
                            <w:sz w:val="21"/>
                            <w:szCs w:val="22"/>
                          </w:rPr>
                          <m:t>n</m:t>
                        </m:r>
                        <m:ctrlPr>
                          <w:rPr>
                            <w:rFonts w:ascii="Cambria Math" w:hAnsi="Cambria Math"/>
                            <w:b w:val="0"/>
                            <w:bCs w:val="0"/>
                            <w:i/>
                            <w:sz w:val="21"/>
                            <w:szCs w:val="22"/>
                          </w:rPr>
                        </m:ctrlPr>
                      </m:den>
                    </m:f>
                    <m:nary>
                      <m:naryPr>
                        <m:chr m:val="∑"/>
                        <m:ctrlPr>
                          <w:rPr>
                            <w:rFonts w:ascii="Cambria Math" w:hAnsi="Cambria Math"/>
                            <w:b w:val="0"/>
                            <w:bCs w:val="0"/>
                            <w:sz w:val="21"/>
                            <w:szCs w:val="22"/>
                          </w:rPr>
                        </m:ctrlPr>
                      </m:naryPr>
                      <m:sub>
                        <m:r>
                          <m:rPr>
                            <m:sty m:val="bi"/>
                          </m:rPr>
                          <w:rPr>
                            <w:rFonts w:ascii="Cambria Math" w:hAnsi="Cambria Math"/>
                            <w:sz w:val="21"/>
                            <w:szCs w:val="22"/>
                          </w:rPr>
                          <m:t>i=1</m:t>
                        </m:r>
                        <m:ctrlPr>
                          <w:rPr>
                            <w:rFonts w:ascii="Cambria Math" w:hAnsi="Cambria Math"/>
                            <w:b w:val="0"/>
                            <w:bCs w:val="0"/>
                            <w:i/>
                            <w:sz w:val="21"/>
                            <w:szCs w:val="22"/>
                          </w:rPr>
                        </m:ctrlPr>
                      </m:sub>
                      <m:sup>
                        <m:r>
                          <m:rPr>
                            <m:sty m:val="bi"/>
                          </m:rPr>
                          <w:rPr>
                            <w:rFonts w:ascii="Cambria Math" w:hAnsi="Cambria Math"/>
                            <w:sz w:val="21"/>
                            <w:szCs w:val="22"/>
                          </w:rPr>
                          <m:t>n</m:t>
                        </m:r>
                        <m:ctrlPr>
                          <w:rPr>
                            <w:rFonts w:ascii="Cambria Math" w:hAnsi="Cambria Math"/>
                            <w:b w:val="0"/>
                            <w:bCs w:val="0"/>
                            <w:i/>
                            <w:sz w:val="21"/>
                            <w:szCs w:val="22"/>
                          </w:rPr>
                        </m:ctrlPr>
                      </m:sup>
                      <m:e>
                        <m:sSup>
                          <m:sSupPr>
                            <m:ctrlPr>
                              <w:rPr>
                                <w:rFonts w:ascii="Cambria Math" w:hAnsi="Cambria Math"/>
                                <w:b w:val="0"/>
                                <w:bCs w:val="0"/>
                                <w:i/>
                                <w:sz w:val="21"/>
                                <w:szCs w:val="22"/>
                              </w:rPr>
                            </m:ctrlPr>
                          </m:sSupPr>
                          <m:e>
                            <m:d>
                              <m:dPr>
                                <m:ctrlPr>
                                  <w:rPr>
                                    <w:rFonts w:ascii="Cambria Math" w:hAnsi="Cambria Math"/>
                                    <w:b w:val="0"/>
                                    <w:bCs w:val="0"/>
                                    <w:i/>
                                    <w:sz w:val="21"/>
                                    <w:szCs w:val="22"/>
                                  </w:rPr>
                                </m:ctrlPr>
                              </m:dPr>
                              <m:e>
                                <m:sSub>
                                  <m:sSubPr>
                                    <m:ctrlPr>
                                      <w:rPr>
                                        <w:rFonts w:ascii="Cambria Math" w:hAnsi="Cambria Math"/>
                                        <w:b w:val="0"/>
                                        <w:bCs w:val="0"/>
                                        <w:i/>
                                        <w:sz w:val="21"/>
                                        <w:szCs w:val="22"/>
                                      </w:rPr>
                                    </m:ctrlPr>
                                  </m:sSubPr>
                                  <m:e>
                                    <m:r>
                                      <m:rPr>
                                        <m:sty m:val="bi"/>
                                      </m:rPr>
                                      <w:rPr>
                                        <w:rFonts w:ascii="Cambria Math" w:hAnsi="Cambria Math"/>
                                        <w:sz w:val="21"/>
                                        <w:szCs w:val="22"/>
                                      </w:rPr>
                                      <m:t>y</m:t>
                                    </m:r>
                                  </m:e>
                                  <m:sub>
                                    <m:r>
                                      <m:rPr>
                                        <m:sty m:val="bi"/>
                                      </m:rPr>
                                      <w:rPr>
                                        <w:rFonts w:ascii="Cambria Math" w:hAnsi="Cambria Math"/>
                                        <w:sz w:val="21"/>
                                        <w:szCs w:val="22"/>
                                      </w:rPr>
                                      <m:t>i</m:t>
                                    </m:r>
                                  </m:sub>
                                </m:sSub>
                                <m:r>
                                  <m:rPr>
                                    <m:sty m:val="bi"/>
                                  </m:rPr>
                                  <w:rPr>
                                    <w:rFonts w:ascii="Cambria Math" w:hAnsi="Cambria Math"/>
                                    <w:sz w:val="21"/>
                                    <w:szCs w:val="22"/>
                                  </w:rPr>
                                  <m:t>-</m:t>
                                </m:r>
                                <m:acc>
                                  <m:accPr>
                                    <m:ctrlPr>
                                      <w:rPr>
                                        <w:rFonts w:ascii="Cambria Math" w:hAnsi="Cambria Math"/>
                                        <w:b w:val="0"/>
                                        <w:bCs w:val="0"/>
                                        <w:sz w:val="21"/>
                                        <w:szCs w:val="22"/>
                                      </w:rPr>
                                    </m:ctrlPr>
                                  </m:accPr>
                                  <m:e>
                                    <m:sSub>
                                      <m:sSubPr>
                                        <m:ctrlPr>
                                          <w:rPr>
                                            <w:rFonts w:ascii="Cambria Math" w:hAnsi="Cambria Math"/>
                                            <w:b w:val="0"/>
                                            <w:bCs w:val="0"/>
                                            <w:i/>
                                            <w:sz w:val="21"/>
                                            <w:szCs w:val="22"/>
                                          </w:rPr>
                                        </m:ctrlPr>
                                      </m:sSubPr>
                                      <m:e>
                                        <m:r>
                                          <m:rPr>
                                            <m:sty m:val="bi"/>
                                          </m:rPr>
                                          <w:rPr>
                                            <w:rFonts w:ascii="Cambria Math" w:hAnsi="Cambria Math"/>
                                            <w:sz w:val="21"/>
                                            <w:szCs w:val="22"/>
                                          </w:rPr>
                                          <m:t>y</m:t>
                                        </m:r>
                                        <m:ctrlPr>
                                          <w:rPr>
                                            <w:rFonts w:ascii="Cambria Math" w:hAnsi="Cambria Math"/>
                                            <w:b w:val="0"/>
                                            <w:bCs w:val="0"/>
                                            <w:sz w:val="21"/>
                                            <w:szCs w:val="22"/>
                                          </w:rPr>
                                        </m:ctrlPr>
                                      </m:e>
                                      <m:sub>
                                        <m:r>
                                          <m:rPr>
                                            <m:sty m:val="bi"/>
                                          </m:rPr>
                                          <w:rPr>
                                            <w:rFonts w:ascii="Cambria Math" w:hAnsi="Cambria Math"/>
                                            <w:sz w:val="21"/>
                                            <w:szCs w:val="22"/>
                                          </w:rPr>
                                          <m:t>i</m:t>
                                        </m:r>
                                      </m:sub>
                                    </m:sSub>
                                  </m:e>
                                </m:acc>
                              </m:e>
                            </m:d>
                          </m:e>
                          <m:sup>
                            <m:r>
                              <m:rPr>
                                <m:sty m:val="bi"/>
                              </m:rPr>
                              <w:rPr>
                                <w:rFonts w:ascii="Cambria Math" w:hAnsi="Cambria Math"/>
                                <w:sz w:val="21"/>
                                <w:szCs w:val="22"/>
                              </w:rPr>
                              <m:t>2</m:t>
                            </m:r>
                          </m:sup>
                        </m:sSup>
                        <m:ctrlPr>
                          <w:rPr>
                            <w:rFonts w:ascii="Cambria Math" w:hAnsi="Cambria Math"/>
                            <w:b w:val="0"/>
                            <w:bCs w:val="0"/>
                            <w:i/>
                            <w:sz w:val="21"/>
                            <w:szCs w:val="22"/>
                          </w:rPr>
                        </m:ctrlPr>
                      </m:e>
                    </m:nary>
                  </m:e>
                </m:rad>
              </m:oMath>
            </m:oMathPara>
          </w:p>
        </w:tc>
        <w:tc>
          <w:tcPr>
            <w:tcW w:w="496" w:type="dxa"/>
          </w:tcPr>
          <w:p w14:paraId="413C050B" w14:textId="6D22FE6E" w:rsidR="00EF4582" w:rsidRPr="000712BF" w:rsidRDefault="00EF4582" w:rsidP="004D2EEA">
            <w:pPr>
              <w:spacing w:line="360" w:lineRule="auto"/>
              <w:jc w:val="both"/>
              <w:cnfStyle w:val="000000000000" w:firstRow="0" w:lastRow="0" w:firstColumn="0" w:lastColumn="0" w:oddVBand="0" w:evenVBand="0" w:oddHBand="0" w:evenHBand="0" w:firstRowFirstColumn="0" w:firstRowLastColumn="0" w:lastRowFirstColumn="0" w:lastRowLastColumn="0"/>
              <w:rPr>
                <w:sz w:val="21"/>
                <w:szCs w:val="22"/>
              </w:rPr>
            </w:pPr>
            <w:r w:rsidRPr="000712BF">
              <w:rPr>
                <w:sz w:val="21"/>
                <w:szCs w:val="22"/>
              </w:rPr>
              <w:t>(</w:t>
            </w:r>
            <w:r w:rsidR="00023F74">
              <w:rPr>
                <w:rFonts w:hint="eastAsia"/>
                <w:sz w:val="21"/>
                <w:szCs w:val="22"/>
              </w:rPr>
              <w:t>3</w:t>
            </w:r>
            <w:r w:rsidRPr="000712BF">
              <w:rPr>
                <w:sz w:val="21"/>
                <w:szCs w:val="22"/>
              </w:rPr>
              <w:t>)</w:t>
            </w:r>
          </w:p>
        </w:tc>
      </w:tr>
      <w:tr w:rsidR="00EF4582" w:rsidRPr="000712BF" w14:paraId="090F76D8" w14:textId="77777777" w:rsidTr="004D2EEA">
        <w:tblPrEx>
          <w:jc w:val="left"/>
        </w:tblPrEx>
        <w:tc>
          <w:tcPr>
            <w:cnfStyle w:val="001000000000" w:firstRow="0" w:lastRow="0" w:firstColumn="1" w:lastColumn="0" w:oddVBand="0" w:evenVBand="0" w:oddHBand="0" w:evenHBand="0" w:firstRowFirstColumn="0" w:firstRowLastColumn="0" w:lastRowFirstColumn="0" w:lastRowLastColumn="0"/>
            <w:tcW w:w="7810" w:type="dxa"/>
          </w:tcPr>
          <w:p w14:paraId="57BA6352" w14:textId="77777777" w:rsidR="00EF4582" w:rsidRPr="000712BF" w:rsidRDefault="00EF4582" w:rsidP="004D2EEA">
            <w:pPr>
              <w:spacing w:line="360" w:lineRule="auto"/>
              <w:jc w:val="both"/>
              <w:rPr>
                <w:b w:val="0"/>
                <w:bCs w:val="0"/>
                <w:sz w:val="21"/>
                <w:szCs w:val="22"/>
              </w:rPr>
            </w:pPr>
            <m:oMathPara>
              <m:oMath>
                <m:r>
                  <m:rPr>
                    <m:nor/>
                  </m:rPr>
                  <w:rPr>
                    <w:rFonts w:ascii="Cambria Math" w:hAnsi="Cambria Math"/>
                    <w:b w:val="0"/>
                    <w:bCs w:val="0"/>
                    <w:sz w:val="21"/>
                    <w:szCs w:val="22"/>
                  </w:rPr>
                  <m:t>MAPE</m:t>
                </m:r>
                <m:r>
                  <m:rPr>
                    <m:sty m:val="bi"/>
                  </m:rPr>
                  <w:rPr>
                    <w:rFonts w:ascii="Cambria Math" w:hAnsi="Cambria Math"/>
                    <w:sz w:val="21"/>
                    <w:szCs w:val="22"/>
                  </w:rPr>
                  <m:t>=</m:t>
                </m:r>
                <m:f>
                  <m:fPr>
                    <m:ctrlPr>
                      <w:rPr>
                        <w:rFonts w:ascii="Cambria Math" w:hAnsi="Cambria Math"/>
                        <w:b w:val="0"/>
                        <w:bCs w:val="0"/>
                        <w:sz w:val="21"/>
                        <w:szCs w:val="22"/>
                      </w:rPr>
                    </m:ctrlPr>
                  </m:fPr>
                  <m:num>
                    <m:r>
                      <m:rPr>
                        <m:sty m:val="bi"/>
                      </m:rPr>
                      <w:rPr>
                        <w:rFonts w:ascii="Cambria Math" w:hAnsi="Cambria Math"/>
                        <w:sz w:val="21"/>
                        <w:szCs w:val="22"/>
                      </w:rPr>
                      <m:t>100</m:t>
                    </m:r>
                    <m:ctrlPr>
                      <w:rPr>
                        <w:rFonts w:ascii="Cambria Math" w:hAnsi="Cambria Math"/>
                        <w:b w:val="0"/>
                        <w:bCs w:val="0"/>
                        <w:i/>
                        <w:sz w:val="21"/>
                        <w:szCs w:val="22"/>
                      </w:rPr>
                    </m:ctrlPr>
                  </m:num>
                  <m:den>
                    <m:r>
                      <m:rPr>
                        <m:sty m:val="bi"/>
                      </m:rPr>
                      <w:rPr>
                        <w:rFonts w:ascii="Cambria Math" w:hAnsi="Cambria Math"/>
                        <w:sz w:val="21"/>
                        <w:szCs w:val="22"/>
                      </w:rPr>
                      <m:t>n</m:t>
                    </m:r>
                    <m:ctrlPr>
                      <w:rPr>
                        <w:rFonts w:ascii="Cambria Math" w:hAnsi="Cambria Math"/>
                        <w:b w:val="0"/>
                        <w:bCs w:val="0"/>
                        <w:i/>
                        <w:sz w:val="21"/>
                        <w:szCs w:val="22"/>
                      </w:rPr>
                    </m:ctrlPr>
                  </m:den>
                </m:f>
                <m:nary>
                  <m:naryPr>
                    <m:chr m:val="∑"/>
                    <m:ctrlPr>
                      <w:rPr>
                        <w:rFonts w:ascii="Cambria Math" w:hAnsi="Cambria Math"/>
                        <w:b w:val="0"/>
                        <w:bCs w:val="0"/>
                        <w:sz w:val="21"/>
                        <w:szCs w:val="22"/>
                      </w:rPr>
                    </m:ctrlPr>
                  </m:naryPr>
                  <m:sub>
                    <m:r>
                      <m:rPr>
                        <m:sty m:val="bi"/>
                      </m:rPr>
                      <w:rPr>
                        <w:rFonts w:ascii="Cambria Math" w:hAnsi="Cambria Math"/>
                        <w:sz w:val="21"/>
                        <w:szCs w:val="22"/>
                      </w:rPr>
                      <m:t>i=1</m:t>
                    </m:r>
                    <m:ctrlPr>
                      <w:rPr>
                        <w:rFonts w:ascii="Cambria Math" w:hAnsi="Cambria Math"/>
                        <w:b w:val="0"/>
                        <w:bCs w:val="0"/>
                        <w:i/>
                        <w:sz w:val="21"/>
                        <w:szCs w:val="22"/>
                      </w:rPr>
                    </m:ctrlPr>
                  </m:sub>
                  <m:sup>
                    <m:r>
                      <m:rPr>
                        <m:sty m:val="bi"/>
                      </m:rPr>
                      <w:rPr>
                        <w:rFonts w:ascii="Cambria Math" w:hAnsi="Cambria Math"/>
                        <w:sz w:val="21"/>
                        <w:szCs w:val="22"/>
                      </w:rPr>
                      <m:t>n</m:t>
                    </m:r>
                    <m:ctrlPr>
                      <w:rPr>
                        <w:rFonts w:ascii="Cambria Math" w:hAnsi="Cambria Math"/>
                        <w:b w:val="0"/>
                        <w:bCs w:val="0"/>
                        <w:i/>
                        <w:sz w:val="21"/>
                        <w:szCs w:val="22"/>
                      </w:rPr>
                    </m:ctrlPr>
                  </m:sup>
                  <m:e>
                    <m:d>
                      <m:dPr>
                        <m:begChr m:val="|"/>
                        <m:endChr m:val="|"/>
                        <m:ctrlPr>
                          <w:rPr>
                            <w:rFonts w:ascii="Cambria Math" w:hAnsi="Cambria Math"/>
                            <w:b w:val="0"/>
                            <w:bCs w:val="0"/>
                            <w:sz w:val="21"/>
                            <w:szCs w:val="22"/>
                          </w:rPr>
                        </m:ctrlPr>
                      </m:dPr>
                      <m:e>
                        <m:f>
                          <m:fPr>
                            <m:ctrlPr>
                              <w:rPr>
                                <w:rFonts w:ascii="Cambria Math" w:hAnsi="Cambria Math"/>
                                <w:b w:val="0"/>
                                <w:bCs w:val="0"/>
                                <w:sz w:val="21"/>
                                <w:szCs w:val="22"/>
                              </w:rPr>
                            </m:ctrlPr>
                          </m:fPr>
                          <m:num>
                            <m:sSub>
                              <m:sSubPr>
                                <m:ctrlPr>
                                  <w:rPr>
                                    <w:rFonts w:ascii="Cambria Math" w:hAnsi="Cambria Math"/>
                                    <w:b w:val="0"/>
                                    <w:bCs w:val="0"/>
                                    <w:i/>
                                    <w:sz w:val="21"/>
                                    <w:szCs w:val="22"/>
                                  </w:rPr>
                                </m:ctrlPr>
                              </m:sSubPr>
                              <m:e>
                                <m:r>
                                  <m:rPr>
                                    <m:sty m:val="bi"/>
                                  </m:rPr>
                                  <w:rPr>
                                    <w:rFonts w:ascii="Cambria Math" w:hAnsi="Cambria Math"/>
                                    <w:sz w:val="21"/>
                                    <w:szCs w:val="22"/>
                                  </w:rPr>
                                  <m:t>y</m:t>
                                </m:r>
                              </m:e>
                              <m:sub>
                                <m:r>
                                  <m:rPr>
                                    <m:sty m:val="bi"/>
                                  </m:rPr>
                                  <w:rPr>
                                    <w:rFonts w:ascii="Cambria Math" w:hAnsi="Cambria Math"/>
                                    <w:sz w:val="21"/>
                                    <w:szCs w:val="22"/>
                                  </w:rPr>
                                  <m:t>i</m:t>
                                </m:r>
                              </m:sub>
                            </m:sSub>
                            <m:r>
                              <m:rPr>
                                <m:sty m:val="bi"/>
                              </m:rPr>
                              <w:rPr>
                                <w:rFonts w:ascii="Cambria Math" w:hAnsi="Cambria Math"/>
                                <w:sz w:val="21"/>
                                <w:szCs w:val="22"/>
                              </w:rPr>
                              <m:t>-</m:t>
                            </m:r>
                            <m:acc>
                              <m:accPr>
                                <m:ctrlPr>
                                  <w:rPr>
                                    <w:rFonts w:ascii="Cambria Math" w:hAnsi="Cambria Math"/>
                                    <w:b w:val="0"/>
                                    <w:bCs w:val="0"/>
                                    <w:sz w:val="21"/>
                                    <w:szCs w:val="22"/>
                                  </w:rPr>
                                </m:ctrlPr>
                              </m:accPr>
                              <m:e>
                                <m:sSub>
                                  <m:sSubPr>
                                    <m:ctrlPr>
                                      <w:rPr>
                                        <w:rFonts w:ascii="Cambria Math" w:hAnsi="Cambria Math"/>
                                        <w:b w:val="0"/>
                                        <w:bCs w:val="0"/>
                                        <w:i/>
                                        <w:sz w:val="21"/>
                                        <w:szCs w:val="22"/>
                                      </w:rPr>
                                    </m:ctrlPr>
                                  </m:sSubPr>
                                  <m:e>
                                    <m:r>
                                      <m:rPr>
                                        <m:sty m:val="bi"/>
                                      </m:rPr>
                                      <w:rPr>
                                        <w:rFonts w:ascii="Cambria Math" w:hAnsi="Cambria Math"/>
                                        <w:sz w:val="21"/>
                                        <w:szCs w:val="22"/>
                                      </w:rPr>
                                      <m:t>y</m:t>
                                    </m:r>
                                    <m:ctrlPr>
                                      <w:rPr>
                                        <w:rFonts w:ascii="Cambria Math" w:hAnsi="Cambria Math"/>
                                        <w:b w:val="0"/>
                                        <w:bCs w:val="0"/>
                                        <w:sz w:val="21"/>
                                        <w:szCs w:val="22"/>
                                      </w:rPr>
                                    </m:ctrlPr>
                                  </m:e>
                                  <m:sub>
                                    <m:r>
                                      <m:rPr>
                                        <m:sty m:val="bi"/>
                                      </m:rPr>
                                      <w:rPr>
                                        <w:rFonts w:ascii="Cambria Math" w:hAnsi="Cambria Math"/>
                                        <w:sz w:val="21"/>
                                        <w:szCs w:val="22"/>
                                      </w:rPr>
                                      <m:t>i</m:t>
                                    </m:r>
                                  </m:sub>
                                </m:sSub>
                              </m:e>
                            </m:acc>
                            <m:ctrlPr>
                              <w:rPr>
                                <w:rFonts w:ascii="Cambria Math" w:hAnsi="Cambria Math"/>
                                <w:b w:val="0"/>
                                <w:bCs w:val="0"/>
                                <w:i/>
                                <w:sz w:val="21"/>
                                <w:szCs w:val="22"/>
                              </w:rPr>
                            </m:ctrlPr>
                          </m:num>
                          <m:den>
                            <m:sSub>
                              <m:sSubPr>
                                <m:ctrlPr>
                                  <w:rPr>
                                    <w:rFonts w:ascii="Cambria Math" w:hAnsi="Cambria Math"/>
                                    <w:b w:val="0"/>
                                    <w:bCs w:val="0"/>
                                    <w:i/>
                                    <w:sz w:val="21"/>
                                    <w:szCs w:val="22"/>
                                  </w:rPr>
                                </m:ctrlPr>
                              </m:sSubPr>
                              <m:e>
                                <m:r>
                                  <m:rPr>
                                    <m:sty m:val="bi"/>
                                  </m:rPr>
                                  <w:rPr>
                                    <w:rFonts w:ascii="Cambria Math" w:hAnsi="Cambria Math"/>
                                    <w:sz w:val="21"/>
                                    <w:szCs w:val="22"/>
                                  </w:rPr>
                                  <m:t>y</m:t>
                                </m:r>
                              </m:e>
                              <m:sub>
                                <m:r>
                                  <m:rPr>
                                    <m:sty m:val="bi"/>
                                  </m:rPr>
                                  <w:rPr>
                                    <w:rFonts w:ascii="Cambria Math" w:hAnsi="Cambria Math"/>
                                    <w:sz w:val="21"/>
                                    <w:szCs w:val="22"/>
                                  </w:rPr>
                                  <m:t>i</m:t>
                                </m:r>
                              </m:sub>
                            </m:sSub>
                            <m:ctrlPr>
                              <w:rPr>
                                <w:rFonts w:ascii="Cambria Math" w:hAnsi="Cambria Math"/>
                                <w:b w:val="0"/>
                                <w:bCs w:val="0"/>
                                <w:i/>
                                <w:sz w:val="21"/>
                                <w:szCs w:val="22"/>
                              </w:rPr>
                            </m:ctrlPr>
                          </m:den>
                        </m:f>
                        <m:ctrlPr>
                          <w:rPr>
                            <w:rFonts w:ascii="Cambria Math" w:hAnsi="Cambria Math"/>
                            <w:b w:val="0"/>
                            <w:bCs w:val="0"/>
                            <w:i/>
                            <w:sz w:val="21"/>
                            <w:szCs w:val="22"/>
                          </w:rPr>
                        </m:ctrlPr>
                      </m:e>
                    </m:d>
                    <m:ctrlPr>
                      <w:rPr>
                        <w:rFonts w:ascii="Cambria Math" w:hAnsi="Cambria Math"/>
                        <w:b w:val="0"/>
                        <w:bCs w:val="0"/>
                        <w:i/>
                        <w:sz w:val="21"/>
                        <w:szCs w:val="22"/>
                      </w:rPr>
                    </m:ctrlPr>
                  </m:e>
                </m:nary>
              </m:oMath>
            </m:oMathPara>
          </w:p>
        </w:tc>
        <w:tc>
          <w:tcPr>
            <w:tcW w:w="496" w:type="dxa"/>
          </w:tcPr>
          <w:p w14:paraId="24812259" w14:textId="5A78F64D" w:rsidR="00EF4582" w:rsidRPr="000712BF" w:rsidRDefault="00EF4582" w:rsidP="004D2EEA">
            <w:pPr>
              <w:spacing w:line="360" w:lineRule="auto"/>
              <w:jc w:val="both"/>
              <w:cnfStyle w:val="000000000000" w:firstRow="0" w:lastRow="0" w:firstColumn="0" w:lastColumn="0" w:oddVBand="0" w:evenVBand="0" w:oddHBand="0" w:evenHBand="0" w:firstRowFirstColumn="0" w:firstRowLastColumn="0" w:lastRowFirstColumn="0" w:lastRowLastColumn="0"/>
              <w:rPr>
                <w:sz w:val="21"/>
                <w:szCs w:val="22"/>
              </w:rPr>
            </w:pPr>
            <w:r w:rsidRPr="000712BF">
              <w:rPr>
                <w:sz w:val="21"/>
                <w:szCs w:val="22"/>
              </w:rPr>
              <w:t>(</w:t>
            </w:r>
            <w:r w:rsidR="00023F74">
              <w:rPr>
                <w:rFonts w:hint="eastAsia"/>
                <w:sz w:val="21"/>
                <w:szCs w:val="22"/>
              </w:rPr>
              <w:t>4</w:t>
            </w:r>
            <w:r w:rsidRPr="000712BF">
              <w:rPr>
                <w:sz w:val="21"/>
                <w:szCs w:val="22"/>
              </w:rPr>
              <w:t>)</w:t>
            </w:r>
          </w:p>
        </w:tc>
      </w:tr>
    </w:tbl>
    <w:p w14:paraId="17C527CC" w14:textId="0E249940" w:rsidR="00EF4582" w:rsidRPr="00EF4582" w:rsidRDefault="00EF4582" w:rsidP="00EF4582">
      <w:pPr>
        <w:spacing w:after="0" w:line="360" w:lineRule="auto"/>
        <w:jc w:val="both"/>
        <w:rPr>
          <w:rFonts w:ascii="Times New Roman" w:hAnsi="Times New Roman" w:cs="Times New Roman" w:hint="eastAsia"/>
          <w:sz w:val="24"/>
        </w:rPr>
      </w:pPr>
      <w:r w:rsidRPr="000712BF">
        <w:rPr>
          <w:rFonts w:ascii="Times New Roman" w:hAnsi="Times New Roman" w:cs="Times New Roman"/>
          <w:sz w:val="24"/>
        </w:rPr>
        <w:t xml:space="preserve">where </w:t>
      </w:r>
      <m:oMath>
        <m:sSub>
          <m:sSubPr>
            <m:ctrlPr>
              <w:rPr>
                <w:rFonts w:ascii="Cambria Math" w:hAnsi="Cambria Math" w:cs="Times New Roman"/>
                <w:sz w:val="24"/>
              </w:rPr>
            </m:ctrlPr>
          </m:sSubPr>
          <m:e>
            <m:r>
              <w:rPr>
                <w:rFonts w:ascii="Cambria Math" w:hAnsi="Cambria Math" w:cs="Times New Roman"/>
                <w:sz w:val="24"/>
              </w:rPr>
              <m:t>y</m:t>
            </m:r>
          </m:e>
          <m:sub>
            <m:r>
              <w:rPr>
                <w:rFonts w:ascii="Cambria Math" w:hAnsi="Cambria Math" w:cs="Times New Roman"/>
                <w:sz w:val="24"/>
              </w:rPr>
              <m:t>i</m:t>
            </m:r>
          </m:sub>
        </m:sSub>
      </m:oMath>
      <w:r w:rsidRPr="000712BF">
        <w:rPr>
          <w:rFonts w:ascii="Times New Roman" w:hAnsi="Times New Roman" w:cs="Times New Roman" w:hint="eastAsia"/>
          <w:sz w:val="24"/>
        </w:rPr>
        <w:t xml:space="preserve"> </w:t>
      </w:r>
      <w:r w:rsidRPr="000712BF">
        <w:rPr>
          <w:rFonts w:ascii="Times New Roman" w:hAnsi="Times New Roman" w:cs="Times New Roman"/>
          <w:sz w:val="24"/>
        </w:rPr>
        <w:t xml:space="preserve">and </w:t>
      </w:r>
      <m:oMath>
        <m:sSub>
          <m:sSubPr>
            <m:ctrlPr>
              <w:rPr>
                <w:rFonts w:ascii="Cambria Math" w:hAnsi="Cambria Math" w:cs="Times New Roman"/>
                <w:sz w:val="24"/>
              </w:rPr>
            </m:ctrlPr>
          </m:sSubPr>
          <m:e>
            <m:acc>
              <m:accPr>
                <m:ctrlPr>
                  <w:rPr>
                    <w:rFonts w:ascii="Cambria Math" w:hAnsi="Cambria Math" w:cs="Times New Roman"/>
                    <w:sz w:val="24"/>
                  </w:rPr>
                </m:ctrlPr>
              </m:accPr>
              <m:e>
                <m:r>
                  <w:rPr>
                    <w:rFonts w:ascii="Cambria Math" w:hAnsi="Cambria Math" w:cs="Times New Roman"/>
                    <w:sz w:val="24"/>
                  </w:rPr>
                  <m:t>y</m:t>
                </m:r>
              </m:e>
            </m:acc>
          </m:e>
          <m:sub>
            <m:r>
              <w:rPr>
                <w:rFonts w:ascii="Cambria Math" w:hAnsi="Cambria Math" w:cs="Times New Roman"/>
                <w:sz w:val="24"/>
              </w:rPr>
              <m:t>i</m:t>
            </m:r>
          </m:sub>
        </m:sSub>
      </m:oMath>
      <w:r w:rsidRPr="000712BF">
        <w:rPr>
          <w:rFonts w:ascii="Times New Roman" w:hAnsi="Times New Roman" w:cs="Times New Roman" w:hint="eastAsia"/>
          <w:sz w:val="24"/>
        </w:rPr>
        <w:t xml:space="preserve"> </w:t>
      </w:r>
      <w:r w:rsidRPr="000712BF">
        <w:rPr>
          <w:rFonts w:ascii="Times New Roman" w:hAnsi="Times New Roman" w:cs="Times New Roman"/>
          <w:sz w:val="24"/>
        </w:rPr>
        <w:t xml:space="preserve">denote the observed and predicted values of UICs, respectively, </w:t>
      </w:r>
      <m:oMath>
        <m:acc>
          <m:accPr>
            <m:chr m:val="ˉ"/>
            <m:ctrlPr>
              <w:rPr>
                <w:rFonts w:ascii="Cambria Math" w:hAnsi="Cambria Math" w:cs="Times New Roman"/>
                <w:sz w:val="24"/>
              </w:rPr>
            </m:ctrlPr>
          </m:accPr>
          <m:e>
            <m:r>
              <w:rPr>
                <w:rFonts w:ascii="Cambria Math" w:hAnsi="Cambria Math" w:cs="Times New Roman"/>
                <w:sz w:val="24"/>
              </w:rPr>
              <m:t>y</m:t>
            </m:r>
          </m:e>
        </m:acc>
      </m:oMath>
      <w:r w:rsidRPr="000712BF">
        <w:rPr>
          <w:rFonts w:ascii="Times New Roman" w:hAnsi="Times New Roman" w:cs="Times New Roman" w:hint="eastAsia"/>
          <w:sz w:val="24"/>
        </w:rPr>
        <w:t xml:space="preserve"> </w:t>
      </w:r>
      <w:r w:rsidRPr="000712BF">
        <w:rPr>
          <w:rFonts w:ascii="Times New Roman" w:hAnsi="Times New Roman" w:cs="Times New Roman"/>
          <w:sz w:val="24"/>
        </w:rPr>
        <w:t xml:space="preserve">represents the mean of the observed values, and </w:t>
      </w:r>
      <m:oMath>
        <m:r>
          <w:rPr>
            <w:rFonts w:ascii="Cambria Math" w:hAnsi="Cambria Math" w:cs="Times New Roman"/>
            <w:sz w:val="24"/>
          </w:rPr>
          <m:t>n</m:t>
        </m:r>
      </m:oMath>
      <w:r w:rsidRPr="000712BF">
        <w:rPr>
          <w:rFonts w:ascii="Times New Roman" w:hAnsi="Times New Roman" w:cs="Times New Roman" w:hint="eastAsia"/>
          <w:sz w:val="24"/>
        </w:rPr>
        <w:t xml:space="preserve"> </w:t>
      </w:r>
      <w:r w:rsidRPr="000712BF">
        <w:rPr>
          <w:rFonts w:ascii="Times New Roman" w:hAnsi="Times New Roman" w:cs="Times New Roman"/>
          <w:sz w:val="24"/>
        </w:rPr>
        <w:t>is the total number of observations. The coefficient of determination (R²) measures the proportion of variance in UICs explained by the model, while RMSE captures the magnitude of prediction errors in the original units. MAE reflects the average absolute deviation between predicted and observed values, providing a direct and interpretable measure of overall prediction accuracy that is less sensitive to extreme errors than RMSE. MAPE provides a scale-independent measure of prediction accuracy by expressing errors as percentages. In addition, 10-fold cross-validation (</w:t>
      </w:r>
      <m:oMath>
        <m:r>
          <m:rPr>
            <m:sty m:val="p"/>
          </m:rPr>
          <w:rPr>
            <w:rFonts w:ascii="Cambria Math" w:hAnsi="Cambria Math" w:cs="Times New Roman"/>
            <w:sz w:val="24"/>
          </w:rPr>
          <m:t>CV</m:t>
        </m:r>
        <m:r>
          <w:rPr>
            <w:rFonts w:ascii="Cambria Math" w:hAnsi="Cambria Math" w:cs="Times New Roman"/>
            <w:sz w:val="24"/>
          </w:rPr>
          <m:t>10</m:t>
        </m:r>
        <m:r>
          <m:rPr>
            <m:nor/>
          </m:rPr>
          <w:rPr>
            <w:rFonts w:ascii="Times New Roman" w:hAnsi="Times New Roman" w:cs="Times New Roman"/>
            <w:sz w:val="24"/>
          </w:rPr>
          <m:t xml:space="preserve"> </m:t>
        </m:r>
        <m:sSup>
          <m:sSupPr>
            <m:ctrlPr>
              <w:rPr>
                <w:rFonts w:ascii="Cambria Math" w:hAnsi="Cambria Math" w:cs="Times New Roman"/>
                <w:sz w:val="24"/>
              </w:rPr>
            </m:ctrlPr>
          </m:sSupPr>
          <m:e>
            <m:r>
              <w:rPr>
                <w:rFonts w:ascii="Cambria Math" w:hAnsi="Cambria Math" w:cs="Times New Roman"/>
                <w:sz w:val="24"/>
              </w:rPr>
              <m:t>R</m:t>
            </m:r>
          </m:e>
          <m:sup>
            <m:r>
              <w:rPr>
                <w:rFonts w:ascii="Cambria Math" w:hAnsi="Cambria Math" w:cs="Times New Roman"/>
                <w:sz w:val="24"/>
              </w:rPr>
              <m:t>2</m:t>
            </m:r>
          </m:sup>
        </m:sSup>
      </m:oMath>
      <w:r w:rsidRPr="000712BF">
        <w:rPr>
          <w:rFonts w:ascii="Times New Roman" w:hAnsi="Times New Roman" w:cs="Times New Roman"/>
          <w:sz w:val="24"/>
        </w:rPr>
        <w:t xml:space="preserve">) was employed to evaluate model stability </w:t>
      </w:r>
      <w:r w:rsidRPr="000712BF">
        <w:rPr>
          <w:rFonts w:ascii="Times New Roman" w:hAnsi="Times New Roman" w:cs="Times New Roman"/>
          <w:sz w:val="24"/>
        </w:rPr>
        <w:lastRenderedPageBreak/>
        <w:t>and robustness across different data partitions.</w:t>
      </w:r>
    </w:p>
    <w:p w14:paraId="46C4B611" w14:textId="1C839994" w:rsidR="00D1012C" w:rsidRPr="00E22618" w:rsidRDefault="00E22618" w:rsidP="00E22618">
      <w:pPr>
        <w:jc w:val="center"/>
        <w:rPr>
          <w:rFonts w:ascii="Times New Roman" w:hAnsi="Times New Roman" w:cs="Times New Roman"/>
        </w:rPr>
      </w:pPr>
      <w:r w:rsidRPr="00E22618">
        <w:rPr>
          <w:rFonts w:ascii="Times New Roman" w:hAnsi="Times New Roman" w:cs="Times New Roman"/>
        </w:rPr>
        <w:t>Table 2. Model Performance Summary for Heterogeneous City Subsamples</w:t>
      </w:r>
    </w:p>
    <w:tbl>
      <w:tblPr>
        <w:tblStyle w:val="41"/>
        <w:tblW w:w="8653" w:type="dxa"/>
        <w:tblBorders>
          <w:top w:val="single" w:sz="4" w:space="0" w:color="auto"/>
          <w:bottom w:val="single" w:sz="4" w:space="0" w:color="auto"/>
        </w:tblBorders>
        <w:tblLook w:val="04A0" w:firstRow="1" w:lastRow="0" w:firstColumn="1" w:lastColumn="0" w:noHBand="0" w:noVBand="1"/>
      </w:tblPr>
      <w:tblGrid>
        <w:gridCol w:w="1450"/>
        <w:gridCol w:w="1105"/>
        <w:gridCol w:w="1014"/>
        <w:gridCol w:w="1014"/>
        <w:gridCol w:w="1014"/>
        <w:gridCol w:w="1014"/>
        <w:gridCol w:w="1028"/>
        <w:gridCol w:w="1014"/>
      </w:tblGrid>
      <w:tr w:rsidR="00130B37" w:rsidRPr="00130B37" w14:paraId="36908E9F" w14:textId="77777777" w:rsidTr="002C508A">
        <w:trPr>
          <w:cnfStyle w:val="100000000000" w:firstRow="1" w:lastRow="0" w:firstColumn="0" w:lastColumn="0" w:oddVBand="0" w:evenVBand="0" w:oddHBand="0" w:evenHBand="0" w:firstRowFirstColumn="0" w:firstRowLastColumn="0" w:lastRowFirstColumn="0" w:lastRowLastColumn="0"/>
          <w:trHeight w:val="944"/>
        </w:trPr>
        <w:tc>
          <w:tcPr>
            <w:cnfStyle w:val="001000000000" w:firstRow="0" w:lastRow="0" w:firstColumn="1" w:lastColumn="0" w:oddVBand="0" w:evenVBand="0" w:oddHBand="0" w:evenHBand="0" w:firstRowFirstColumn="0" w:firstRowLastColumn="0" w:lastRowFirstColumn="0" w:lastRowLastColumn="0"/>
            <w:tcW w:w="1450" w:type="dxa"/>
            <w:tcBorders>
              <w:bottom w:val="single" w:sz="4" w:space="0" w:color="auto"/>
            </w:tcBorders>
            <w:vAlign w:val="center"/>
          </w:tcPr>
          <w:p w14:paraId="62166652" w14:textId="210E72F6" w:rsidR="00130B37" w:rsidRPr="00130B37" w:rsidRDefault="00130B37" w:rsidP="00000BC3">
            <w:r w:rsidRPr="00130B37">
              <w:t>City Group</w:t>
            </w:r>
          </w:p>
        </w:tc>
        <w:tc>
          <w:tcPr>
            <w:tcW w:w="1094" w:type="dxa"/>
            <w:tcBorders>
              <w:bottom w:val="single" w:sz="4" w:space="0" w:color="auto"/>
            </w:tcBorders>
            <w:vAlign w:val="center"/>
          </w:tcPr>
          <w:p w14:paraId="1060451D" w14:textId="77777777" w:rsidR="00130B37" w:rsidRPr="00130B37" w:rsidRDefault="00130B37" w:rsidP="00000BC3">
            <w:pPr>
              <w:cnfStyle w:val="100000000000" w:firstRow="1" w:lastRow="0" w:firstColumn="0" w:lastColumn="0" w:oddVBand="0" w:evenVBand="0" w:oddHBand="0" w:evenHBand="0" w:firstRowFirstColumn="0" w:firstRowLastColumn="0" w:lastRowFirstColumn="0" w:lastRowLastColumn="0"/>
            </w:pPr>
            <w:r w:rsidRPr="00130B37">
              <w:t>Model</w:t>
            </w:r>
          </w:p>
        </w:tc>
        <w:tc>
          <w:tcPr>
            <w:tcW w:w="1016" w:type="dxa"/>
            <w:tcBorders>
              <w:bottom w:val="single" w:sz="4" w:space="0" w:color="auto"/>
            </w:tcBorders>
            <w:vAlign w:val="center"/>
          </w:tcPr>
          <w:p w14:paraId="58481D89" w14:textId="77777777" w:rsidR="00130B37" w:rsidRPr="00130B37" w:rsidRDefault="00130B37" w:rsidP="00000BC3">
            <w:pPr>
              <w:cnfStyle w:val="100000000000" w:firstRow="1" w:lastRow="0" w:firstColumn="0" w:lastColumn="0" w:oddVBand="0" w:evenVBand="0" w:oddHBand="0" w:evenHBand="0" w:firstRowFirstColumn="0" w:firstRowLastColumn="0" w:lastRowFirstColumn="0" w:lastRowLastColumn="0"/>
            </w:pPr>
            <w:r w:rsidRPr="00130B37">
              <w:t>Train R</w:t>
            </w:r>
            <w:r w:rsidRPr="002971D3">
              <w:rPr>
                <w:vertAlign w:val="superscript"/>
              </w:rPr>
              <w:t>2</w:t>
            </w:r>
          </w:p>
        </w:tc>
        <w:tc>
          <w:tcPr>
            <w:tcW w:w="1016" w:type="dxa"/>
            <w:tcBorders>
              <w:bottom w:val="single" w:sz="4" w:space="0" w:color="auto"/>
            </w:tcBorders>
            <w:vAlign w:val="center"/>
          </w:tcPr>
          <w:p w14:paraId="61A1ECDB" w14:textId="77777777" w:rsidR="00130B37" w:rsidRPr="00130B37" w:rsidRDefault="00130B37" w:rsidP="00000BC3">
            <w:pPr>
              <w:cnfStyle w:val="100000000000" w:firstRow="1" w:lastRow="0" w:firstColumn="0" w:lastColumn="0" w:oddVBand="0" w:evenVBand="0" w:oddHBand="0" w:evenHBand="0" w:firstRowFirstColumn="0" w:firstRowLastColumn="0" w:lastRowFirstColumn="0" w:lastRowLastColumn="0"/>
            </w:pPr>
            <w:r w:rsidRPr="00130B37">
              <w:t>Test R</w:t>
            </w:r>
            <w:r w:rsidRPr="002971D3">
              <w:rPr>
                <w:vertAlign w:val="superscript"/>
              </w:rPr>
              <w:t>2</w:t>
            </w:r>
          </w:p>
        </w:tc>
        <w:tc>
          <w:tcPr>
            <w:tcW w:w="1016" w:type="dxa"/>
            <w:tcBorders>
              <w:bottom w:val="single" w:sz="4" w:space="0" w:color="auto"/>
            </w:tcBorders>
            <w:vAlign w:val="center"/>
          </w:tcPr>
          <w:p w14:paraId="1C087077" w14:textId="77777777" w:rsidR="00130B37" w:rsidRPr="00130B37" w:rsidRDefault="00130B37" w:rsidP="00000BC3">
            <w:pPr>
              <w:cnfStyle w:val="100000000000" w:firstRow="1" w:lastRow="0" w:firstColumn="0" w:lastColumn="0" w:oddVBand="0" w:evenVBand="0" w:oddHBand="0" w:evenHBand="0" w:firstRowFirstColumn="0" w:firstRowLastColumn="0" w:lastRowFirstColumn="0" w:lastRowLastColumn="0"/>
            </w:pPr>
            <w:r w:rsidRPr="00130B37">
              <w:t>Train RMSE</w:t>
            </w:r>
          </w:p>
        </w:tc>
        <w:tc>
          <w:tcPr>
            <w:tcW w:w="1016" w:type="dxa"/>
            <w:tcBorders>
              <w:bottom w:val="single" w:sz="4" w:space="0" w:color="auto"/>
            </w:tcBorders>
            <w:vAlign w:val="center"/>
          </w:tcPr>
          <w:p w14:paraId="0ACF5615" w14:textId="77777777" w:rsidR="00130B37" w:rsidRPr="00130B37" w:rsidRDefault="00130B37" w:rsidP="00000BC3">
            <w:pPr>
              <w:cnfStyle w:val="100000000000" w:firstRow="1" w:lastRow="0" w:firstColumn="0" w:lastColumn="0" w:oddVBand="0" w:evenVBand="0" w:oddHBand="0" w:evenHBand="0" w:firstRowFirstColumn="0" w:firstRowLastColumn="0" w:lastRowFirstColumn="0" w:lastRowLastColumn="0"/>
            </w:pPr>
            <w:r w:rsidRPr="00130B37">
              <w:t>Test MAE</w:t>
            </w:r>
          </w:p>
        </w:tc>
        <w:tc>
          <w:tcPr>
            <w:tcW w:w="1029" w:type="dxa"/>
            <w:tcBorders>
              <w:bottom w:val="single" w:sz="4" w:space="0" w:color="auto"/>
            </w:tcBorders>
            <w:vAlign w:val="center"/>
          </w:tcPr>
          <w:p w14:paraId="4F2616BB" w14:textId="77777777" w:rsidR="00130B37" w:rsidRPr="00130B37" w:rsidRDefault="00130B37" w:rsidP="00000BC3">
            <w:pPr>
              <w:cnfStyle w:val="100000000000" w:firstRow="1" w:lastRow="0" w:firstColumn="0" w:lastColumn="0" w:oddVBand="0" w:evenVBand="0" w:oddHBand="0" w:evenHBand="0" w:firstRowFirstColumn="0" w:firstRowLastColumn="0" w:lastRowFirstColumn="0" w:lastRowLastColumn="0"/>
            </w:pPr>
            <w:r w:rsidRPr="00130B37">
              <w:t>CV10 R</w:t>
            </w:r>
            <w:r w:rsidRPr="002971D3">
              <w:rPr>
                <w:vertAlign w:val="superscript"/>
              </w:rPr>
              <w:t xml:space="preserve">2 </w:t>
            </w:r>
            <w:r w:rsidRPr="00130B37">
              <w:t>(Mean)</w:t>
            </w:r>
          </w:p>
        </w:tc>
        <w:tc>
          <w:tcPr>
            <w:tcW w:w="1016" w:type="dxa"/>
            <w:tcBorders>
              <w:bottom w:val="single" w:sz="4" w:space="0" w:color="auto"/>
            </w:tcBorders>
            <w:vAlign w:val="center"/>
          </w:tcPr>
          <w:p w14:paraId="0342D922" w14:textId="77777777" w:rsidR="00130B37" w:rsidRPr="00130B37" w:rsidRDefault="00130B37" w:rsidP="00000BC3">
            <w:pPr>
              <w:cnfStyle w:val="100000000000" w:firstRow="1" w:lastRow="0" w:firstColumn="0" w:lastColumn="0" w:oddVBand="0" w:evenVBand="0" w:oddHBand="0" w:evenHBand="0" w:firstRowFirstColumn="0" w:firstRowLastColumn="0" w:lastRowFirstColumn="0" w:lastRowLastColumn="0"/>
            </w:pPr>
            <w:r w:rsidRPr="00130B37">
              <w:t>CV10 R</w:t>
            </w:r>
            <w:r w:rsidRPr="002971D3">
              <w:rPr>
                <w:vertAlign w:val="superscript"/>
              </w:rPr>
              <w:t>2</w:t>
            </w:r>
            <w:r w:rsidRPr="00130B37">
              <w:t xml:space="preserve"> (Std)</w:t>
            </w:r>
          </w:p>
        </w:tc>
      </w:tr>
      <w:tr w:rsidR="00130B37" w:rsidRPr="00130B37" w14:paraId="56C66DF3" w14:textId="77777777" w:rsidTr="002C508A">
        <w:trPr>
          <w:trHeight w:val="309"/>
        </w:trPr>
        <w:tc>
          <w:tcPr>
            <w:cnfStyle w:val="001000000000" w:firstRow="0" w:lastRow="0" w:firstColumn="1" w:lastColumn="0" w:oddVBand="0" w:evenVBand="0" w:oddHBand="0" w:evenHBand="0" w:firstRowFirstColumn="0" w:firstRowLastColumn="0" w:lastRowFirstColumn="0" w:lastRowLastColumn="0"/>
            <w:tcW w:w="1450" w:type="dxa"/>
            <w:vMerge w:val="restart"/>
            <w:tcBorders>
              <w:top w:val="single" w:sz="4" w:space="0" w:color="auto"/>
            </w:tcBorders>
            <w:vAlign w:val="center"/>
          </w:tcPr>
          <w:p w14:paraId="62BC361D" w14:textId="77777777" w:rsidR="00130B37" w:rsidRPr="00130B37" w:rsidRDefault="00130B37" w:rsidP="00000BC3">
            <w:r w:rsidRPr="00130B37">
              <w:t>All Cities</w:t>
            </w:r>
          </w:p>
        </w:tc>
        <w:tc>
          <w:tcPr>
            <w:tcW w:w="1094" w:type="dxa"/>
            <w:tcBorders>
              <w:top w:val="single" w:sz="4" w:space="0" w:color="auto"/>
            </w:tcBorders>
            <w:vAlign w:val="center"/>
          </w:tcPr>
          <w:p w14:paraId="6974EAE6"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GBDT</w:t>
            </w:r>
          </w:p>
        </w:tc>
        <w:tc>
          <w:tcPr>
            <w:tcW w:w="1016" w:type="dxa"/>
            <w:tcBorders>
              <w:top w:val="single" w:sz="4" w:space="0" w:color="auto"/>
            </w:tcBorders>
            <w:vAlign w:val="center"/>
          </w:tcPr>
          <w:p w14:paraId="456456C4"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0.9852</w:t>
            </w:r>
          </w:p>
        </w:tc>
        <w:tc>
          <w:tcPr>
            <w:tcW w:w="1016" w:type="dxa"/>
            <w:tcBorders>
              <w:top w:val="single" w:sz="4" w:space="0" w:color="auto"/>
            </w:tcBorders>
            <w:vAlign w:val="center"/>
          </w:tcPr>
          <w:p w14:paraId="3561758B"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0.9437</w:t>
            </w:r>
          </w:p>
        </w:tc>
        <w:tc>
          <w:tcPr>
            <w:tcW w:w="1016" w:type="dxa"/>
            <w:tcBorders>
              <w:top w:val="single" w:sz="4" w:space="0" w:color="auto"/>
            </w:tcBorders>
            <w:vAlign w:val="center"/>
          </w:tcPr>
          <w:p w14:paraId="76E73540"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0.9326</w:t>
            </w:r>
          </w:p>
        </w:tc>
        <w:tc>
          <w:tcPr>
            <w:tcW w:w="1016" w:type="dxa"/>
            <w:tcBorders>
              <w:top w:val="single" w:sz="4" w:space="0" w:color="auto"/>
            </w:tcBorders>
            <w:vAlign w:val="center"/>
          </w:tcPr>
          <w:p w14:paraId="1EF2DDB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0.9908</w:t>
            </w:r>
          </w:p>
        </w:tc>
        <w:tc>
          <w:tcPr>
            <w:tcW w:w="1029" w:type="dxa"/>
            <w:tcBorders>
              <w:top w:val="single" w:sz="4" w:space="0" w:color="auto"/>
            </w:tcBorders>
            <w:vAlign w:val="center"/>
          </w:tcPr>
          <w:p w14:paraId="662FE2D5"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0.9461</w:t>
            </w:r>
          </w:p>
        </w:tc>
        <w:tc>
          <w:tcPr>
            <w:tcW w:w="1016" w:type="dxa"/>
            <w:tcBorders>
              <w:top w:val="single" w:sz="4" w:space="0" w:color="auto"/>
            </w:tcBorders>
            <w:vAlign w:val="center"/>
          </w:tcPr>
          <w:p w14:paraId="561DF82B"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0.0065</w:t>
            </w:r>
          </w:p>
        </w:tc>
      </w:tr>
      <w:tr w:rsidR="00130B37" w:rsidRPr="00130B37" w14:paraId="18D0C7DA"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1574E570" w14:textId="77777777" w:rsidR="00130B37" w:rsidRPr="00130B37" w:rsidRDefault="00130B37" w:rsidP="00000BC3"/>
        </w:tc>
        <w:tc>
          <w:tcPr>
            <w:tcW w:w="1094" w:type="dxa"/>
            <w:vAlign w:val="center"/>
          </w:tcPr>
          <w:p w14:paraId="4092AB37"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XGBoost</w:t>
            </w:r>
          </w:p>
        </w:tc>
        <w:tc>
          <w:tcPr>
            <w:tcW w:w="1016" w:type="dxa"/>
            <w:vAlign w:val="center"/>
          </w:tcPr>
          <w:p w14:paraId="55BF394B"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0.9831</w:t>
            </w:r>
          </w:p>
        </w:tc>
        <w:tc>
          <w:tcPr>
            <w:tcW w:w="1016" w:type="dxa"/>
            <w:vAlign w:val="center"/>
          </w:tcPr>
          <w:p w14:paraId="2405C3B2"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0.9410</w:t>
            </w:r>
          </w:p>
        </w:tc>
        <w:tc>
          <w:tcPr>
            <w:tcW w:w="1016" w:type="dxa"/>
            <w:vAlign w:val="center"/>
          </w:tcPr>
          <w:p w14:paraId="0C314827"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0.9977</w:t>
            </w:r>
          </w:p>
        </w:tc>
        <w:tc>
          <w:tcPr>
            <w:tcW w:w="1016" w:type="dxa"/>
            <w:vAlign w:val="center"/>
          </w:tcPr>
          <w:p w14:paraId="59A9B464"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1.0099</w:t>
            </w:r>
          </w:p>
        </w:tc>
        <w:tc>
          <w:tcPr>
            <w:tcW w:w="1029" w:type="dxa"/>
            <w:vAlign w:val="center"/>
          </w:tcPr>
          <w:p w14:paraId="5E7A5152"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0.9458</w:t>
            </w:r>
          </w:p>
        </w:tc>
        <w:tc>
          <w:tcPr>
            <w:tcW w:w="1016" w:type="dxa"/>
            <w:vAlign w:val="center"/>
          </w:tcPr>
          <w:p w14:paraId="158E8D56"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0.0081</w:t>
            </w:r>
          </w:p>
        </w:tc>
      </w:tr>
      <w:tr w:rsidR="00130B37" w:rsidRPr="00130B37" w14:paraId="4E6BD257"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1C8FC519" w14:textId="77777777" w:rsidR="00130B37" w:rsidRPr="00130B37" w:rsidRDefault="00130B37" w:rsidP="00000BC3"/>
        </w:tc>
        <w:tc>
          <w:tcPr>
            <w:tcW w:w="1094" w:type="dxa"/>
            <w:vAlign w:val="center"/>
          </w:tcPr>
          <w:p w14:paraId="52890DD2"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Random Forest</w:t>
            </w:r>
          </w:p>
        </w:tc>
        <w:tc>
          <w:tcPr>
            <w:tcW w:w="1016" w:type="dxa"/>
            <w:vAlign w:val="center"/>
          </w:tcPr>
          <w:p w14:paraId="6EE424E7"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0.9849</w:t>
            </w:r>
          </w:p>
        </w:tc>
        <w:tc>
          <w:tcPr>
            <w:tcW w:w="1016" w:type="dxa"/>
            <w:vAlign w:val="center"/>
          </w:tcPr>
          <w:p w14:paraId="4168962C"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0.9382</w:t>
            </w:r>
          </w:p>
        </w:tc>
        <w:tc>
          <w:tcPr>
            <w:tcW w:w="1016" w:type="dxa"/>
            <w:vAlign w:val="center"/>
          </w:tcPr>
          <w:p w14:paraId="6455F152"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0.9419</w:t>
            </w:r>
          </w:p>
        </w:tc>
        <w:tc>
          <w:tcPr>
            <w:tcW w:w="1016" w:type="dxa"/>
            <w:vAlign w:val="center"/>
          </w:tcPr>
          <w:p w14:paraId="5017C0BD"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1.0473</w:t>
            </w:r>
          </w:p>
        </w:tc>
        <w:tc>
          <w:tcPr>
            <w:tcW w:w="1029" w:type="dxa"/>
            <w:vAlign w:val="center"/>
          </w:tcPr>
          <w:p w14:paraId="3A49E65B"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0.9376</w:t>
            </w:r>
          </w:p>
        </w:tc>
        <w:tc>
          <w:tcPr>
            <w:tcW w:w="1016" w:type="dxa"/>
            <w:vAlign w:val="center"/>
          </w:tcPr>
          <w:p w14:paraId="401706C7"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0.0064</w:t>
            </w:r>
          </w:p>
        </w:tc>
      </w:tr>
      <w:tr w:rsidR="00130B37" w:rsidRPr="00130B37" w14:paraId="7BF6F5D5"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1971297A" w14:textId="77777777" w:rsidR="00130B37" w:rsidRPr="00130B37" w:rsidRDefault="00130B37" w:rsidP="00000BC3"/>
        </w:tc>
        <w:tc>
          <w:tcPr>
            <w:tcW w:w="1094" w:type="dxa"/>
            <w:vAlign w:val="center"/>
          </w:tcPr>
          <w:p w14:paraId="2550E6F1" w14:textId="04930855" w:rsidR="00130B37" w:rsidRPr="00130B37" w:rsidRDefault="005D5D86" w:rsidP="00000BC3">
            <w:pPr>
              <w:cnfStyle w:val="000000000000" w:firstRow="0" w:lastRow="0" w:firstColumn="0" w:lastColumn="0" w:oddVBand="0" w:evenVBand="0" w:oddHBand="0" w:evenHBand="0" w:firstRowFirstColumn="0" w:firstRowLastColumn="0" w:lastRowFirstColumn="0" w:lastRowLastColumn="0"/>
            </w:pPr>
            <w:r w:rsidRPr="005D5D86">
              <w:t>Linear Regression</w:t>
            </w:r>
          </w:p>
        </w:tc>
        <w:tc>
          <w:tcPr>
            <w:tcW w:w="1016" w:type="dxa"/>
            <w:vAlign w:val="center"/>
          </w:tcPr>
          <w:p w14:paraId="2BB8792E"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0.8351</w:t>
            </w:r>
          </w:p>
        </w:tc>
        <w:tc>
          <w:tcPr>
            <w:tcW w:w="1016" w:type="dxa"/>
            <w:vAlign w:val="center"/>
          </w:tcPr>
          <w:p w14:paraId="5F0D9414"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0.8044</w:t>
            </w:r>
          </w:p>
        </w:tc>
        <w:tc>
          <w:tcPr>
            <w:tcW w:w="1016" w:type="dxa"/>
            <w:vAlign w:val="center"/>
          </w:tcPr>
          <w:p w14:paraId="26F6B037"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3.1129</w:t>
            </w:r>
          </w:p>
        </w:tc>
        <w:tc>
          <w:tcPr>
            <w:tcW w:w="1016" w:type="dxa"/>
            <w:vAlign w:val="center"/>
          </w:tcPr>
          <w:p w14:paraId="60D2E580"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1.9353</w:t>
            </w:r>
          </w:p>
        </w:tc>
        <w:tc>
          <w:tcPr>
            <w:tcW w:w="1029" w:type="dxa"/>
            <w:vAlign w:val="center"/>
          </w:tcPr>
          <w:p w14:paraId="15BB5032"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0.8216</w:t>
            </w:r>
          </w:p>
        </w:tc>
        <w:tc>
          <w:tcPr>
            <w:tcW w:w="1016" w:type="dxa"/>
            <w:vAlign w:val="center"/>
          </w:tcPr>
          <w:p w14:paraId="4E0048D5"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0.0219</w:t>
            </w:r>
          </w:p>
        </w:tc>
      </w:tr>
      <w:tr w:rsidR="00130B37" w:rsidRPr="00130B37" w14:paraId="3B045A82"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4C41E025" w14:textId="77777777" w:rsidR="00130B37" w:rsidRPr="00130B37" w:rsidRDefault="00130B37" w:rsidP="00000BC3"/>
        </w:tc>
        <w:tc>
          <w:tcPr>
            <w:tcW w:w="1094" w:type="dxa"/>
            <w:vAlign w:val="center"/>
          </w:tcPr>
          <w:p w14:paraId="1640B759"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Elastic Net</w:t>
            </w:r>
          </w:p>
        </w:tc>
        <w:tc>
          <w:tcPr>
            <w:tcW w:w="1016" w:type="dxa"/>
            <w:vAlign w:val="center"/>
          </w:tcPr>
          <w:p w14:paraId="4BC684E2"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0.7523</w:t>
            </w:r>
          </w:p>
        </w:tc>
        <w:tc>
          <w:tcPr>
            <w:tcW w:w="1016" w:type="dxa"/>
            <w:vAlign w:val="center"/>
          </w:tcPr>
          <w:p w14:paraId="19E4AABF"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0.7208</w:t>
            </w:r>
          </w:p>
        </w:tc>
        <w:tc>
          <w:tcPr>
            <w:tcW w:w="1016" w:type="dxa"/>
            <w:vAlign w:val="center"/>
          </w:tcPr>
          <w:p w14:paraId="7477104A"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3.8156</w:t>
            </w:r>
          </w:p>
        </w:tc>
        <w:tc>
          <w:tcPr>
            <w:tcW w:w="1016" w:type="dxa"/>
            <w:vAlign w:val="center"/>
          </w:tcPr>
          <w:p w14:paraId="16B8DBD9"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2.3498</w:t>
            </w:r>
          </w:p>
        </w:tc>
        <w:tc>
          <w:tcPr>
            <w:tcW w:w="1029" w:type="dxa"/>
            <w:vAlign w:val="center"/>
          </w:tcPr>
          <w:p w14:paraId="4CD6DC2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0.7343</w:t>
            </w:r>
          </w:p>
        </w:tc>
        <w:tc>
          <w:tcPr>
            <w:tcW w:w="1016" w:type="dxa"/>
            <w:vAlign w:val="center"/>
          </w:tcPr>
          <w:p w14:paraId="69C80F6B"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0.0379</w:t>
            </w:r>
          </w:p>
        </w:tc>
      </w:tr>
      <w:tr w:rsidR="00130B37" w:rsidRPr="00130B37" w14:paraId="06655CF9" w14:textId="77777777" w:rsidTr="002C508A">
        <w:trPr>
          <w:trHeight w:val="309"/>
        </w:trPr>
        <w:tc>
          <w:tcPr>
            <w:cnfStyle w:val="001000000000" w:firstRow="0" w:lastRow="0" w:firstColumn="1" w:lastColumn="0" w:oddVBand="0" w:evenVBand="0" w:oddHBand="0" w:evenHBand="0" w:firstRowFirstColumn="0" w:firstRowLastColumn="0" w:lastRowFirstColumn="0" w:lastRowLastColumn="0"/>
            <w:tcW w:w="1450" w:type="dxa"/>
            <w:vMerge w:val="restart"/>
            <w:vAlign w:val="center"/>
          </w:tcPr>
          <w:p w14:paraId="3110F083" w14:textId="77777777" w:rsidR="00130B37" w:rsidRPr="00130B37" w:rsidRDefault="00130B37" w:rsidP="00000BC3">
            <w:r w:rsidRPr="00130B37">
              <w:t>Developed Cities</w:t>
            </w:r>
          </w:p>
        </w:tc>
        <w:tc>
          <w:tcPr>
            <w:tcW w:w="1094" w:type="dxa"/>
            <w:vAlign w:val="center"/>
          </w:tcPr>
          <w:p w14:paraId="71E7AFC6"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GBDT</w:t>
            </w:r>
          </w:p>
        </w:tc>
        <w:tc>
          <w:tcPr>
            <w:tcW w:w="1016" w:type="dxa"/>
            <w:vAlign w:val="center"/>
          </w:tcPr>
          <w:p w14:paraId="604F2521"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0.9931</w:t>
            </w:r>
          </w:p>
        </w:tc>
        <w:tc>
          <w:tcPr>
            <w:tcW w:w="1016" w:type="dxa"/>
            <w:vAlign w:val="center"/>
          </w:tcPr>
          <w:p w14:paraId="575059E6"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0.9403</w:t>
            </w:r>
          </w:p>
        </w:tc>
        <w:tc>
          <w:tcPr>
            <w:tcW w:w="1016" w:type="dxa"/>
            <w:vAlign w:val="center"/>
          </w:tcPr>
          <w:p w14:paraId="4095B082"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0.9429</w:t>
            </w:r>
          </w:p>
        </w:tc>
        <w:tc>
          <w:tcPr>
            <w:tcW w:w="1016" w:type="dxa"/>
            <w:vAlign w:val="center"/>
          </w:tcPr>
          <w:p w14:paraId="49A150E7"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1.8730</w:t>
            </w:r>
          </w:p>
        </w:tc>
        <w:tc>
          <w:tcPr>
            <w:tcW w:w="1029" w:type="dxa"/>
            <w:vAlign w:val="center"/>
          </w:tcPr>
          <w:p w14:paraId="4CA99A6A"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0.9306</w:t>
            </w:r>
          </w:p>
        </w:tc>
        <w:tc>
          <w:tcPr>
            <w:tcW w:w="1016" w:type="dxa"/>
            <w:vAlign w:val="center"/>
          </w:tcPr>
          <w:p w14:paraId="2195AEF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0.0174</w:t>
            </w:r>
          </w:p>
        </w:tc>
      </w:tr>
      <w:tr w:rsidR="00130B37" w:rsidRPr="00130B37" w14:paraId="14F9108B"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79AC74E0" w14:textId="77777777" w:rsidR="00130B37" w:rsidRPr="00130B37" w:rsidRDefault="00130B37" w:rsidP="00000BC3"/>
        </w:tc>
        <w:tc>
          <w:tcPr>
            <w:tcW w:w="1094" w:type="dxa"/>
            <w:vAlign w:val="center"/>
          </w:tcPr>
          <w:p w14:paraId="680CACF5"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XGBoost</w:t>
            </w:r>
          </w:p>
        </w:tc>
        <w:tc>
          <w:tcPr>
            <w:tcW w:w="1016" w:type="dxa"/>
            <w:vAlign w:val="center"/>
          </w:tcPr>
          <w:p w14:paraId="49542F4F"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0.9911</w:t>
            </w:r>
          </w:p>
        </w:tc>
        <w:tc>
          <w:tcPr>
            <w:tcW w:w="1016" w:type="dxa"/>
            <w:vAlign w:val="center"/>
          </w:tcPr>
          <w:p w14:paraId="3DA7D0A7"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0.9389</w:t>
            </w:r>
          </w:p>
        </w:tc>
        <w:tc>
          <w:tcPr>
            <w:tcW w:w="1016" w:type="dxa"/>
            <w:vAlign w:val="center"/>
          </w:tcPr>
          <w:p w14:paraId="69FC602C"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1.0693</w:t>
            </w:r>
          </w:p>
        </w:tc>
        <w:tc>
          <w:tcPr>
            <w:tcW w:w="1016" w:type="dxa"/>
            <w:vAlign w:val="center"/>
          </w:tcPr>
          <w:p w14:paraId="12025918"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1.8435</w:t>
            </w:r>
          </w:p>
        </w:tc>
        <w:tc>
          <w:tcPr>
            <w:tcW w:w="1029" w:type="dxa"/>
            <w:vAlign w:val="center"/>
          </w:tcPr>
          <w:p w14:paraId="7F20B0C7"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0.9305</w:t>
            </w:r>
          </w:p>
        </w:tc>
        <w:tc>
          <w:tcPr>
            <w:tcW w:w="1016" w:type="dxa"/>
            <w:vAlign w:val="center"/>
          </w:tcPr>
          <w:p w14:paraId="242AB1F0"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0.0206</w:t>
            </w:r>
          </w:p>
        </w:tc>
      </w:tr>
      <w:tr w:rsidR="00130B37" w:rsidRPr="00130B37" w14:paraId="0109D8D2"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31FC5B7F" w14:textId="77777777" w:rsidR="00130B37" w:rsidRPr="00130B37" w:rsidRDefault="00130B37" w:rsidP="00000BC3"/>
        </w:tc>
        <w:tc>
          <w:tcPr>
            <w:tcW w:w="1094" w:type="dxa"/>
            <w:vAlign w:val="center"/>
          </w:tcPr>
          <w:p w14:paraId="394ED70D"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Random Forest</w:t>
            </w:r>
          </w:p>
        </w:tc>
        <w:tc>
          <w:tcPr>
            <w:tcW w:w="1016" w:type="dxa"/>
            <w:vAlign w:val="center"/>
          </w:tcPr>
          <w:p w14:paraId="209CE53E"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0.9835</w:t>
            </w:r>
          </w:p>
        </w:tc>
        <w:tc>
          <w:tcPr>
            <w:tcW w:w="1016" w:type="dxa"/>
            <w:vAlign w:val="center"/>
          </w:tcPr>
          <w:p w14:paraId="3E1334FE"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0.9162</w:t>
            </w:r>
          </w:p>
        </w:tc>
        <w:tc>
          <w:tcPr>
            <w:tcW w:w="1016" w:type="dxa"/>
            <w:vAlign w:val="center"/>
          </w:tcPr>
          <w:p w14:paraId="01E4DA54"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1.4542</w:t>
            </w:r>
          </w:p>
        </w:tc>
        <w:tc>
          <w:tcPr>
            <w:tcW w:w="1016" w:type="dxa"/>
            <w:vAlign w:val="center"/>
          </w:tcPr>
          <w:p w14:paraId="43988B21"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2.1415</w:t>
            </w:r>
          </w:p>
        </w:tc>
        <w:tc>
          <w:tcPr>
            <w:tcW w:w="1029" w:type="dxa"/>
            <w:vAlign w:val="center"/>
          </w:tcPr>
          <w:p w14:paraId="4E1E36D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0.9136</w:t>
            </w:r>
          </w:p>
        </w:tc>
        <w:tc>
          <w:tcPr>
            <w:tcW w:w="1016" w:type="dxa"/>
            <w:vAlign w:val="center"/>
          </w:tcPr>
          <w:p w14:paraId="782A1238"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0.0199</w:t>
            </w:r>
          </w:p>
        </w:tc>
      </w:tr>
      <w:tr w:rsidR="00130B37" w:rsidRPr="00130B37" w14:paraId="6E79CABF"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71CFA81C" w14:textId="77777777" w:rsidR="00130B37" w:rsidRPr="00130B37" w:rsidRDefault="00130B37" w:rsidP="00000BC3"/>
        </w:tc>
        <w:tc>
          <w:tcPr>
            <w:tcW w:w="1094" w:type="dxa"/>
            <w:vAlign w:val="center"/>
          </w:tcPr>
          <w:p w14:paraId="46712060" w14:textId="04C5D4F0" w:rsidR="00130B37" w:rsidRPr="00130B37" w:rsidRDefault="005D5D86" w:rsidP="00000BC3">
            <w:pPr>
              <w:cnfStyle w:val="000000000000" w:firstRow="0" w:lastRow="0" w:firstColumn="0" w:lastColumn="0" w:oddVBand="0" w:evenVBand="0" w:oddHBand="0" w:evenHBand="0" w:firstRowFirstColumn="0" w:firstRowLastColumn="0" w:lastRowFirstColumn="0" w:lastRowLastColumn="0"/>
            </w:pPr>
            <w:r w:rsidRPr="005D5D86">
              <w:t>Linear Regression</w:t>
            </w:r>
          </w:p>
        </w:tc>
        <w:tc>
          <w:tcPr>
            <w:tcW w:w="1016" w:type="dxa"/>
            <w:vAlign w:val="center"/>
          </w:tcPr>
          <w:p w14:paraId="7CF3DEF5"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0.8571</w:t>
            </w:r>
          </w:p>
        </w:tc>
        <w:tc>
          <w:tcPr>
            <w:tcW w:w="1016" w:type="dxa"/>
            <w:vAlign w:val="center"/>
          </w:tcPr>
          <w:p w14:paraId="32BD6646"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0.8111</w:t>
            </w:r>
          </w:p>
        </w:tc>
        <w:tc>
          <w:tcPr>
            <w:tcW w:w="1016" w:type="dxa"/>
            <w:vAlign w:val="center"/>
          </w:tcPr>
          <w:p w14:paraId="27095C47"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4.2846</w:t>
            </w:r>
          </w:p>
        </w:tc>
        <w:tc>
          <w:tcPr>
            <w:tcW w:w="1016" w:type="dxa"/>
            <w:vAlign w:val="center"/>
          </w:tcPr>
          <w:p w14:paraId="2D25E942"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3.5686</w:t>
            </w:r>
          </w:p>
        </w:tc>
        <w:tc>
          <w:tcPr>
            <w:tcW w:w="1029" w:type="dxa"/>
            <w:vAlign w:val="center"/>
          </w:tcPr>
          <w:p w14:paraId="22725E2C"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0.8270</w:t>
            </w:r>
          </w:p>
        </w:tc>
        <w:tc>
          <w:tcPr>
            <w:tcW w:w="1016" w:type="dxa"/>
            <w:vAlign w:val="center"/>
          </w:tcPr>
          <w:p w14:paraId="1893859E"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0.0484</w:t>
            </w:r>
          </w:p>
        </w:tc>
      </w:tr>
      <w:tr w:rsidR="00130B37" w:rsidRPr="00130B37" w14:paraId="6B976DF8"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5164051C" w14:textId="77777777" w:rsidR="00130B37" w:rsidRPr="00130B37" w:rsidRDefault="00130B37" w:rsidP="00000BC3"/>
        </w:tc>
        <w:tc>
          <w:tcPr>
            <w:tcW w:w="1094" w:type="dxa"/>
            <w:vAlign w:val="center"/>
          </w:tcPr>
          <w:p w14:paraId="0524E99A"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Elastic Net</w:t>
            </w:r>
          </w:p>
        </w:tc>
        <w:tc>
          <w:tcPr>
            <w:tcW w:w="1016" w:type="dxa"/>
            <w:vAlign w:val="center"/>
          </w:tcPr>
          <w:p w14:paraId="74227808"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0.8043</w:t>
            </w:r>
          </w:p>
        </w:tc>
        <w:tc>
          <w:tcPr>
            <w:tcW w:w="1016" w:type="dxa"/>
            <w:vAlign w:val="center"/>
          </w:tcPr>
          <w:p w14:paraId="6963C8DC"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0.7326</w:t>
            </w:r>
          </w:p>
        </w:tc>
        <w:tc>
          <w:tcPr>
            <w:tcW w:w="1016" w:type="dxa"/>
            <w:vAlign w:val="center"/>
          </w:tcPr>
          <w:p w14:paraId="341D86CD"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5.0139</w:t>
            </w:r>
          </w:p>
        </w:tc>
        <w:tc>
          <w:tcPr>
            <w:tcW w:w="1016" w:type="dxa"/>
            <w:vAlign w:val="center"/>
          </w:tcPr>
          <w:p w14:paraId="6BC92902"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4.1446</w:t>
            </w:r>
          </w:p>
        </w:tc>
        <w:tc>
          <w:tcPr>
            <w:tcW w:w="1029" w:type="dxa"/>
            <w:vAlign w:val="center"/>
          </w:tcPr>
          <w:p w14:paraId="1F3716F5"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0.7666</w:t>
            </w:r>
          </w:p>
        </w:tc>
        <w:tc>
          <w:tcPr>
            <w:tcW w:w="1016" w:type="dxa"/>
            <w:vAlign w:val="center"/>
          </w:tcPr>
          <w:p w14:paraId="1F7877C4"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0.0615</w:t>
            </w:r>
          </w:p>
        </w:tc>
      </w:tr>
      <w:tr w:rsidR="00130B37" w:rsidRPr="00130B37" w14:paraId="7C7BEA59" w14:textId="77777777" w:rsidTr="002C508A">
        <w:trPr>
          <w:trHeight w:val="317"/>
        </w:trPr>
        <w:tc>
          <w:tcPr>
            <w:cnfStyle w:val="001000000000" w:firstRow="0" w:lastRow="0" w:firstColumn="1" w:lastColumn="0" w:oddVBand="0" w:evenVBand="0" w:oddHBand="0" w:evenHBand="0" w:firstRowFirstColumn="0" w:firstRowLastColumn="0" w:lastRowFirstColumn="0" w:lastRowLastColumn="0"/>
            <w:tcW w:w="1450" w:type="dxa"/>
            <w:vMerge w:val="restart"/>
            <w:vAlign w:val="center"/>
          </w:tcPr>
          <w:p w14:paraId="2B62C625" w14:textId="77777777" w:rsidR="00130B37" w:rsidRPr="00130B37" w:rsidRDefault="00130B37" w:rsidP="00000BC3">
            <w:r w:rsidRPr="00130B37">
              <w:t>Undeveloped Cities</w:t>
            </w:r>
          </w:p>
        </w:tc>
        <w:tc>
          <w:tcPr>
            <w:tcW w:w="1094" w:type="dxa"/>
            <w:vAlign w:val="center"/>
          </w:tcPr>
          <w:p w14:paraId="07584772"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GBDT</w:t>
            </w:r>
          </w:p>
        </w:tc>
        <w:tc>
          <w:tcPr>
            <w:tcW w:w="1016" w:type="dxa"/>
            <w:vAlign w:val="center"/>
          </w:tcPr>
          <w:p w14:paraId="60B9974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0.9769</w:t>
            </w:r>
          </w:p>
        </w:tc>
        <w:tc>
          <w:tcPr>
            <w:tcW w:w="1016" w:type="dxa"/>
            <w:vAlign w:val="center"/>
          </w:tcPr>
          <w:p w14:paraId="4AECBDAE"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0.9088</w:t>
            </w:r>
          </w:p>
        </w:tc>
        <w:tc>
          <w:tcPr>
            <w:tcW w:w="1016" w:type="dxa"/>
            <w:vAlign w:val="center"/>
          </w:tcPr>
          <w:p w14:paraId="77359BF7"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0.4835</w:t>
            </w:r>
          </w:p>
        </w:tc>
        <w:tc>
          <w:tcPr>
            <w:tcW w:w="1016" w:type="dxa"/>
            <w:vAlign w:val="center"/>
          </w:tcPr>
          <w:p w14:paraId="5EAD582D"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0.5738</w:t>
            </w:r>
          </w:p>
        </w:tc>
        <w:tc>
          <w:tcPr>
            <w:tcW w:w="1029" w:type="dxa"/>
            <w:vAlign w:val="center"/>
          </w:tcPr>
          <w:p w14:paraId="3B1CA385"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0.9033</w:t>
            </w:r>
          </w:p>
        </w:tc>
        <w:tc>
          <w:tcPr>
            <w:tcW w:w="1016" w:type="dxa"/>
            <w:vAlign w:val="center"/>
          </w:tcPr>
          <w:p w14:paraId="54B9F1BE"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0.0186</w:t>
            </w:r>
          </w:p>
        </w:tc>
      </w:tr>
      <w:tr w:rsidR="00130B37" w:rsidRPr="00130B37" w14:paraId="5D5E71E1"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38DA60DA" w14:textId="77777777" w:rsidR="00130B37" w:rsidRPr="00130B37" w:rsidRDefault="00130B37" w:rsidP="00000BC3"/>
        </w:tc>
        <w:tc>
          <w:tcPr>
            <w:tcW w:w="1094" w:type="dxa"/>
            <w:vAlign w:val="center"/>
          </w:tcPr>
          <w:p w14:paraId="2CC2633D"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XGBoost</w:t>
            </w:r>
          </w:p>
        </w:tc>
        <w:tc>
          <w:tcPr>
            <w:tcW w:w="1016" w:type="dxa"/>
            <w:vAlign w:val="center"/>
          </w:tcPr>
          <w:p w14:paraId="3865DF0C"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0.9722</w:t>
            </w:r>
          </w:p>
        </w:tc>
        <w:tc>
          <w:tcPr>
            <w:tcW w:w="1016" w:type="dxa"/>
            <w:vAlign w:val="center"/>
          </w:tcPr>
          <w:p w14:paraId="372A9891"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0.9040</w:t>
            </w:r>
          </w:p>
        </w:tc>
        <w:tc>
          <w:tcPr>
            <w:tcW w:w="1016" w:type="dxa"/>
            <w:vAlign w:val="center"/>
          </w:tcPr>
          <w:p w14:paraId="782BB7E8"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0.5310</w:t>
            </w:r>
          </w:p>
        </w:tc>
        <w:tc>
          <w:tcPr>
            <w:tcW w:w="1016" w:type="dxa"/>
            <w:vAlign w:val="center"/>
          </w:tcPr>
          <w:p w14:paraId="403B3931"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0.5977</w:t>
            </w:r>
          </w:p>
        </w:tc>
        <w:tc>
          <w:tcPr>
            <w:tcW w:w="1029" w:type="dxa"/>
            <w:vAlign w:val="center"/>
          </w:tcPr>
          <w:p w14:paraId="3B0DD4A8"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0.8964</w:t>
            </w:r>
          </w:p>
        </w:tc>
        <w:tc>
          <w:tcPr>
            <w:tcW w:w="1016" w:type="dxa"/>
            <w:vAlign w:val="center"/>
          </w:tcPr>
          <w:p w14:paraId="1CA4124A"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0.0282</w:t>
            </w:r>
          </w:p>
        </w:tc>
      </w:tr>
      <w:tr w:rsidR="00130B37" w:rsidRPr="00130B37" w14:paraId="5880E747"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0B43AC25" w14:textId="77777777" w:rsidR="00130B37" w:rsidRPr="00130B37" w:rsidRDefault="00130B37" w:rsidP="00000BC3"/>
        </w:tc>
        <w:tc>
          <w:tcPr>
            <w:tcW w:w="1094" w:type="dxa"/>
            <w:vAlign w:val="center"/>
          </w:tcPr>
          <w:p w14:paraId="3E2FAE08"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Random Forest</w:t>
            </w:r>
          </w:p>
        </w:tc>
        <w:tc>
          <w:tcPr>
            <w:tcW w:w="1016" w:type="dxa"/>
            <w:vAlign w:val="center"/>
          </w:tcPr>
          <w:p w14:paraId="46343149"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0.9702</w:t>
            </w:r>
          </w:p>
        </w:tc>
        <w:tc>
          <w:tcPr>
            <w:tcW w:w="1016" w:type="dxa"/>
            <w:vAlign w:val="center"/>
          </w:tcPr>
          <w:p w14:paraId="5B53A931"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0.8809</w:t>
            </w:r>
          </w:p>
        </w:tc>
        <w:tc>
          <w:tcPr>
            <w:tcW w:w="1016" w:type="dxa"/>
            <w:vAlign w:val="center"/>
          </w:tcPr>
          <w:p w14:paraId="338E9751"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0.5498</w:t>
            </w:r>
          </w:p>
        </w:tc>
        <w:tc>
          <w:tcPr>
            <w:tcW w:w="1016" w:type="dxa"/>
            <w:vAlign w:val="center"/>
          </w:tcPr>
          <w:p w14:paraId="004FC217"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0.6604</w:t>
            </w:r>
          </w:p>
        </w:tc>
        <w:tc>
          <w:tcPr>
            <w:tcW w:w="1029" w:type="dxa"/>
            <w:vAlign w:val="center"/>
          </w:tcPr>
          <w:p w14:paraId="0ED5A0A9"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0.8689</w:t>
            </w:r>
          </w:p>
        </w:tc>
        <w:tc>
          <w:tcPr>
            <w:tcW w:w="1016" w:type="dxa"/>
            <w:vAlign w:val="center"/>
          </w:tcPr>
          <w:p w14:paraId="34811EA1"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0.0345</w:t>
            </w:r>
          </w:p>
        </w:tc>
      </w:tr>
      <w:tr w:rsidR="00130B37" w:rsidRPr="00130B37" w14:paraId="63E63BF0"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64356436" w14:textId="77777777" w:rsidR="00130B37" w:rsidRPr="00130B37" w:rsidRDefault="00130B37" w:rsidP="00000BC3"/>
        </w:tc>
        <w:tc>
          <w:tcPr>
            <w:tcW w:w="1094" w:type="dxa"/>
            <w:vAlign w:val="center"/>
          </w:tcPr>
          <w:p w14:paraId="6F524827" w14:textId="6FE9531C" w:rsidR="00130B37" w:rsidRPr="00130B37" w:rsidRDefault="005D5D86" w:rsidP="00000BC3">
            <w:pPr>
              <w:cnfStyle w:val="000000000000" w:firstRow="0" w:lastRow="0" w:firstColumn="0" w:lastColumn="0" w:oddVBand="0" w:evenVBand="0" w:oddHBand="0" w:evenHBand="0" w:firstRowFirstColumn="0" w:firstRowLastColumn="0" w:lastRowFirstColumn="0" w:lastRowLastColumn="0"/>
            </w:pPr>
            <w:r w:rsidRPr="005D5D86">
              <w:t>Linear Regression</w:t>
            </w:r>
          </w:p>
        </w:tc>
        <w:tc>
          <w:tcPr>
            <w:tcW w:w="1016" w:type="dxa"/>
            <w:vAlign w:val="center"/>
          </w:tcPr>
          <w:p w14:paraId="42A6E685"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0.7724</w:t>
            </w:r>
          </w:p>
        </w:tc>
        <w:tc>
          <w:tcPr>
            <w:tcW w:w="1016" w:type="dxa"/>
            <w:vAlign w:val="center"/>
          </w:tcPr>
          <w:p w14:paraId="17E65AF4"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0.7552</w:t>
            </w:r>
          </w:p>
        </w:tc>
        <w:tc>
          <w:tcPr>
            <w:tcW w:w="1016" w:type="dxa"/>
            <w:vAlign w:val="center"/>
          </w:tcPr>
          <w:p w14:paraId="7B3C05EC"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1.5187</w:t>
            </w:r>
          </w:p>
        </w:tc>
        <w:tc>
          <w:tcPr>
            <w:tcW w:w="1016" w:type="dxa"/>
            <w:vAlign w:val="center"/>
          </w:tcPr>
          <w:p w14:paraId="48BC3348"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0.9818</w:t>
            </w:r>
          </w:p>
        </w:tc>
        <w:tc>
          <w:tcPr>
            <w:tcW w:w="1029" w:type="dxa"/>
            <w:vAlign w:val="center"/>
          </w:tcPr>
          <w:p w14:paraId="7708376E"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0.7515</w:t>
            </w:r>
          </w:p>
        </w:tc>
        <w:tc>
          <w:tcPr>
            <w:tcW w:w="1016" w:type="dxa"/>
            <w:vAlign w:val="center"/>
          </w:tcPr>
          <w:p w14:paraId="114374D8"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0.0274</w:t>
            </w:r>
          </w:p>
        </w:tc>
      </w:tr>
      <w:tr w:rsidR="00130B37" w:rsidRPr="00130B37" w14:paraId="09C5193F"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12964C3E" w14:textId="77777777" w:rsidR="00130B37" w:rsidRPr="00130B37" w:rsidRDefault="00130B37" w:rsidP="00000BC3"/>
        </w:tc>
        <w:tc>
          <w:tcPr>
            <w:tcW w:w="1094" w:type="dxa"/>
            <w:vAlign w:val="center"/>
          </w:tcPr>
          <w:p w14:paraId="2AF7A92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Elastic Net</w:t>
            </w:r>
          </w:p>
        </w:tc>
        <w:tc>
          <w:tcPr>
            <w:tcW w:w="1016" w:type="dxa"/>
            <w:vAlign w:val="center"/>
          </w:tcPr>
          <w:p w14:paraId="7A20698B"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0.6748</w:t>
            </w:r>
          </w:p>
        </w:tc>
        <w:tc>
          <w:tcPr>
            <w:tcW w:w="1016" w:type="dxa"/>
            <w:vAlign w:val="center"/>
          </w:tcPr>
          <w:p w14:paraId="487E04CA"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0.6559</w:t>
            </w:r>
          </w:p>
        </w:tc>
        <w:tc>
          <w:tcPr>
            <w:tcW w:w="1016" w:type="dxa"/>
            <w:vAlign w:val="center"/>
          </w:tcPr>
          <w:p w14:paraId="258A86A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1.8152</w:t>
            </w:r>
          </w:p>
        </w:tc>
        <w:tc>
          <w:tcPr>
            <w:tcW w:w="1016" w:type="dxa"/>
            <w:vAlign w:val="center"/>
          </w:tcPr>
          <w:p w14:paraId="4E5BD91B"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1.1044</w:t>
            </w:r>
          </w:p>
        </w:tc>
        <w:tc>
          <w:tcPr>
            <w:tcW w:w="1029" w:type="dxa"/>
            <w:vAlign w:val="center"/>
          </w:tcPr>
          <w:p w14:paraId="34A4BBFF"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0.6578</w:t>
            </w:r>
          </w:p>
        </w:tc>
        <w:tc>
          <w:tcPr>
            <w:tcW w:w="1016" w:type="dxa"/>
            <w:vAlign w:val="center"/>
          </w:tcPr>
          <w:p w14:paraId="2ECD01A6"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0.0445</w:t>
            </w:r>
          </w:p>
        </w:tc>
      </w:tr>
      <w:tr w:rsidR="00130B37" w:rsidRPr="00130B37" w14:paraId="7C79F70D" w14:textId="77777777" w:rsidTr="002C508A">
        <w:trPr>
          <w:trHeight w:val="317"/>
        </w:trPr>
        <w:tc>
          <w:tcPr>
            <w:cnfStyle w:val="001000000000" w:firstRow="0" w:lastRow="0" w:firstColumn="1" w:lastColumn="0" w:oddVBand="0" w:evenVBand="0" w:oddHBand="0" w:evenHBand="0" w:firstRowFirstColumn="0" w:firstRowLastColumn="0" w:lastRowFirstColumn="0" w:lastRowLastColumn="0"/>
            <w:tcW w:w="1450" w:type="dxa"/>
            <w:vMerge w:val="restart"/>
            <w:vAlign w:val="center"/>
          </w:tcPr>
          <w:p w14:paraId="6966347D" w14:textId="77777777" w:rsidR="00130B37" w:rsidRPr="00130B37" w:rsidRDefault="00130B37" w:rsidP="00000BC3">
            <w:r w:rsidRPr="00130B37">
              <w:t>Large Cities</w:t>
            </w:r>
          </w:p>
        </w:tc>
        <w:tc>
          <w:tcPr>
            <w:tcW w:w="1094" w:type="dxa"/>
            <w:vAlign w:val="center"/>
          </w:tcPr>
          <w:p w14:paraId="10F89EDE"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XGBoost</w:t>
            </w:r>
          </w:p>
        </w:tc>
        <w:tc>
          <w:tcPr>
            <w:tcW w:w="1016" w:type="dxa"/>
            <w:vAlign w:val="center"/>
          </w:tcPr>
          <w:p w14:paraId="2CF35D00"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0.9917</w:t>
            </w:r>
          </w:p>
        </w:tc>
        <w:tc>
          <w:tcPr>
            <w:tcW w:w="1016" w:type="dxa"/>
            <w:vAlign w:val="center"/>
          </w:tcPr>
          <w:p w14:paraId="0F43A53D"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0.9323</w:t>
            </w:r>
          </w:p>
        </w:tc>
        <w:tc>
          <w:tcPr>
            <w:tcW w:w="1016" w:type="dxa"/>
            <w:vAlign w:val="center"/>
          </w:tcPr>
          <w:p w14:paraId="3126DFA4"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0.9599</w:t>
            </w:r>
          </w:p>
        </w:tc>
        <w:tc>
          <w:tcPr>
            <w:tcW w:w="1016" w:type="dxa"/>
            <w:vAlign w:val="center"/>
          </w:tcPr>
          <w:p w14:paraId="3B5E5F2F"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1.4655</w:t>
            </w:r>
          </w:p>
        </w:tc>
        <w:tc>
          <w:tcPr>
            <w:tcW w:w="1029" w:type="dxa"/>
            <w:vAlign w:val="center"/>
          </w:tcPr>
          <w:p w14:paraId="2E76684A"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0.9465</w:t>
            </w:r>
          </w:p>
        </w:tc>
        <w:tc>
          <w:tcPr>
            <w:tcW w:w="1016" w:type="dxa"/>
            <w:vAlign w:val="center"/>
          </w:tcPr>
          <w:p w14:paraId="0F8BAD09"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0.0186</w:t>
            </w:r>
          </w:p>
        </w:tc>
      </w:tr>
      <w:tr w:rsidR="00130B37" w:rsidRPr="00130B37" w14:paraId="2CFBD9D6"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6E07A42F" w14:textId="77777777" w:rsidR="00130B37" w:rsidRPr="00130B37" w:rsidRDefault="00130B37" w:rsidP="00000BC3"/>
        </w:tc>
        <w:tc>
          <w:tcPr>
            <w:tcW w:w="1094" w:type="dxa"/>
            <w:vAlign w:val="center"/>
          </w:tcPr>
          <w:p w14:paraId="36327FA8"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GBDT</w:t>
            </w:r>
          </w:p>
        </w:tc>
        <w:tc>
          <w:tcPr>
            <w:tcW w:w="1016" w:type="dxa"/>
            <w:vAlign w:val="center"/>
          </w:tcPr>
          <w:p w14:paraId="4A582F1D"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0.9939</w:t>
            </w:r>
          </w:p>
        </w:tc>
        <w:tc>
          <w:tcPr>
            <w:tcW w:w="1016" w:type="dxa"/>
            <w:vAlign w:val="center"/>
          </w:tcPr>
          <w:p w14:paraId="341458A2"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0.9298</w:t>
            </w:r>
          </w:p>
        </w:tc>
        <w:tc>
          <w:tcPr>
            <w:tcW w:w="1016" w:type="dxa"/>
            <w:vAlign w:val="center"/>
          </w:tcPr>
          <w:p w14:paraId="0B990450"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0.8262</w:t>
            </w:r>
          </w:p>
        </w:tc>
        <w:tc>
          <w:tcPr>
            <w:tcW w:w="1016" w:type="dxa"/>
            <w:vAlign w:val="center"/>
          </w:tcPr>
          <w:p w14:paraId="08473327"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1.4300</w:t>
            </w:r>
          </w:p>
        </w:tc>
        <w:tc>
          <w:tcPr>
            <w:tcW w:w="1029" w:type="dxa"/>
            <w:vAlign w:val="center"/>
          </w:tcPr>
          <w:p w14:paraId="2E821A96"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0.9456</w:t>
            </w:r>
          </w:p>
        </w:tc>
        <w:tc>
          <w:tcPr>
            <w:tcW w:w="1016" w:type="dxa"/>
            <w:vAlign w:val="center"/>
          </w:tcPr>
          <w:p w14:paraId="5042C7E7"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0.0204</w:t>
            </w:r>
          </w:p>
        </w:tc>
      </w:tr>
      <w:tr w:rsidR="00130B37" w:rsidRPr="00130B37" w14:paraId="6D9B5724"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54E0B651" w14:textId="77777777" w:rsidR="00130B37" w:rsidRPr="00130B37" w:rsidRDefault="00130B37" w:rsidP="00000BC3"/>
        </w:tc>
        <w:tc>
          <w:tcPr>
            <w:tcW w:w="1094" w:type="dxa"/>
            <w:vAlign w:val="center"/>
          </w:tcPr>
          <w:p w14:paraId="4BBF1785"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Random Forest</w:t>
            </w:r>
          </w:p>
        </w:tc>
        <w:tc>
          <w:tcPr>
            <w:tcW w:w="1016" w:type="dxa"/>
            <w:vAlign w:val="center"/>
          </w:tcPr>
          <w:p w14:paraId="7CF617D6"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0.9884</w:t>
            </w:r>
          </w:p>
        </w:tc>
        <w:tc>
          <w:tcPr>
            <w:tcW w:w="1016" w:type="dxa"/>
            <w:vAlign w:val="center"/>
          </w:tcPr>
          <w:p w14:paraId="07FD7ABC"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0.9124</w:t>
            </w:r>
          </w:p>
        </w:tc>
        <w:tc>
          <w:tcPr>
            <w:tcW w:w="1016" w:type="dxa"/>
            <w:vAlign w:val="center"/>
          </w:tcPr>
          <w:p w14:paraId="225A39DE"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1.1371</w:t>
            </w:r>
          </w:p>
        </w:tc>
        <w:tc>
          <w:tcPr>
            <w:tcW w:w="1016" w:type="dxa"/>
            <w:vAlign w:val="center"/>
          </w:tcPr>
          <w:p w14:paraId="7A6ABCA2"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1.6542</w:t>
            </w:r>
          </w:p>
        </w:tc>
        <w:tc>
          <w:tcPr>
            <w:tcW w:w="1029" w:type="dxa"/>
            <w:vAlign w:val="center"/>
          </w:tcPr>
          <w:p w14:paraId="6BD37B86"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0.9310</w:t>
            </w:r>
          </w:p>
        </w:tc>
        <w:tc>
          <w:tcPr>
            <w:tcW w:w="1016" w:type="dxa"/>
            <w:vAlign w:val="center"/>
          </w:tcPr>
          <w:p w14:paraId="2B36BA71"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0.0257</w:t>
            </w:r>
          </w:p>
        </w:tc>
      </w:tr>
      <w:tr w:rsidR="00130B37" w:rsidRPr="00130B37" w14:paraId="29F92FA9"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7B6AF4F7" w14:textId="77777777" w:rsidR="00130B37" w:rsidRPr="00130B37" w:rsidRDefault="00130B37" w:rsidP="00000BC3"/>
        </w:tc>
        <w:tc>
          <w:tcPr>
            <w:tcW w:w="1094" w:type="dxa"/>
            <w:vAlign w:val="center"/>
          </w:tcPr>
          <w:p w14:paraId="51448F5B" w14:textId="7F1D308F" w:rsidR="00130B37" w:rsidRPr="00130B37" w:rsidRDefault="005D5D86" w:rsidP="00000BC3">
            <w:pPr>
              <w:cnfStyle w:val="000000000000" w:firstRow="0" w:lastRow="0" w:firstColumn="0" w:lastColumn="0" w:oddVBand="0" w:evenVBand="0" w:oddHBand="0" w:evenHBand="0" w:firstRowFirstColumn="0" w:firstRowLastColumn="0" w:lastRowFirstColumn="0" w:lastRowLastColumn="0"/>
            </w:pPr>
            <w:r w:rsidRPr="005D5D86">
              <w:t>Linear Regression</w:t>
            </w:r>
          </w:p>
        </w:tc>
        <w:tc>
          <w:tcPr>
            <w:tcW w:w="1016" w:type="dxa"/>
            <w:vAlign w:val="center"/>
          </w:tcPr>
          <w:p w14:paraId="4E3C77FD"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0.8550</w:t>
            </w:r>
          </w:p>
        </w:tc>
        <w:tc>
          <w:tcPr>
            <w:tcW w:w="1016" w:type="dxa"/>
            <w:vAlign w:val="center"/>
          </w:tcPr>
          <w:p w14:paraId="00D40E4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0.8259</w:t>
            </w:r>
          </w:p>
        </w:tc>
        <w:tc>
          <w:tcPr>
            <w:tcW w:w="1016" w:type="dxa"/>
            <w:vAlign w:val="center"/>
          </w:tcPr>
          <w:p w14:paraId="6233E2A6"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4.0242</w:t>
            </w:r>
          </w:p>
        </w:tc>
        <w:tc>
          <w:tcPr>
            <w:tcW w:w="1016" w:type="dxa"/>
            <w:vAlign w:val="center"/>
          </w:tcPr>
          <w:p w14:paraId="7B8AF0FD"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2.8111</w:t>
            </w:r>
          </w:p>
        </w:tc>
        <w:tc>
          <w:tcPr>
            <w:tcW w:w="1029" w:type="dxa"/>
            <w:vAlign w:val="center"/>
          </w:tcPr>
          <w:p w14:paraId="1C4C1ACA"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0.8315</w:t>
            </w:r>
          </w:p>
        </w:tc>
        <w:tc>
          <w:tcPr>
            <w:tcW w:w="1016" w:type="dxa"/>
            <w:vAlign w:val="center"/>
          </w:tcPr>
          <w:p w14:paraId="2EAC7B0B"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0.0473</w:t>
            </w:r>
          </w:p>
        </w:tc>
      </w:tr>
      <w:tr w:rsidR="00130B37" w:rsidRPr="00130B37" w14:paraId="74BD0C65"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57A637FE" w14:textId="77777777" w:rsidR="00130B37" w:rsidRPr="00130B37" w:rsidRDefault="00130B37" w:rsidP="00000BC3"/>
        </w:tc>
        <w:tc>
          <w:tcPr>
            <w:tcW w:w="1094" w:type="dxa"/>
            <w:vAlign w:val="center"/>
          </w:tcPr>
          <w:p w14:paraId="1EBEDDB2"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Elastic Net</w:t>
            </w:r>
          </w:p>
        </w:tc>
        <w:tc>
          <w:tcPr>
            <w:tcW w:w="1016" w:type="dxa"/>
            <w:vAlign w:val="center"/>
          </w:tcPr>
          <w:p w14:paraId="1B4BC80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0.7918</w:t>
            </w:r>
          </w:p>
        </w:tc>
        <w:tc>
          <w:tcPr>
            <w:tcW w:w="1016" w:type="dxa"/>
            <w:vAlign w:val="center"/>
          </w:tcPr>
          <w:p w14:paraId="4544E678"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0.7342</w:t>
            </w:r>
          </w:p>
        </w:tc>
        <w:tc>
          <w:tcPr>
            <w:tcW w:w="1016" w:type="dxa"/>
            <w:vAlign w:val="center"/>
          </w:tcPr>
          <w:p w14:paraId="7F4A5917"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4.8215</w:t>
            </w:r>
          </w:p>
        </w:tc>
        <w:tc>
          <w:tcPr>
            <w:tcW w:w="1016" w:type="dxa"/>
            <w:vAlign w:val="center"/>
          </w:tcPr>
          <w:p w14:paraId="6248BCD7"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3.3258</w:t>
            </w:r>
          </w:p>
        </w:tc>
        <w:tc>
          <w:tcPr>
            <w:tcW w:w="1029" w:type="dxa"/>
            <w:vAlign w:val="center"/>
          </w:tcPr>
          <w:p w14:paraId="1B817D1E"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0.7591</w:t>
            </w:r>
          </w:p>
        </w:tc>
        <w:tc>
          <w:tcPr>
            <w:tcW w:w="1016" w:type="dxa"/>
            <w:vAlign w:val="center"/>
          </w:tcPr>
          <w:p w14:paraId="51A9A8C9"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0.0515</w:t>
            </w:r>
          </w:p>
        </w:tc>
      </w:tr>
      <w:tr w:rsidR="00130B37" w:rsidRPr="00130B37" w14:paraId="239D210E" w14:textId="77777777" w:rsidTr="002C508A">
        <w:trPr>
          <w:trHeight w:val="317"/>
        </w:trPr>
        <w:tc>
          <w:tcPr>
            <w:cnfStyle w:val="001000000000" w:firstRow="0" w:lastRow="0" w:firstColumn="1" w:lastColumn="0" w:oddVBand="0" w:evenVBand="0" w:oddHBand="0" w:evenHBand="0" w:firstRowFirstColumn="0" w:firstRowLastColumn="0" w:lastRowFirstColumn="0" w:lastRowLastColumn="0"/>
            <w:tcW w:w="1450" w:type="dxa"/>
            <w:vMerge w:val="restart"/>
            <w:vAlign w:val="center"/>
          </w:tcPr>
          <w:p w14:paraId="139175AE" w14:textId="77777777" w:rsidR="00130B37" w:rsidRPr="00130B37" w:rsidRDefault="00130B37" w:rsidP="00000BC3">
            <w:r w:rsidRPr="00130B37">
              <w:t>Medium and  Small Size Cities</w:t>
            </w:r>
          </w:p>
        </w:tc>
        <w:tc>
          <w:tcPr>
            <w:tcW w:w="1094" w:type="dxa"/>
            <w:vAlign w:val="center"/>
          </w:tcPr>
          <w:p w14:paraId="4E5C58C5"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XGBoost</w:t>
            </w:r>
          </w:p>
        </w:tc>
        <w:tc>
          <w:tcPr>
            <w:tcW w:w="1016" w:type="dxa"/>
            <w:vAlign w:val="center"/>
          </w:tcPr>
          <w:p w14:paraId="47C65F1F"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0.9808</w:t>
            </w:r>
          </w:p>
        </w:tc>
        <w:tc>
          <w:tcPr>
            <w:tcW w:w="1016" w:type="dxa"/>
            <w:vAlign w:val="center"/>
          </w:tcPr>
          <w:p w14:paraId="203C152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0.8971</w:t>
            </w:r>
          </w:p>
        </w:tc>
        <w:tc>
          <w:tcPr>
            <w:tcW w:w="1016" w:type="dxa"/>
            <w:vAlign w:val="center"/>
          </w:tcPr>
          <w:p w14:paraId="3C039045"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0.5017</w:t>
            </w:r>
          </w:p>
        </w:tc>
        <w:tc>
          <w:tcPr>
            <w:tcW w:w="1016" w:type="dxa"/>
            <w:vAlign w:val="center"/>
          </w:tcPr>
          <w:p w14:paraId="6FC27584"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0.6492</w:t>
            </w:r>
          </w:p>
        </w:tc>
        <w:tc>
          <w:tcPr>
            <w:tcW w:w="1029" w:type="dxa"/>
            <w:vAlign w:val="center"/>
          </w:tcPr>
          <w:p w14:paraId="1223299D"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0.9182</w:t>
            </w:r>
          </w:p>
        </w:tc>
        <w:tc>
          <w:tcPr>
            <w:tcW w:w="1016" w:type="dxa"/>
            <w:vAlign w:val="center"/>
          </w:tcPr>
          <w:p w14:paraId="6A002BCC"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0.0191</w:t>
            </w:r>
          </w:p>
        </w:tc>
      </w:tr>
      <w:tr w:rsidR="00130B37" w:rsidRPr="00130B37" w14:paraId="7988444F"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5E09D7CC" w14:textId="77777777" w:rsidR="00130B37" w:rsidRPr="00130B37" w:rsidRDefault="00130B37" w:rsidP="00000BC3"/>
        </w:tc>
        <w:tc>
          <w:tcPr>
            <w:tcW w:w="1094" w:type="dxa"/>
            <w:vAlign w:val="center"/>
          </w:tcPr>
          <w:p w14:paraId="3AA8926A"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GBDT</w:t>
            </w:r>
          </w:p>
        </w:tc>
        <w:tc>
          <w:tcPr>
            <w:tcW w:w="1016" w:type="dxa"/>
            <w:vAlign w:val="center"/>
          </w:tcPr>
          <w:p w14:paraId="7005B629"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0.9845</w:t>
            </w:r>
          </w:p>
        </w:tc>
        <w:tc>
          <w:tcPr>
            <w:tcW w:w="1016" w:type="dxa"/>
            <w:vAlign w:val="center"/>
          </w:tcPr>
          <w:p w14:paraId="262A31F1"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0.8883</w:t>
            </w:r>
          </w:p>
        </w:tc>
        <w:tc>
          <w:tcPr>
            <w:tcW w:w="1016" w:type="dxa"/>
            <w:vAlign w:val="center"/>
          </w:tcPr>
          <w:p w14:paraId="3BCAA585"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0.4504</w:t>
            </w:r>
          </w:p>
        </w:tc>
        <w:tc>
          <w:tcPr>
            <w:tcW w:w="1016" w:type="dxa"/>
            <w:vAlign w:val="center"/>
          </w:tcPr>
          <w:p w14:paraId="683CB748"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0.6582</w:t>
            </w:r>
          </w:p>
        </w:tc>
        <w:tc>
          <w:tcPr>
            <w:tcW w:w="1029" w:type="dxa"/>
            <w:vAlign w:val="center"/>
          </w:tcPr>
          <w:p w14:paraId="7C50286F"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0.9208</w:t>
            </w:r>
          </w:p>
        </w:tc>
        <w:tc>
          <w:tcPr>
            <w:tcW w:w="1016" w:type="dxa"/>
            <w:vAlign w:val="center"/>
          </w:tcPr>
          <w:p w14:paraId="2A2C1E04"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0.0206</w:t>
            </w:r>
          </w:p>
        </w:tc>
      </w:tr>
      <w:tr w:rsidR="00130B37" w:rsidRPr="00130B37" w14:paraId="586E637A"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7BB18820" w14:textId="77777777" w:rsidR="00130B37" w:rsidRPr="00130B37" w:rsidRDefault="00130B37" w:rsidP="00000BC3"/>
        </w:tc>
        <w:tc>
          <w:tcPr>
            <w:tcW w:w="1094" w:type="dxa"/>
            <w:vAlign w:val="center"/>
          </w:tcPr>
          <w:p w14:paraId="64C03686"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Random Forest</w:t>
            </w:r>
          </w:p>
        </w:tc>
        <w:tc>
          <w:tcPr>
            <w:tcW w:w="1016" w:type="dxa"/>
            <w:vAlign w:val="center"/>
          </w:tcPr>
          <w:p w14:paraId="3CF8991B"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0.9777</w:t>
            </w:r>
          </w:p>
        </w:tc>
        <w:tc>
          <w:tcPr>
            <w:tcW w:w="1016" w:type="dxa"/>
            <w:vAlign w:val="center"/>
          </w:tcPr>
          <w:p w14:paraId="2816864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0.8603</w:t>
            </w:r>
          </w:p>
        </w:tc>
        <w:tc>
          <w:tcPr>
            <w:tcW w:w="1016" w:type="dxa"/>
            <w:vAlign w:val="center"/>
          </w:tcPr>
          <w:p w14:paraId="03298FEF"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0.5405</w:t>
            </w:r>
          </w:p>
        </w:tc>
        <w:tc>
          <w:tcPr>
            <w:tcW w:w="1016" w:type="dxa"/>
            <w:vAlign w:val="center"/>
          </w:tcPr>
          <w:p w14:paraId="6C83844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0.7165</w:t>
            </w:r>
          </w:p>
        </w:tc>
        <w:tc>
          <w:tcPr>
            <w:tcW w:w="1029" w:type="dxa"/>
            <w:vAlign w:val="center"/>
          </w:tcPr>
          <w:p w14:paraId="0C75E047"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0.8997</w:t>
            </w:r>
          </w:p>
        </w:tc>
        <w:tc>
          <w:tcPr>
            <w:tcW w:w="1016" w:type="dxa"/>
            <w:vAlign w:val="center"/>
          </w:tcPr>
          <w:p w14:paraId="2129B76C"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0.0227</w:t>
            </w:r>
          </w:p>
        </w:tc>
      </w:tr>
      <w:tr w:rsidR="00130B37" w:rsidRPr="00130B37" w14:paraId="5EA17AEE"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1DEB36D5" w14:textId="77777777" w:rsidR="00130B37" w:rsidRPr="00130B37" w:rsidRDefault="00130B37" w:rsidP="00000BC3"/>
        </w:tc>
        <w:tc>
          <w:tcPr>
            <w:tcW w:w="1094" w:type="dxa"/>
            <w:vAlign w:val="center"/>
          </w:tcPr>
          <w:p w14:paraId="63A3585A" w14:textId="7C8DD8C7" w:rsidR="00130B37" w:rsidRPr="00130B37" w:rsidRDefault="005D5D86" w:rsidP="00000BC3">
            <w:pPr>
              <w:cnfStyle w:val="000000000000" w:firstRow="0" w:lastRow="0" w:firstColumn="0" w:lastColumn="0" w:oddVBand="0" w:evenVBand="0" w:oddHBand="0" w:evenHBand="0" w:firstRowFirstColumn="0" w:firstRowLastColumn="0" w:lastRowFirstColumn="0" w:lastRowLastColumn="0"/>
            </w:pPr>
            <w:r w:rsidRPr="005D5D86">
              <w:t>Linear Regression</w:t>
            </w:r>
          </w:p>
        </w:tc>
        <w:tc>
          <w:tcPr>
            <w:tcW w:w="1016" w:type="dxa"/>
            <w:vAlign w:val="center"/>
          </w:tcPr>
          <w:p w14:paraId="0C815FC5"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0.7988</w:t>
            </w:r>
          </w:p>
        </w:tc>
        <w:tc>
          <w:tcPr>
            <w:tcW w:w="1016" w:type="dxa"/>
            <w:vAlign w:val="center"/>
          </w:tcPr>
          <w:p w14:paraId="5A43D1B2"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0.7335</w:t>
            </w:r>
          </w:p>
        </w:tc>
        <w:tc>
          <w:tcPr>
            <w:tcW w:w="1016" w:type="dxa"/>
            <w:vAlign w:val="center"/>
          </w:tcPr>
          <w:p w14:paraId="76D07E4A"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1.6236</w:t>
            </w:r>
          </w:p>
        </w:tc>
        <w:tc>
          <w:tcPr>
            <w:tcW w:w="1016" w:type="dxa"/>
            <w:vAlign w:val="center"/>
          </w:tcPr>
          <w:p w14:paraId="3789DAEA"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1.1086</w:t>
            </w:r>
          </w:p>
        </w:tc>
        <w:tc>
          <w:tcPr>
            <w:tcW w:w="1029" w:type="dxa"/>
            <w:vAlign w:val="center"/>
          </w:tcPr>
          <w:p w14:paraId="3EA00A91"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0.7778</w:t>
            </w:r>
          </w:p>
        </w:tc>
        <w:tc>
          <w:tcPr>
            <w:tcW w:w="1016" w:type="dxa"/>
            <w:vAlign w:val="center"/>
          </w:tcPr>
          <w:p w14:paraId="1CC22210"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0.0422</w:t>
            </w:r>
          </w:p>
        </w:tc>
      </w:tr>
      <w:tr w:rsidR="00130B37" w:rsidRPr="00130B37" w14:paraId="5B50998D"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73F5E25C" w14:textId="77777777" w:rsidR="00130B37" w:rsidRPr="00130B37" w:rsidRDefault="00130B37" w:rsidP="00000BC3"/>
        </w:tc>
        <w:tc>
          <w:tcPr>
            <w:tcW w:w="1094" w:type="dxa"/>
            <w:vAlign w:val="center"/>
          </w:tcPr>
          <w:p w14:paraId="3AF9E4D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Elastic Net</w:t>
            </w:r>
          </w:p>
        </w:tc>
        <w:tc>
          <w:tcPr>
            <w:tcW w:w="1016" w:type="dxa"/>
            <w:vAlign w:val="center"/>
          </w:tcPr>
          <w:p w14:paraId="1FCC40CE"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0.7435</w:t>
            </w:r>
          </w:p>
        </w:tc>
        <w:tc>
          <w:tcPr>
            <w:tcW w:w="1016" w:type="dxa"/>
            <w:vAlign w:val="center"/>
          </w:tcPr>
          <w:p w14:paraId="79DEE39E"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0.6772</w:t>
            </w:r>
          </w:p>
        </w:tc>
        <w:tc>
          <w:tcPr>
            <w:tcW w:w="1016" w:type="dxa"/>
            <w:vAlign w:val="center"/>
          </w:tcPr>
          <w:p w14:paraId="76CF1ADB"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1.8333</w:t>
            </w:r>
          </w:p>
        </w:tc>
        <w:tc>
          <w:tcPr>
            <w:tcW w:w="1016" w:type="dxa"/>
            <w:vAlign w:val="center"/>
          </w:tcPr>
          <w:p w14:paraId="02464A82"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1.2225</w:t>
            </w:r>
          </w:p>
        </w:tc>
        <w:tc>
          <w:tcPr>
            <w:tcW w:w="1029" w:type="dxa"/>
            <w:vAlign w:val="center"/>
          </w:tcPr>
          <w:p w14:paraId="5DA515F2"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0.7216</w:t>
            </w:r>
          </w:p>
        </w:tc>
        <w:tc>
          <w:tcPr>
            <w:tcW w:w="1016" w:type="dxa"/>
            <w:vAlign w:val="center"/>
          </w:tcPr>
          <w:p w14:paraId="2147D204"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0.0344</w:t>
            </w:r>
          </w:p>
        </w:tc>
      </w:tr>
      <w:tr w:rsidR="00130B37" w:rsidRPr="00130B37" w14:paraId="31DF2B66" w14:textId="77777777" w:rsidTr="002C508A">
        <w:trPr>
          <w:trHeight w:val="317"/>
        </w:trPr>
        <w:tc>
          <w:tcPr>
            <w:cnfStyle w:val="001000000000" w:firstRow="0" w:lastRow="0" w:firstColumn="1" w:lastColumn="0" w:oddVBand="0" w:evenVBand="0" w:oddHBand="0" w:evenHBand="0" w:firstRowFirstColumn="0" w:firstRowLastColumn="0" w:lastRowFirstColumn="0" w:lastRowLastColumn="0"/>
            <w:tcW w:w="1450" w:type="dxa"/>
            <w:vMerge w:val="restart"/>
            <w:vAlign w:val="center"/>
          </w:tcPr>
          <w:p w14:paraId="3E1F959B" w14:textId="77777777" w:rsidR="00130B37" w:rsidRPr="00130B37" w:rsidRDefault="00130B37" w:rsidP="00000BC3">
            <w:r w:rsidRPr="00130B37">
              <w:t>Provincial Capital Cities</w:t>
            </w:r>
          </w:p>
        </w:tc>
        <w:tc>
          <w:tcPr>
            <w:tcW w:w="1094" w:type="dxa"/>
            <w:vAlign w:val="center"/>
          </w:tcPr>
          <w:p w14:paraId="5CBB3DEA"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XGBoost</w:t>
            </w:r>
          </w:p>
        </w:tc>
        <w:tc>
          <w:tcPr>
            <w:tcW w:w="1016" w:type="dxa"/>
            <w:vAlign w:val="center"/>
          </w:tcPr>
          <w:p w14:paraId="16431559"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0.9978</w:t>
            </w:r>
          </w:p>
        </w:tc>
        <w:tc>
          <w:tcPr>
            <w:tcW w:w="1016" w:type="dxa"/>
            <w:vAlign w:val="center"/>
          </w:tcPr>
          <w:p w14:paraId="2696BAEB"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0.9374</w:t>
            </w:r>
          </w:p>
        </w:tc>
        <w:tc>
          <w:tcPr>
            <w:tcW w:w="1016" w:type="dxa"/>
            <w:vAlign w:val="center"/>
          </w:tcPr>
          <w:p w14:paraId="7F8D9D10"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0.5494</w:t>
            </w:r>
          </w:p>
        </w:tc>
        <w:tc>
          <w:tcPr>
            <w:tcW w:w="1016" w:type="dxa"/>
            <w:vAlign w:val="center"/>
          </w:tcPr>
          <w:p w14:paraId="76CF6AE4"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1.8075</w:t>
            </w:r>
          </w:p>
        </w:tc>
        <w:tc>
          <w:tcPr>
            <w:tcW w:w="1029" w:type="dxa"/>
            <w:vAlign w:val="center"/>
          </w:tcPr>
          <w:p w14:paraId="0E44A53E"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0.9508</w:t>
            </w:r>
          </w:p>
        </w:tc>
        <w:tc>
          <w:tcPr>
            <w:tcW w:w="1016" w:type="dxa"/>
            <w:vAlign w:val="center"/>
          </w:tcPr>
          <w:p w14:paraId="7A83EB1A"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0.0122</w:t>
            </w:r>
          </w:p>
        </w:tc>
      </w:tr>
      <w:tr w:rsidR="00130B37" w:rsidRPr="00130B37" w14:paraId="7E3B190E"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5990B1B5" w14:textId="77777777" w:rsidR="00130B37" w:rsidRPr="00130B37" w:rsidRDefault="00130B37" w:rsidP="00000BC3"/>
        </w:tc>
        <w:tc>
          <w:tcPr>
            <w:tcW w:w="1094" w:type="dxa"/>
            <w:vAlign w:val="center"/>
          </w:tcPr>
          <w:p w14:paraId="1EFE5BCD"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GBDT</w:t>
            </w:r>
          </w:p>
        </w:tc>
        <w:tc>
          <w:tcPr>
            <w:tcW w:w="1016" w:type="dxa"/>
            <w:vAlign w:val="center"/>
          </w:tcPr>
          <w:p w14:paraId="1F14824B"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0.9986</w:t>
            </w:r>
          </w:p>
        </w:tc>
        <w:tc>
          <w:tcPr>
            <w:tcW w:w="1016" w:type="dxa"/>
            <w:vAlign w:val="center"/>
          </w:tcPr>
          <w:p w14:paraId="70D74146"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0.9350</w:t>
            </w:r>
          </w:p>
        </w:tc>
        <w:tc>
          <w:tcPr>
            <w:tcW w:w="1016" w:type="dxa"/>
            <w:vAlign w:val="center"/>
          </w:tcPr>
          <w:p w14:paraId="0CF005F5"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0.4404</w:t>
            </w:r>
          </w:p>
        </w:tc>
        <w:tc>
          <w:tcPr>
            <w:tcW w:w="1016" w:type="dxa"/>
            <w:vAlign w:val="center"/>
          </w:tcPr>
          <w:p w14:paraId="6F212E4A"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1.8424</w:t>
            </w:r>
          </w:p>
        </w:tc>
        <w:tc>
          <w:tcPr>
            <w:tcW w:w="1029" w:type="dxa"/>
            <w:vAlign w:val="center"/>
          </w:tcPr>
          <w:p w14:paraId="66F9C61D"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0.9470</w:t>
            </w:r>
          </w:p>
        </w:tc>
        <w:tc>
          <w:tcPr>
            <w:tcW w:w="1016" w:type="dxa"/>
            <w:vAlign w:val="center"/>
          </w:tcPr>
          <w:p w14:paraId="173242D8"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0.0156</w:t>
            </w:r>
          </w:p>
        </w:tc>
      </w:tr>
      <w:tr w:rsidR="00130B37" w:rsidRPr="00130B37" w14:paraId="09414DF7"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3C3D1DF4" w14:textId="77777777" w:rsidR="00130B37" w:rsidRPr="00130B37" w:rsidRDefault="00130B37" w:rsidP="00000BC3"/>
        </w:tc>
        <w:tc>
          <w:tcPr>
            <w:tcW w:w="1094" w:type="dxa"/>
            <w:vAlign w:val="center"/>
          </w:tcPr>
          <w:p w14:paraId="0FB2FAD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 xml:space="preserve">Random </w:t>
            </w:r>
            <w:r w:rsidRPr="00130B37">
              <w:lastRenderedPageBreak/>
              <w:t>Forest</w:t>
            </w:r>
          </w:p>
        </w:tc>
        <w:tc>
          <w:tcPr>
            <w:tcW w:w="1016" w:type="dxa"/>
            <w:vAlign w:val="center"/>
          </w:tcPr>
          <w:p w14:paraId="604D3AAE"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lastRenderedPageBreak/>
              <w:t>0.9875</w:t>
            </w:r>
          </w:p>
        </w:tc>
        <w:tc>
          <w:tcPr>
            <w:tcW w:w="1016" w:type="dxa"/>
            <w:vAlign w:val="center"/>
          </w:tcPr>
          <w:p w14:paraId="0DD110BD"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0.9117</w:t>
            </w:r>
          </w:p>
        </w:tc>
        <w:tc>
          <w:tcPr>
            <w:tcW w:w="1016" w:type="dxa"/>
            <w:vAlign w:val="center"/>
          </w:tcPr>
          <w:p w14:paraId="287BC8E0"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1.2999</w:t>
            </w:r>
          </w:p>
        </w:tc>
        <w:tc>
          <w:tcPr>
            <w:tcW w:w="1016" w:type="dxa"/>
            <w:vAlign w:val="center"/>
          </w:tcPr>
          <w:p w14:paraId="2FD60547"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2.2108</w:t>
            </w:r>
          </w:p>
        </w:tc>
        <w:tc>
          <w:tcPr>
            <w:tcW w:w="1029" w:type="dxa"/>
            <w:vAlign w:val="center"/>
          </w:tcPr>
          <w:p w14:paraId="40954EB5"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0.9252</w:t>
            </w:r>
          </w:p>
        </w:tc>
        <w:tc>
          <w:tcPr>
            <w:tcW w:w="1016" w:type="dxa"/>
            <w:vAlign w:val="center"/>
          </w:tcPr>
          <w:p w14:paraId="3AF94E65"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0.0117</w:t>
            </w:r>
          </w:p>
        </w:tc>
      </w:tr>
      <w:tr w:rsidR="00130B37" w:rsidRPr="00130B37" w14:paraId="2A7CA83C"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2958A4F8" w14:textId="77777777" w:rsidR="00130B37" w:rsidRPr="00130B37" w:rsidRDefault="00130B37" w:rsidP="00000BC3"/>
        </w:tc>
        <w:tc>
          <w:tcPr>
            <w:tcW w:w="1094" w:type="dxa"/>
            <w:vAlign w:val="center"/>
          </w:tcPr>
          <w:p w14:paraId="48BD8653" w14:textId="5E47E7C0" w:rsidR="00130B37" w:rsidRPr="00130B37" w:rsidRDefault="005D5D86" w:rsidP="00000BC3">
            <w:pPr>
              <w:cnfStyle w:val="000000000000" w:firstRow="0" w:lastRow="0" w:firstColumn="0" w:lastColumn="0" w:oddVBand="0" w:evenVBand="0" w:oddHBand="0" w:evenHBand="0" w:firstRowFirstColumn="0" w:firstRowLastColumn="0" w:lastRowFirstColumn="0" w:lastRowLastColumn="0"/>
            </w:pPr>
            <w:r w:rsidRPr="005D5D86">
              <w:t>Linear Regression</w:t>
            </w:r>
          </w:p>
        </w:tc>
        <w:tc>
          <w:tcPr>
            <w:tcW w:w="1016" w:type="dxa"/>
            <w:vAlign w:val="center"/>
          </w:tcPr>
          <w:p w14:paraId="29D6FBE4"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0.9095</w:t>
            </w:r>
          </w:p>
        </w:tc>
        <w:tc>
          <w:tcPr>
            <w:tcW w:w="1016" w:type="dxa"/>
            <w:vAlign w:val="center"/>
          </w:tcPr>
          <w:p w14:paraId="378A1639"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0.8902</w:t>
            </w:r>
          </w:p>
        </w:tc>
        <w:tc>
          <w:tcPr>
            <w:tcW w:w="1016" w:type="dxa"/>
            <w:vAlign w:val="center"/>
          </w:tcPr>
          <w:p w14:paraId="47834B9E"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3.5041</w:t>
            </w:r>
          </w:p>
        </w:tc>
        <w:tc>
          <w:tcPr>
            <w:tcW w:w="1016" w:type="dxa"/>
            <w:vAlign w:val="center"/>
          </w:tcPr>
          <w:p w14:paraId="12F8CE1C"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2.8031</w:t>
            </w:r>
          </w:p>
        </w:tc>
        <w:tc>
          <w:tcPr>
            <w:tcW w:w="1029" w:type="dxa"/>
            <w:vAlign w:val="center"/>
          </w:tcPr>
          <w:p w14:paraId="6E07B640"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0.8759</w:t>
            </w:r>
          </w:p>
        </w:tc>
        <w:tc>
          <w:tcPr>
            <w:tcW w:w="1016" w:type="dxa"/>
            <w:vAlign w:val="center"/>
          </w:tcPr>
          <w:p w14:paraId="38E7AA4A"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0.0505</w:t>
            </w:r>
          </w:p>
        </w:tc>
      </w:tr>
      <w:tr w:rsidR="00130B37" w:rsidRPr="00130B37" w14:paraId="449E9E73"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0B4EC6FD" w14:textId="77777777" w:rsidR="00130B37" w:rsidRPr="00130B37" w:rsidRDefault="00130B37" w:rsidP="00000BC3"/>
        </w:tc>
        <w:tc>
          <w:tcPr>
            <w:tcW w:w="1094" w:type="dxa"/>
            <w:vAlign w:val="center"/>
          </w:tcPr>
          <w:p w14:paraId="68348C6F"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Elastic Net</w:t>
            </w:r>
          </w:p>
        </w:tc>
        <w:tc>
          <w:tcPr>
            <w:tcW w:w="1016" w:type="dxa"/>
            <w:vAlign w:val="center"/>
          </w:tcPr>
          <w:p w14:paraId="42FC64D4"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0.8791</w:t>
            </w:r>
          </w:p>
        </w:tc>
        <w:tc>
          <w:tcPr>
            <w:tcW w:w="1016" w:type="dxa"/>
            <w:vAlign w:val="center"/>
          </w:tcPr>
          <w:p w14:paraId="67B4DF12"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0.8613</w:t>
            </w:r>
          </w:p>
        </w:tc>
        <w:tc>
          <w:tcPr>
            <w:tcW w:w="1016" w:type="dxa"/>
            <w:vAlign w:val="center"/>
          </w:tcPr>
          <w:p w14:paraId="20DEAF60"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4.0494</w:t>
            </w:r>
          </w:p>
        </w:tc>
        <w:tc>
          <w:tcPr>
            <w:tcW w:w="1016" w:type="dxa"/>
            <w:vAlign w:val="center"/>
          </w:tcPr>
          <w:p w14:paraId="19FAB6B1"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3.1432</w:t>
            </w:r>
          </w:p>
        </w:tc>
        <w:tc>
          <w:tcPr>
            <w:tcW w:w="1029" w:type="dxa"/>
            <w:vAlign w:val="center"/>
          </w:tcPr>
          <w:p w14:paraId="423F5C59"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0.8398</w:t>
            </w:r>
          </w:p>
        </w:tc>
        <w:tc>
          <w:tcPr>
            <w:tcW w:w="1016" w:type="dxa"/>
            <w:vAlign w:val="center"/>
          </w:tcPr>
          <w:p w14:paraId="13C69714"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0.0602</w:t>
            </w:r>
          </w:p>
        </w:tc>
      </w:tr>
      <w:tr w:rsidR="00130B37" w:rsidRPr="00130B37" w14:paraId="43D65856" w14:textId="77777777" w:rsidTr="002C508A">
        <w:trPr>
          <w:trHeight w:val="317"/>
        </w:trPr>
        <w:tc>
          <w:tcPr>
            <w:cnfStyle w:val="001000000000" w:firstRow="0" w:lastRow="0" w:firstColumn="1" w:lastColumn="0" w:oddVBand="0" w:evenVBand="0" w:oddHBand="0" w:evenHBand="0" w:firstRowFirstColumn="0" w:firstRowLastColumn="0" w:lastRowFirstColumn="0" w:lastRowLastColumn="0"/>
            <w:tcW w:w="1450" w:type="dxa"/>
            <w:vMerge w:val="restart"/>
            <w:vAlign w:val="center"/>
          </w:tcPr>
          <w:p w14:paraId="143186DC" w14:textId="77777777" w:rsidR="00130B37" w:rsidRPr="00130B37" w:rsidRDefault="00130B37" w:rsidP="00000BC3">
            <w:r w:rsidRPr="00130B37">
              <w:t>Non-Provincial Capital Cities</w:t>
            </w:r>
          </w:p>
        </w:tc>
        <w:tc>
          <w:tcPr>
            <w:tcW w:w="1094" w:type="dxa"/>
            <w:vAlign w:val="center"/>
          </w:tcPr>
          <w:p w14:paraId="4B0F5AAC"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GBDT</w:t>
            </w:r>
          </w:p>
        </w:tc>
        <w:tc>
          <w:tcPr>
            <w:tcW w:w="1016" w:type="dxa"/>
            <w:vAlign w:val="center"/>
          </w:tcPr>
          <w:p w14:paraId="27164D88"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0.9865</w:t>
            </w:r>
          </w:p>
        </w:tc>
        <w:tc>
          <w:tcPr>
            <w:tcW w:w="1016" w:type="dxa"/>
            <w:vAlign w:val="center"/>
          </w:tcPr>
          <w:p w14:paraId="1DA9141A"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0.9375</w:t>
            </w:r>
          </w:p>
        </w:tc>
        <w:tc>
          <w:tcPr>
            <w:tcW w:w="1016" w:type="dxa"/>
            <w:vAlign w:val="center"/>
          </w:tcPr>
          <w:p w14:paraId="7A74FE09"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0.6803</w:t>
            </w:r>
          </w:p>
        </w:tc>
        <w:tc>
          <w:tcPr>
            <w:tcW w:w="1016" w:type="dxa"/>
            <w:vAlign w:val="center"/>
          </w:tcPr>
          <w:p w14:paraId="7542A23E"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0.7288</w:t>
            </w:r>
          </w:p>
        </w:tc>
        <w:tc>
          <w:tcPr>
            <w:tcW w:w="1029" w:type="dxa"/>
            <w:vAlign w:val="center"/>
          </w:tcPr>
          <w:p w14:paraId="185711D9"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0.9389</w:t>
            </w:r>
          </w:p>
        </w:tc>
        <w:tc>
          <w:tcPr>
            <w:tcW w:w="1016" w:type="dxa"/>
            <w:vAlign w:val="center"/>
          </w:tcPr>
          <w:p w14:paraId="5F5465E8"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0.0175</w:t>
            </w:r>
          </w:p>
        </w:tc>
      </w:tr>
      <w:tr w:rsidR="00130B37" w:rsidRPr="00130B37" w14:paraId="229A4A16"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1107BA08" w14:textId="77777777" w:rsidR="00130B37" w:rsidRPr="00130B37" w:rsidRDefault="00130B37" w:rsidP="00000BC3"/>
        </w:tc>
        <w:tc>
          <w:tcPr>
            <w:tcW w:w="1094" w:type="dxa"/>
            <w:vAlign w:val="center"/>
          </w:tcPr>
          <w:p w14:paraId="70786FC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XGBoost</w:t>
            </w:r>
          </w:p>
        </w:tc>
        <w:tc>
          <w:tcPr>
            <w:tcW w:w="1016" w:type="dxa"/>
            <w:vAlign w:val="center"/>
          </w:tcPr>
          <w:p w14:paraId="57648825"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0.9845</w:t>
            </w:r>
          </w:p>
        </w:tc>
        <w:tc>
          <w:tcPr>
            <w:tcW w:w="1016" w:type="dxa"/>
            <w:vAlign w:val="center"/>
          </w:tcPr>
          <w:p w14:paraId="46C7DA78"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0.9312</w:t>
            </w:r>
          </w:p>
        </w:tc>
        <w:tc>
          <w:tcPr>
            <w:tcW w:w="1016" w:type="dxa"/>
            <w:vAlign w:val="center"/>
          </w:tcPr>
          <w:p w14:paraId="7C14FE10"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0.7307</w:t>
            </w:r>
          </w:p>
        </w:tc>
        <w:tc>
          <w:tcPr>
            <w:tcW w:w="1016" w:type="dxa"/>
            <w:vAlign w:val="center"/>
          </w:tcPr>
          <w:p w14:paraId="4C63AF29"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0.7569</w:t>
            </w:r>
          </w:p>
        </w:tc>
        <w:tc>
          <w:tcPr>
            <w:tcW w:w="1029" w:type="dxa"/>
            <w:vAlign w:val="center"/>
          </w:tcPr>
          <w:p w14:paraId="2743A1C5"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0.9361</w:t>
            </w:r>
          </w:p>
        </w:tc>
        <w:tc>
          <w:tcPr>
            <w:tcW w:w="1016" w:type="dxa"/>
            <w:vAlign w:val="center"/>
          </w:tcPr>
          <w:p w14:paraId="68A1CF4A"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0.0169</w:t>
            </w:r>
          </w:p>
        </w:tc>
      </w:tr>
      <w:tr w:rsidR="00130B37" w:rsidRPr="00130B37" w14:paraId="54E3916B"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1418FFAB" w14:textId="77777777" w:rsidR="00130B37" w:rsidRPr="00130B37" w:rsidRDefault="00130B37" w:rsidP="00000BC3"/>
        </w:tc>
        <w:tc>
          <w:tcPr>
            <w:tcW w:w="1094" w:type="dxa"/>
            <w:vAlign w:val="center"/>
          </w:tcPr>
          <w:p w14:paraId="1E14F626"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Random Forest</w:t>
            </w:r>
          </w:p>
        </w:tc>
        <w:tc>
          <w:tcPr>
            <w:tcW w:w="1016" w:type="dxa"/>
            <w:vAlign w:val="center"/>
          </w:tcPr>
          <w:p w14:paraId="2533DE08"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0.9845</w:t>
            </w:r>
          </w:p>
        </w:tc>
        <w:tc>
          <w:tcPr>
            <w:tcW w:w="1016" w:type="dxa"/>
            <w:vAlign w:val="center"/>
          </w:tcPr>
          <w:p w14:paraId="51D9A4A8"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0.9266</w:t>
            </w:r>
          </w:p>
        </w:tc>
        <w:tc>
          <w:tcPr>
            <w:tcW w:w="1016" w:type="dxa"/>
            <w:vAlign w:val="center"/>
          </w:tcPr>
          <w:p w14:paraId="258EB360"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0.7295</w:t>
            </w:r>
          </w:p>
        </w:tc>
        <w:tc>
          <w:tcPr>
            <w:tcW w:w="1016" w:type="dxa"/>
            <w:vAlign w:val="center"/>
          </w:tcPr>
          <w:p w14:paraId="6E842464"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0.8068</w:t>
            </w:r>
          </w:p>
        </w:tc>
        <w:tc>
          <w:tcPr>
            <w:tcW w:w="1029" w:type="dxa"/>
            <w:vAlign w:val="center"/>
          </w:tcPr>
          <w:p w14:paraId="5E750B36"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0.9285</w:t>
            </w:r>
          </w:p>
        </w:tc>
        <w:tc>
          <w:tcPr>
            <w:tcW w:w="1016" w:type="dxa"/>
            <w:vAlign w:val="center"/>
          </w:tcPr>
          <w:p w14:paraId="4B3BEC4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0.0176</w:t>
            </w:r>
          </w:p>
        </w:tc>
      </w:tr>
      <w:tr w:rsidR="00130B37" w:rsidRPr="00130B37" w14:paraId="5C830400"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394E8FDC" w14:textId="77777777" w:rsidR="00130B37" w:rsidRPr="00130B37" w:rsidRDefault="00130B37" w:rsidP="00000BC3"/>
        </w:tc>
        <w:tc>
          <w:tcPr>
            <w:tcW w:w="1094" w:type="dxa"/>
            <w:vAlign w:val="center"/>
          </w:tcPr>
          <w:p w14:paraId="15F1CA89" w14:textId="35CD3571" w:rsidR="00130B37" w:rsidRPr="00130B37" w:rsidRDefault="005D5D86" w:rsidP="00000BC3">
            <w:pPr>
              <w:cnfStyle w:val="000000000000" w:firstRow="0" w:lastRow="0" w:firstColumn="0" w:lastColumn="0" w:oddVBand="0" w:evenVBand="0" w:oddHBand="0" w:evenHBand="0" w:firstRowFirstColumn="0" w:firstRowLastColumn="0" w:lastRowFirstColumn="0" w:lastRowLastColumn="0"/>
            </w:pPr>
            <w:r w:rsidRPr="005D5D86">
              <w:t>Linear Regression</w:t>
            </w:r>
          </w:p>
        </w:tc>
        <w:tc>
          <w:tcPr>
            <w:tcW w:w="1016" w:type="dxa"/>
            <w:vAlign w:val="center"/>
          </w:tcPr>
          <w:p w14:paraId="77F3948D"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0.8271</w:t>
            </w:r>
          </w:p>
        </w:tc>
        <w:tc>
          <w:tcPr>
            <w:tcW w:w="1016" w:type="dxa"/>
            <w:vAlign w:val="center"/>
          </w:tcPr>
          <w:p w14:paraId="5696DA8F"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0.8309</w:t>
            </w:r>
          </w:p>
        </w:tc>
        <w:tc>
          <w:tcPr>
            <w:tcW w:w="1016" w:type="dxa"/>
            <w:vAlign w:val="center"/>
          </w:tcPr>
          <w:p w14:paraId="744B8B2B"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2.4375</w:t>
            </w:r>
          </w:p>
        </w:tc>
        <w:tc>
          <w:tcPr>
            <w:tcW w:w="1016" w:type="dxa"/>
            <w:vAlign w:val="center"/>
          </w:tcPr>
          <w:p w14:paraId="1126EE0E"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1.3892</w:t>
            </w:r>
          </w:p>
        </w:tc>
        <w:tc>
          <w:tcPr>
            <w:tcW w:w="1029" w:type="dxa"/>
            <w:vAlign w:val="center"/>
          </w:tcPr>
          <w:p w14:paraId="1D87454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0.8174</w:t>
            </w:r>
          </w:p>
        </w:tc>
        <w:tc>
          <w:tcPr>
            <w:tcW w:w="1016" w:type="dxa"/>
            <w:vAlign w:val="center"/>
          </w:tcPr>
          <w:p w14:paraId="6978DB54"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0.0407</w:t>
            </w:r>
          </w:p>
        </w:tc>
      </w:tr>
      <w:tr w:rsidR="00130B37" w:rsidRPr="00E22618" w14:paraId="11179197" w14:textId="77777777" w:rsidTr="002C508A">
        <w:trPr>
          <w:trHeight w:val="144"/>
        </w:trPr>
        <w:tc>
          <w:tcPr>
            <w:cnfStyle w:val="001000000000" w:firstRow="0" w:lastRow="0" w:firstColumn="1" w:lastColumn="0" w:oddVBand="0" w:evenVBand="0" w:oddHBand="0" w:evenHBand="0" w:firstRowFirstColumn="0" w:firstRowLastColumn="0" w:lastRowFirstColumn="0" w:lastRowLastColumn="0"/>
            <w:tcW w:w="1450" w:type="dxa"/>
            <w:vMerge/>
            <w:vAlign w:val="center"/>
          </w:tcPr>
          <w:p w14:paraId="293D4FB7" w14:textId="77777777" w:rsidR="00130B37" w:rsidRPr="00130B37" w:rsidRDefault="00130B37" w:rsidP="00000BC3"/>
        </w:tc>
        <w:tc>
          <w:tcPr>
            <w:tcW w:w="1094" w:type="dxa"/>
            <w:vAlign w:val="center"/>
          </w:tcPr>
          <w:p w14:paraId="3027DF8C"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Elastic Net</w:t>
            </w:r>
          </w:p>
        </w:tc>
        <w:tc>
          <w:tcPr>
            <w:tcW w:w="1016" w:type="dxa"/>
            <w:vAlign w:val="center"/>
          </w:tcPr>
          <w:p w14:paraId="04B7BCF4"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0.7723</w:t>
            </w:r>
          </w:p>
        </w:tc>
        <w:tc>
          <w:tcPr>
            <w:tcW w:w="1016" w:type="dxa"/>
            <w:vAlign w:val="center"/>
          </w:tcPr>
          <w:p w14:paraId="17D88DDF"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0.7440</w:t>
            </w:r>
          </w:p>
        </w:tc>
        <w:tc>
          <w:tcPr>
            <w:tcW w:w="1016" w:type="dxa"/>
            <w:vAlign w:val="center"/>
          </w:tcPr>
          <w:p w14:paraId="69C76473"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2.7970</w:t>
            </w:r>
          </w:p>
        </w:tc>
        <w:tc>
          <w:tcPr>
            <w:tcW w:w="1016" w:type="dxa"/>
            <w:vAlign w:val="center"/>
          </w:tcPr>
          <w:p w14:paraId="216571B6"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1.6050</w:t>
            </w:r>
          </w:p>
        </w:tc>
        <w:tc>
          <w:tcPr>
            <w:tcW w:w="1029" w:type="dxa"/>
            <w:vAlign w:val="center"/>
          </w:tcPr>
          <w:p w14:paraId="4BC8161A" w14:textId="77777777" w:rsidR="00130B37" w:rsidRPr="00130B37" w:rsidRDefault="00130B37" w:rsidP="00000BC3">
            <w:pPr>
              <w:cnfStyle w:val="000000000000" w:firstRow="0" w:lastRow="0" w:firstColumn="0" w:lastColumn="0" w:oddVBand="0" w:evenVBand="0" w:oddHBand="0" w:evenHBand="0" w:firstRowFirstColumn="0" w:firstRowLastColumn="0" w:lastRowFirstColumn="0" w:lastRowLastColumn="0"/>
            </w:pPr>
            <w:r w:rsidRPr="00130B37">
              <w:t>0.7532</w:t>
            </w:r>
          </w:p>
        </w:tc>
        <w:tc>
          <w:tcPr>
            <w:tcW w:w="1016" w:type="dxa"/>
            <w:vAlign w:val="center"/>
          </w:tcPr>
          <w:p w14:paraId="5604CC1E" w14:textId="77777777" w:rsidR="00130B37" w:rsidRPr="00E22618" w:rsidRDefault="00130B37" w:rsidP="00000BC3">
            <w:pPr>
              <w:cnfStyle w:val="000000000000" w:firstRow="0" w:lastRow="0" w:firstColumn="0" w:lastColumn="0" w:oddVBand="0" w:evenVBand="0" w:oddHBand="0" w:evenHBand="0" w:firstRowFirstColumn="0" w:firstRowLastColumn="0" w:lastRowFirstColumn="0" w:lastRowLastColumn="0"/>
            </w:pPr>
            <w:r w:rsidRPr="00130B37">
              <w:t>0.0550</w:t>
            </w:r>
          </w:p>
        </w:tc>
      </w:tr>
    </w:tbl>
    <w:p w14:paraId="241EBC8C" w14:textId="7CA5074F" w:rsidR="002F4C88" w:rsidRPr="00E22618" w:rsidRDefault="002F4C88" w:rsidP="00130B37">
      <w:pPr>
        <w:rPr>
          <w:rFonts w:ascii="Times New Roman" w:hAnsi="Times New Roman" w:cs="Times New Roman"/>
        </w:rPr>
      </w:pPr>
    </w:p>
    <w:sectPr w:rsidR="002F4C88" w:rsidRPr="00E226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3F911" w14:textId="77777777" w:rsidR="00EA6190" w:rsidRDefault="00EA6190" w:rsidP="00F87098">
      <w:pPr>
        <w:spacing w:after="0" w:line="240" w:lineRule="auto"/>
      </w:pPr>
      <w:r>
        <w:separator/>
      </w:r>
    </w:p>
  </w:endnote>
  <w:endnote w:type="continuationSeparator" w:id="0">
    <w:p w14:paraId="21581C70" w14:textId="77777777" w:rsidR="00EA6190" w:rsidRDefault="00EA6190" w:rsidP="00F87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B5+华光书宋_CNKI">
    <w:altName w:val="微软雅黑"/>
    <w:panose1 w:val="00000000000000000000"/>
    <w:charset w:val="86"/>
    <w:family w:val="auto"/>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0A3F9" w14:textId="77777777" w:rsidR="00EA6190" w:rsidRDefault="00EA6190" w:rsidP="00F87098">
      <w:pPr>
        <w:spacing w:after="0" w:line="240" w:lineRule="auto"/>
      </w:pPr>
      <w:r>
        <w:separator/>
      </w:r>
    </w:p>
  </w:footnote>
  <w:footnote w:type="continuationSeparator" w:id="0">
    <w:p w14:paraId="48268B0E" w14:textId="77777777" w:rsidR="00EA6190" w:rsidRDefault="00EA6190" w:rsidP="00F870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12C"/>
    <w:rsid w:val="00023F74"/>
    <w:rsid w:val="000336CA"/>
    <w:rsid w:val="000F2013"/>
    <w:rsid w:val="001173F4"/>
    <w:rsid w:val="00130B37"/>
    <w:rsid w:val="001D0892"/>
    <w:rsid w:val="002971D3"/>
    <w:rsid w:val="002C508A"/>
    <w:rsid w:val="002F4C88"/>
    <w:rsid w:val="004244DE"/>
    <w:rsid w:val="00436B37"/>
    <w:rsid w:val="005167D2"/>
    <w:rsid w:val="005D5D86"/>
    <w:rsid w:val="007C0E0C"/>
    <w:rsid w:val="00855D08"/>
    <w:rsid w:val="00AD0DF4"/>
    <w:rsid w:val="00B86EA7"/>
    <w:rsid w:val="00BE266B"/>
    <w:rsid w:val="00D036D9"/>
    <w:rsid w:val="00D1012C"/>
    <w:rsid w:val="00D669CA"/>
    <w:rsid w:val="00D90A1B"/>
    <w:rsid w:val="00E22618"/>
    <w:rsid w:val="00E7052F"/>
    <w:rsid w:val="00EA6190"/>
    <w:rsid w:val="00EA69B6"/>
    <w:rsid w:val="00EF4582"/>
    <w:rsid w:val="00F87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3BBCA3"/>
  <w15:chartTrackingRefBased/>
  <w15:docId w15:val="{B5806884-06D5-4761-9AFE-1358781A6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12C"/>
    <w:pPr>
      <w:widowControl w:val="0"/>
    </w:pPr>
  </w:style>
  <w:style w:type="paragraph" w:styleId="1">
    <w:name w:val="heading 1"/>
    <w:basedOn w:val="a"/>
    <w:next w:val="a"/>
    <w:link w:val="10"/>
    <w:uiPriority w:val="9"/>
    <w:qFormat/>
    <w:rsid w:val="00D1012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D1012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D1012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1012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1012C"/>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D1012C"/>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1012C"/>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1012C"/>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1012C"/>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1012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1012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1012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1012C"/>
    <w:rPr>
      <w:rFonts w:cstheme="majorBidi"/>
      <w:color w:val="0F4761" w:themeColor="accent1" w:themeShade="BF"/>
      <w:sz w:val="28"/>
      <w:szCs w:val="28"/>
    </w:rPr>
  </w:style>
  <w:style w:type="character" w:customStyle="1" w:styleId="50">
    <w:name w:val="标题 5 字符"/>
    <w:basedOn w:val="a0"/>
    <w:link w:val="5"/>
    <w:uiPriority w:val="9"/>
    <w:semiHidden/>
    <w:rsid w:val="00D1012C"/>
    <w:rPr>
      <w:rFonts w:cstheme="majorBidi"/>
      <w:color w:val="0F4761" w:themeColor="accent1" w:themeShade="BF"/>
      <w:sz w:val="24"/>
    </w:rPr>
  </w:style>
  <w:style w:type="character" w:customStyle="1" w:styleId="60">
    <w:name w:val="标题 6 字符"/>
    <w:basedOn w:val="a0"/>
    <w:link w:val="6"/>
    <w:uiPriority w:val="9"/>
    <w:semiHidden/>
    <w:rsid w:val="00D1012C"/>
    <w:rPr>
      <w:rFonts w:cstheme="majorBidi"/>
      <w:b/>
      <w:bCs/>
      <w:color w:val="0F4761" w:themeColor="accent1" w:themeShade="BF"/>
    </w:rPr>
  </w:style>
  <w:style w:type="character" w:customStyle="1" w:styleId="70">
    <w:name w:val="标题 7 字符"/>
    <w:basedOn w:val="a0"/>
    <w:link w:val="7"/>
    <w:uiPriority w:val="9"/>
    <w:semiHidden/>
    <w:rsid w:val="00D1012C"/>
    <w:rPr>
      <w:rFonts w:cstheme="majorBidi"/>
      <w:b/>
      <w:bCs/>
      <w:color w:val="595959" w:themeColor="text1" w:themeTint="A6"/>
    </w:rPr>
  </w:style>
  <w:style w:type="character" w:customStyle="1" w:styleId="80">
    <w:name w:val="标题 8 字符"/>
    <w:basedOn w:val="a0"/>
    <w:link w:val="8"/>
    <w:uiPriority w:val="9"/>
    <w:semiHidden/>
    <w:rsid w:val="00D1012C"/>
    <w:rPr>
      <w:rFonts w:cstheme="majorBidi"/>
      <w:color w:val="595959" w:themeColor="text1" w:themeTint="A6"/>
    </w:rPr>
  </w:style>
  <w:style w:type="character" w:customStyle="1" w:styleId="90">
    <w:name w:val="标题 9 字符"/>
    <w:basedOn w:val="a0"/>
    <w:link w:val="9"/>
    <w:uiPriority w:val="9"/>
    <w:semiHidden/>
    <w:rsid w:val="00D1012C"/>
    <w:rPr>
      <w:rFonts w:eastAsiaTheme="majorEastAsia" w:cstheme="majorBidi"/>
      <w:color w:val="595959" w:themeColor="text1" w:themeTint="A6"/>
    </w:rPr>
  </w:style>
  <w:style w:type="paragraph" w:styleId="a3">
    <w:name w:val="Title"/>
    <w:basedOn w:val="a"/>
    <w:next w:val="a"/>
    <w:link w:val="a4"/>
    <w:uiPriority w:val="10"/>
    <w:qFormat/>
    <w:rsid w:val="00D1012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101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012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1012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1012C"/>
    <w:pPr>
      <w:spacing w:before="160"/>
      <w:jc w:val="center"/>
    </w:pPr>
    <w:rPr>
      <w:i/>
      <w:iCs/>
      <w:color w:val="404040" w:themeColor="text1" w:themeTint="BF"/>
    </w:rPr>
  </w:style>
  <w:style w:type="character" w:customStyle="1" w:styleId="a8">
    <w:name w:val="引用 字符"/>
    <w:basedOn w:val="a0"/>
    <w:link w:val="a7"/>
    <w:uiPriority w:val="29"/>
    <w:rsid w:val="00D1012C"/>
    <w:rPr>
      <w:i/>
      <w:iCs/>
      <w:color w:val="404040" w:themeColor="text1" w:themeTint="BF"/>
    </w:rPr>
  </w:style>
  <w:style w:type="paragraph" w:styleId="a9">
    <w:name w:val="List Paragraph"/>
    <w:basedOn w:val="a"/>
    <w:uiPriority w:val="34"/>
    <w:qFormat/>
    <w:rsid w:val="00D1012C"/>
    <w:pPr>
      <w:ind w:left="720"/>
      <w:contextualSpacing/>
    </w:pPr>
  </w:style>
  <w:style w:type="character" w:styleId="aa">
    <w:name w:val="Intense Emphasis"/>
    <w:basedOn w:val="a0"/>
    <w:uiPriority w:val="21"/>
    <w:qFormat/>
    <w:rsid w:val="00D1012C"/>
    <w:rPr>
      <w:i/>
      <w:iCs/>
      <w:color w:val="0F4761" w:themeColor="accent1" w:themeShade="BF"/>
    </w:rPr>
  </w:style>
  <w:style w:type="paragraph" w:styleId="ab">
    <w:name w:val="Intense Quote"/>
    <w:basedOn w:val="a"/>
    <w:next w:val="a"/>
    <w:link w:val="ac"/>
    <w:uiPriority w:val="30"/>
    <w:qFormat/>
    <w:rsid w:val="00D10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1012C"/>
    <w:rPr>
      <w:i/>
      <w:iCs/>
      <w:color w:val="0F4761" w:themeColor="accent1" w:themeShade="BF"/>
    </w:rPr>
  </w:style>
  <w:style w:type="character" w:styleId="ad">
    <w:name w:val="Intense Reference"/>
    <w:basedOn w:val="a0"/>
    <w:uiPriority w:val="32"/>
    <w:qFormat/>
    <w:rsid w:val="00D1012C"/>
    <w:rPr>
      <w:b/>
      <w:bCs/>
      <w:smallCaps/>
      <w:color w:val="0F4761" w:themeColor="accent1" w:themeShade="BF"/>
      <w:spacing w:val="5"/>
    </w:rPr>
  </w:style>
  <w:style w:type="table" w:customStyle="1" w:styleId="41">
    <w:name w:val="无格式表格 41"/>
    <w:basedOn w:val="a1"/>
    <w:uiPriority w:val="44"/>
    <w:qFormat/>
    <w:rsid w:val="00D1012C"/>
    <w:pPr>
      <w:spacing w:after="0" w:line="240" w:lineRule="auto"/>
    </w:pPr>
    <w:rPr>
      <w:rFonts w:ascii="Times New Roman" w:eastAsia="宋体" w:hAnsi="Times New Roman" w:cs="Times New Roman"/>
      <w:kern w:val="0"/>
      <w:sz w:val="20"/>
      <w:szCs w:val="20"/>
      <w14:ligatures w14:val="non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ae">
    <w:name w:val="Table Grid"/>
    <w:basedOn w:val="a1"/>
    <w:uiPriority w:val="59"/>
    <w:rsid w:val="00D1012C"/>
    <w:pPr>
      <w:spacing w:after="0" w:line="240" w:lineRule="auto"/>
    </w:pPr>
    <w:rPr>
      <w:kern w:val="0"/>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F87098"/>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F87098"/>
    <w:rPr>
      <w:sz w:val="18"/>
      <w:szCs w:val="18"/>
    </w:rPr>
  </w:style>
  <w:style w:type="paragraph" w:styleId="af1">
    <w:name w:val="footer"/>
    <w:basedOn w:val="a"/>
    <w:link w:val="af2"/>
    <w:uiPriority w:val="99"/>
    <w:unhideWhenUsed/>
    <w:rsid w:val="00F87098"/>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F87098"/>
    <w:rPr>
      <w:sz w:val="18"/>
      <w:szCs w:val="18"/>
    </w:rPr>
  </w:style>
  <w:style w:type="paragraph" w:styleId="af3">
    <w:name w:val="Bibliography"/>
    <w:basedOn w:val="a"/>
    <w:next w:val="a"/>
    <w:uiPriority w:val="37"/>
    <w:unhideWhenUsed/>
    <w:rsid w:val="00F87098"/>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71B65-3794-4EC5-9959-7DF743A8C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10525</Words>
  <Characters>64099</Characters>
  <Application>Microsoft Office Word</Application>
  <DocSecurity>0</DocSecurity>
  <Lines>3561</Lines>
  <Paragraphs>2407</Paragraphs>
  <ScaleCrop>false</ScaleCrop>
  <Company/>
  <LinksUpToDate>false</LinksUpToDate>
  <CharactersWithSpaces>72217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abs abs</dc:creator>
  <cp:keywords/>
  <dc:description/>
  <cp:lastModifiedBy>abs abs</cp:lastModifiedBy>
  <cp:revision>6</cp:revision>
  <dcterms:created xsi:type="dcterms:W3CDTF">2025-12-25T12:52:00Z</dcterms:created>
  <dcterms:modified xsi:type="dcterms:W3CDTF">2026-08-13T05:15:00Z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id="5ef01778"/&gt;&lt;style id="http://www.zotero.org/styles/sustainable-cities-and-society" hasBibliography="1" bibliographyStyleHasBeenSet="1"/&gt;&lt;prefs&gt;&lt;pref name="fieldType" value="Field"/&gt;&lt;/prefs&gt;&lt;/data</vt:lpwstr>
  </property>
  <property fmtid="{D5CDD505-2E9C-101B-9397-08002B2CF9AE}" pid="3" name="ZOTERO_PREF_2">
    <vt:lpwstr>&gt;</vt:lpwstr>
  </property>
</Properties>
</file>