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4AA" w:rsidRPr="00FA037F" w:rsidRDefault="00DD44AA" w:rsidP="00DD44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FA037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Table 1: Binding Affinity of Top 20 Compounds and Their Structures</w:t>
      </w:r>
    </w:p>
    <w:p w:rsidR="00DD44AA" w:rsidRPr="00FA037F" w:rsidRDefault="00DD44AA" w:rsidP="00DD44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tbl>
      <w:tblPr>
        <w:tblStyle w:val="TableGridLight"/>
        <w:tblW w:w="10435" w:type="dxa"/>
        <w:tblLayout w:type="fixed"/>
        <w:tblLook w:val="04A0" w:firstRow="1" w:lastRow="0" w:firstColumn="1" w:lastColumn="0" w:noHBand="0" w:noVBand="1"/>
      </w:tblPr>
      <w:tblGrid>
        <w:gridCol w:w="816"/>
        <w:gridCol w:w="1519"/>
        <w:gridCol w:w="1260"/>
        <w:gridCol w:w="2700"/>
        <w:gridCol w:w="1080"/>
        <w:gridCol w:w="1260"/>
        <w:gridCol w:w="1800"/>
      </w:tblGrid>
      <w:tr w:rsidR="00DD44AA" w:rsidRPr="00FA037F" w:rsidTr="00487E13">
        <w:tc>
          <w:tcPr>
            <w:tcW w:w="816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Serial No.</w:t>
            </w:r>
          </w:p>
        </w:tc>
        <w:tc>
          <w:tcPr>
            <w:tcW w:w="1519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Compound Name</w:t>
            </w: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PubChem ID</w:t>
            </w:r>
          </w:p>
        </w:tc>
        <w:tc>
          <w:tcPr>
            <w:tcW w:w="27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Structure</w:t>
            </w:r>
          </w:p>
        </w:tc>
        <w:tc>
          <w:tcPr>
            <w:tcW w:w="108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Docking Score</w:t>
            </w: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MMGBSA</w:t>
            </w:r>
          </w:p>
        </w:tc>
        <w:tc>
          <w:tcPr>
            <w:tcW w:w="18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Smile ID</w:t>
            </w:r>
          </w:p>
        </w:tc>
      </w:tr>
      <w:tr w:rsidR="00DD44AA" w:rsidRPr="00FA037F" w:rsidTr="00487E13">
        <w:tc>
          <w:tcPr>
            <w:tcW w:w="816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Control</w:t>
            </w:r>
          </w:p>
        </w:tc>
        <w:tc>
          <w:tcPr>
            <w:tcW w:w="1519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Azeliragon</w:t>
            </w: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111827"/>
                <w:sz w:val="24"/>
                <w:szCs w:val="24"/>
                <w:shd w:val="clear" w:color="auto" w:fill="FFFFFF"/>
              </w:rPr>
              <w:t>11180124</w:t>
            </w:r>
          </w:p>
        </w:tc>
        <w:tc>
          <w:tcPr>
            <w:tcW w:w="27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8B8596" wp14:editId="0A90AA94">
                  <wp:extent cx="1600200" cy="1600200"/>
                  <wp:effectExtent l="0" t="0" r="0" b="0"/>
                  <wp:docPr id="1" name="Picture 1" descr="Azelirag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elirag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-3.134</w:t>
            </w: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-44.99</w:t>
            </w:r>
          </w:p>
        </w:tc>
        <w:tc>
          <w:tcPr>
            <w:tcW w:w="1800" w:type="dxa"/>
          </w:tcPr>
          <w:p w:rsidR="00DD44AA" w:rsidRPr="00FA037F" w:rsidRDefault="00DD44AA" w:rsidP="00487E13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11827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color w:val="111827"/>
                <w:sz w:val="24"/>
                <w:szCs w:val="24"/>
              </w:rPr>
              <w:t>CCCCC1=NC(=CN1C2=CC=C(C=C2)OC3=CC=C(C=C3)Cl)C4=CC=C(C=C4)OCCCN(CC)CC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44AA" w:rsidRPr="00FA037F" w:rsidTr="00487E13">
        <w:tc>
          <w:tcPr>
            <w:tcW w:w="816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519" w:type="dxa"/>
          </w:tcPr>
          <w:p w:rsidR="00DD44AA" w:rsidRPr="00FA037F" w:rsidRDefault="00DD44AA" w:rsidP="00487E13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Cyanidin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128861</w:t>
            </w:r>
          </w:p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AECB67F" wp14:editId="162211F6">
                  <wp:extent cx="1628775" cy="1628775"/>
                  <wp:effectExtent l="0" t="0" r="9525" b="9525"/>
                  <wp:docPr id="2" name="Picture 2" descr="Cyanid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yanid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2877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-7.500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-35.28</w:t>
            </w:r>
          </w:p>
        </w:tc>
        <w:tc>
          <w:tcPr>
            <w:tcW w:w="18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111827"/>
                <w:sz w:val="24"/>
                <w:szCs w:val="24"/>
                <w:shd w:val="clear" w:color="auto" w:fill="FFFFFF"/>
              </w:rPr>
              <w:t>C1=CC(=C(C=C1C2=[O+]C3=CC(=CC(=C3C=C2O)O)O)O)O</w:t>
            </w:r>
          </w:p>
        </w:tc>
      </w:tr>
      <w:tr w:rsidR="00DD44AA" w:rsidRPr="00FA037F" w:rsidTr="00487E13">
        <w:tc>
          <w:tcPr>
            <w:tcW w:w="816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519" w:type="dxa"/>
          </w:tcPr>
          <w:p w:rsidR="00DD44AA" w:rsidRPr="00FA037F" w:rsidRDefault="00DD44AA" w:rsidP="00487E13">
            <w:pPr>
              <w:pStyle w:val="Heading1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FA037F">
              <w:rPr>
                <w:b w:val="0"/>
                <w:bCs w:val="0"/>
                <w:sz w:val="24"/>
                <w:szCs w:val="24"/>
              </w:rPr>
              <w:t>Pelargonidin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440832</w:t>
            </w:r>
          </w:p>
        </w:tc>
        <w:tc>
          <w:tcPr>
            <w:tcW w:w="27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417CC88" wp14:editId="100E3FCC">
                  <wp:extent cx="1543050" cy="1543050"/>
                  <wp:effectExtent l="0" t="0" r="0" b="0"/>
                  <wp:docPr id="3" name="Picture 3" descr="Pelargonid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elargonid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5430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-7.362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-31.06</w:t>
            </w:r>
          </w:p>
        </w:tc>
        <w:tc>
          <w:tcPr>
            <w:tcW w:w="18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111827"/>
                <w:sz w:val="24"/>
                <w:szCs w:val="24"/>
                <w:shd w:val="clear" w:color="auto" w:fill="FFFFFF"/>
              </w:rPr>
              <w:t>C1=CC(=CC=C1C2=[O+]C3=CC(=CC(=C3C=C2O)O)O)O</w:t>
            </w:r>
          </w:p>
        </w:tc>
      </w:tr>
      <w:tr w:rsidR="00DD44AA" w:rsidRPr="00FA037F" w:rsidTr="00487E13">
        <w:tc>
          <w:tcPr>
            <w:tcW w:w="816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519" w:type="dxa"/>
          </w:tcPr>
          <w:p w:rsidR="00DD44AA" w:rsidRPr="00FA037F" w:rsidRDefault="00DD44AA" w:rsidP="00487E13">
            <w:pPr>
              <w:pStyle w:val="Heading1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FA037F">
              <w:rPr>
                <w:b w:val="0"/>
                <w:bCs w:val="0"/>
                <w:sz w:val="24"/>
                <w:szCs w:val="24"/>
              </w:rPr>
              <w:t>2',4'-Dihydroxy-2''-(1-hydroxy-1-methylethyl)dihydrofuro[2,3-h]flavanone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10291777</w:t>
            </w:r>
          </w:p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DB2260A" wp14:editId="066A1891">
                  <wp:extent cx="1609725" cy="1609725"/>
                  <wp:effectExtent l="0" t="0" r="9525" b="9525"/>
                  <wp:docPr id="4" name="Picture 4" descr="2',4'-Dihydroxy-2''-(1-hydroxy-1-methylethyl)dihydrofuro[2,3-h]flavanon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2',4'-Dihydroxy-2''-(1-hydroxy-1-methylethyl)dihydrofuro[2,3-h]flavanon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60972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-7.362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-43.51</w:t>
            </w:r>
          </w:p>
        </w:tc>
        <w:tc>
          <w:tcPr>
            <w:tcW w:w="18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111827"/>
                <w:sz w:val="24"/>
                <w:szCs w:val="24"/>
                <w:shd w:val="clear" w:color="auto" w:fill="FFFFFF"/>
              </w:rPr>
              <w:t>CC(C)(C1CC2=C(O1)C=CC3=C2O[C@@H](CC3=O)C4=C(C=C(C=C4)O)O)O</w:t>
            </w:r>
          </w:p>
        </w:tc>
      </w:tr>
      <w:tr w:rsidR="00DD44AA" w:rsidRPr="00FA037F" w:rsidTr="00487E13">
        <w:tc>
          <w:tcPr>
            <w:tcW w:w="816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519" w:type="dxa"/>
          </w:tcPr>
          <w:p w:rsidR="00DD44AA" w:rsidRPr="00FA037F" w:rsidRDefault="00DD44AA" w:rsidP="00487E13">
            <w:pPr>
              <w:pStyle w:val="Heading1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FA037F">
              <w:rPr>
                <w:b w:val="0"/>
                <w:bCs w:val="0"/>
                <w:sz w:val="24"/>
                <w:szCs w:val="24"/>
              </w:rPr>
              <w:t>Oxyresveratrol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5281717</w:t>
            </w:r>
          </w:p>
        </w:tc>
        <w:tc>
          <w:tcPr>
            <w:tcW w:w="27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F3D185E" wp14:editId="55DC8FA2">
                  <wp:extent cx="1638300" cy="1638300"/>
                  <wp:effectExtent l="0" t="0" r="0" b="0"/>
                  <wp:docPr id="5" name="Picture 5" descr="Oxyresveratro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Oxyresveratro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63830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-7.320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-42.94</w:t>
            </w:r>
          </w:p>
        </w:tc>
        <w:tc>
          <w:tcPr>
            <w:tcW w:w="18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111827"/>
                <w:sz w:val="24"/>
                <w:szCs w:val="24"/>
                <w:shd w:val="clear" w:color="auto" w:fill="FFFFFF"/>
              </w:rPr>
              <w:t>C1=CC(=C(C=C1O)O)/C=C/C2=CC(=CC(=C2)O)O</w:t>
            </w:r>
          </w:p>
        </w:tc>
      </w:tr>
      <w:tr w:rsidR="00DD44AA" w:rsidRPr="00FA037F" w:rsidTr="00487E13">
        <w:tc>
          <w:tcPr>
            <w:tcW w:w="816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1519" w:type="dxa"/>
          </w:tcPr>
          <w:p w:rsidR="00DD44AA" w:rsidRPr="00FA037F" w:rsidRDefault="00DD44AA" w:rsidP="00487E13">
            <w:pPr>
              <w:pStyle w:val="Heading1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FA037F">
              <w:rPr>
                <w:b w:val="0"/>
                <w:bCs w:val="0"/>
                <w:sz w:val="24"/>
                <w:szCs w:val="24"/>
              </w:rPr>
              <w:t>Gnetin C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21633857</w:t>
            </w:r>
          </w:p>
        </w:tc>
        <w:tc>
          <w:tcPr>
            <w:tcW w:w="27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97F309E" wp14:editId="6F78CD0D">
                  <wp:extent cx="1638300" cy="1638300"/>
                  <wp:effectExtent l="0" t="0" r="0" b="0"/>
                  <wp:docPr id="6" name="Picture 6" descr="Gnetin 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Gnetin 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-7.265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-57.41</w:t>
            </w:r>
          </w:p>
        </w:tc>
        <w:tc>
          <w:tcPr>
            <w:tcW w:w="18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111827"/>
                <w:sz w:val="24"/>
                <w:szCs w:val="24"/>
                <w:shd w:val="clear" w:color="auto" w:fill="FFFFFF"/>
              </w:rPr>
              <w:t>C1=CC(=CC=C1/C=C/C2=CC(=C3[C@@H]([C@H](OC3=C2)C4=CC=C(C=C4)O)C5=CC(=CC(=C5)O)O)O)O</w:t>
            </w:r>
          </w:p>
        </w:tc>
      </w:tr>
      <w:tr w:rsidR="00DD44AA" w:rsidRPr="00FA037F" w:rsidTr="00487E13">
        <w:tc>
          <w:tcPr>
            <w:tcW w:w="816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1519" w:type="dxa"/>
          </w:tcPr>
          <w:p w:rsidR="00DD44AA" w:rsidRPr="00FA037F" w:rsidRDefault="00DD44AA" w:rsidP="00487E13">
            <w:pPr>
              <w:pStyle w:val="Heading1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FA037F">
              <w:rPr>
                <w:b w:val="0"/>
                <w:bCs w:val="0"/>
                <w:sz w:val="24"/>
                <w:szCs w:val="24"/>
              </w:rPr>
              <w:t>Melannin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442808</w:t>
            </w:r>
          </w:p>
        </w:tc>
        <w:tc>
          <w:tcPr>
            <w:tcW w:w="27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85F59A5" wp14:editId="4CFED466">
                  <wp:extent cx="1619250" cy="1619250"/>
                  <wp:effectExtent l="0" t="0" r="0" b="0"/>
                  <wp:docPr id="7" name="Picture 7" descr="Melann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Melann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-7.203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-41.49</w:t>
            </w:r>
          </w:p>
        </w:tc>
        <w:tc>
          <w:tcPr>
            <w:tcW w:w="18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111827"/>
                <w:sz w:val="24"/>
                <w:szCs w:val="24"/>
                <w:shd w:val="clear" w:color="auto" w:fill="FFFFFF"/>
              </w:rPr>
              <w:t>COC1=C(C=C2C(=CC(=O)OC2=C1)C3=CC=C(C=C3)O)O</w:t>
            </w:r>
          </w:p>
        </w:tc>
      </w:tr>
      <w:tr w:rsidR="00DD44AA" w:rsidRPr="00FA037F" w:rsidTr="00487E13">
        <w:tc>
          <w:tcPr>
            <w:tcW w:w="816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1519" w:type="dxa"/>
          </w:tcPr>
          <w:p w:rsidR="00DD44AA" w:rsidRPr="00FA037F" w:rsidRDefault="00DD44AA" w:rsidP="00487E13">
            <w:pPr>
              <w:pStyle w:val="Heading1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FA037F">
              <w:rPr>
                <w:b w:val="0"/>
                <w:bCs w:val="0"/>
                <w:sz w:val="24"/>
                <w:szCs w:val="24"/>
              </w:rPr>
              <w:t>Morusyunnansins D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57333038</w:t>
            </w:r>
          </w:p>
        </w:tc>
        <w:tc>
          <w:tcPr>
            <w:tcW w:w="27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7273581" wp14:editId="663C77A5">
                  <wp:extent cx="1657350" cy="1657350"/>
                  <wp:effectExtent l="0" t="0" r="0" b="0"/>
                  <wp:docPr id="8" name="Picture 8" descr="Morusyunnansins 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Morusyunnansins 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-7.193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-58.38</w:t>
            </w:r>
          </w:p>
        </w:tc>
        <w:tc>
          <w:tcPr>
            <w:tcW w:w="1800" w:type="dxa"/>
          </w:tcPr>
          <w:p w:rsidR="00DD44AA" w:rsidRPr="00FA037F" w:rsidRDefault="00DD44AA" w:rsidP="00487E13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11827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color w:val="111827"/>
                <w:sz w:val="24"/>
                <w:szCs w:val="24"/>
              </w:rPr>
              <w:t>CC(=CCC1=C(C=CC(=C1O)CCC(C2=C(C=C(C=C2)O)O)C3=C(C=C(C(=C3)[C@@H]4CCC5=C(O4)C(=C(C=C5)OC)CC=C(C)C)O)O)OC)C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4AA" w:rsidRPr="00FA037F" w:rsidTr="00487E13">
        <w:tc>
          <w:tcPr>
            <w:tcW w:w="816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08</w:t>
            </w:r>
          </w:p>
        </w:tc>
        <w:tc>
          <w:tcPr>
            <w:tcW w:w="1519" w:type="dxa"/>
          </w:tcPr>
          <w:p w:rsidR="00DD44AA" w:rsidRPr="00FA037F" w:rsidRDefault="00DD44AA" w:rsidP="00487E13">
            <w:pPr>
              <w:pStyle w:val="Heading1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FA037F">
              <w:rPr>
                <w:b w:val="0"/>
                <w:bCs w:val="0"/>
                <w:sz w:val="24"/>
                <w:szCs w:val="24"/>
              </w:rPr>
              <w:t>Butein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5281222</w:t>
            </w:r>
          </w:p>
        </w:tc>
        <w:tc>
          <w:tcPr>
            <w:tcW w:w="27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8C6D05B" wp14:editId="3E33FD9D">
                  <wp:extent cx="1695450" cy="1695450"/>
                  <wp:effectExtent l="0" t="0" r="0" b="0"/>
                  <wp:docPr id="9" name="Picture 9" descr="Bute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Bute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-7.185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-37.23</w:t>
            </w:r>
          </w:p>
        </w:tc>
        <w:tc>
          <w:tcPr>
            <w:tcW w:w="18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111827"/>
                <w:sz w:val="24"/>
                <w:szCs w:val="24"/>
                <w:shd w:val="clear" w:color="auto" w:fill="FFFFFF"/>
              </w:rPr>
              <w:t>C1=CC(=C(C=C1/C=C/C(=O)C2=C(C=C(C=C2)O)O)O)O</w:t>
            </w:r>
          </w:p>
        </w:tc>
      </w:tr>
      <w:tr w:rsidR="00DD44AA" w:rsidRPr="00FA037F" w:rsidTr="00487E13">
        <w:tc>
          <w:tcPr>
            <w:tcW w:w="816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1519" w:type="dxa"/>
          </w:tcPr>
          <w:p w:rsidR="00DD44AA" w:rsidRPr="00FA037F" w:rsidRDefault="00DD44AA" w:rsidP="00487E13">
            <w:pPr>
              <w:pStyle w:val="Heading1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FA037F">
              <w:rPr>
                <w:b w:val="0"/>
                <w:bCs w:val="0"/>
                <w:sz w:val="24"/>
                <w:szCs w:val="24"/>
              </w:rPr>
              <w:t>3,3',5-Trihydroxybibenzyl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21574990</w:t>
            </w:r>
          </w:p>
        </w:tc>
        <w:tc>
          <w:tcPr>
            <w:tcW w:w="27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953F9B" wp14:editId="57B619C3">
                  <wp:extent cx="1638300" cy="1638300"/>
                  <wp:effectExtent l="0" t="0" r="0" b="0"/>
                  <wp:docPr id="10" name="Picture 10" descr="3,3',5-Trihydroxybibenzy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3,3',5-Trihydroxybibenzy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-7.171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-38.44</w:t>
            </w:r>
          </w:p>
        </w:tc>
        <w:tc>
          <w:tcPr>
            <w:tcW w:w="18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111827"/>
                <w:sz w:val="24"/>
                <w:szCs w:val="24"/>
                <w:shd w:val="clear" w:color="auto" w:fill="FFFFFF"/>
              </w:rPr>
              <w:t>C1=CC(=CC(=C1)O)CCC2=CC(=CC(=C2)O)O</w:t>
            </w:r>
          </w:p>
        </w:tc>
      </w:tr>
      <w:tr w:rsidR="00DD44AA" w:rsidRPr="00FA037F" w:rsidTr="00487E13">
        <w:tc>
          <w:tcPr>
            <w:tcW w:w="816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19" w:type="dxa"/>
          </w:tcPr>
          <w:p w:rsidR="00DD44AA" w:rsidRPr="00FA037F" w:rsidRDefault="00DD44AA" w:rsidP="00487E13">
            <w:pPr>
              <w:pStyle w:val="Heading1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FA037F">
              <w:rPr>
                <w:b w:val="0"/>
                <w:bCs w:val="0"/>
                <w:sz w:val="24"/>
                <w:szCs w:val="24"/>
              </w:rPr>
              <w:t>Daphnodorin A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72426</w:t>
            </w:r>
          </w:p>
        </w:tc>
        <w:tc>
          <w:tcPr>
            <w:tcW w:w="27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0742CF" wp14:editId="319AA111">
                  <wp:extent cx="1647825" cy="1647825"/>
                  <wp:effectExtent l="0" t="0" r="9525" b="9525"/>
                  <wp:docPr id="11" name="Picture 11" descr="Daphnodorin 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Daphnodorin 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-7.086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-50.51</w:t>
            </w:r>
          </w:p>
        </w:tc>
        <w:tc>
          <w:tcPr>
            <w:tcW w:w="18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111827"/>
                <w:sz w:val="24"/>
                <w:szCs w:val="24"/>
                <w:shd w:val="clear" w:color="auto" w:fill="FFFFFF"/>
              </w:rPr>
              <w:t>C1CC2=C(C3=C(C=C2O)OC(=C3C(=O)C4=C(C=C(C=C4O)O)O)C5=CC=C(C=C5)O)O[C@@H]1C6=CC=C(C=C6)O</w:t>
            </w:r>
          </w:p>
        </w:tc>
      </w:tr>
      <w:tr w:rsidR="00DD44AA" w:rsidRPr="00FA037F" w:rsidTr="00487E13">
        <w:tc>
          <w:tcPr>
            <w:tcW w:w="816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19" w:type="dxa"/>
          </w:tcPr>
          <w:p w:rsidR="00DD44AA" w:rsidRPr="00FA037F" w:rsidRDefault="00DD44AA" w:rsidP="00487E13">
            <w:pPr>
              <w:pStyle w:val="Heading1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FA037F">
              <w:rPr>
                <w:b w:val="0"/>
                <w:bCs w:val="0"/>
                <w:sz w:val="24"/>
                <w:szCs w:val="24"/>
              </w:rPr>
              <w:t>4'-O-Methylgallocatechin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44257120</w:t>
            </w:r>
          </w:p>
        </w:tc>
        <w:tc>
          <w:tcPr>
            <w:tcW w:w="27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421E6EA" wp14:editId="73A46909">
                  <wp:extent cx="1638300" cy="1638300"/>
                  <wp:effectExtent l="0" t="0" r="0" b="0"/>
                  <wp:docPr id="12" name="Picture 12" descr="4'-O-Methylgallocatech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4'-O-Methylgallocatech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-7.085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-42.50</w:t>
            </w:r>
          </w:p>
        </w:tc>
        <w:tc>
          <w:tcPr>
            <w:tcW w:w="18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111827"/>
                <w:sz w:val="24"/>
                <w:szCs w:val="24"/>
                <w:shd w:val="clear" w:color="auto" w:fill="FFFFFF"/>
              </w:rPr>
              <w:t>COC1=C(C=C(C=C1O)[C@@H]2[C@H](CC3=C(C=C(C=C3O2)O)O)O)O</w:t>
            </w:r>
          </w:p>
        </w:tc>
      </w:tr>
      <w:tr w:rsidR="00DD44AA" w:rsidRPr="00FA037F" w:rsidTr="00487E13">
        <w:tc>
          <w:tcPr>
            <w:tcW w:w="816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12</w:t>
            </w:r>
          </w:p>
        </w:tc>
        <w:tc>
          <w:tcPr>
            <w:tcW w:w="1519" w:type="dxa"/>
          </w:tcPr>
          <w:p w:rsidR="00DD44AA" w:rsidRPr="00FA037F" w:rsidRDefault="00DD44AA" w:rsidP="00487E13">
            <w:pPr>
              <w:pStyle w:val="Heading1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FA037F">
              <w:rPr>
                <w:b w:val="0"/>
                <w:bCs w:val="0"/>
                <w:sz w:val="24"/>
                <w:szCs w:val="24"/>
              </w:rPr>
              <w:t>Chalcones A-N-5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162517550</w:t>
            </w:r>
          </w:p>
        </w:tc>
        <w:tc>
          <w:tcPr>
            <w:tcW w:w="27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5E69CC" wp14:editId="120D5D67">
                  <wp:extent cx="1628775" cy="1628775"/>
                  <wp:effectExtent l="0" t="0" r="9525" b="9525"/>
                  <wp:docPr id="13" name="Picture 13" descr="Chalcones A-N-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halcones A-N-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-7.011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-49.54</w:t>
            </w:r>
          </w:p>
        </w:tc>
        <w:tc>
          <w:tcPr>
            <w:tcW w:w="18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111827"/>
                <w:sz w:val="24"/>
                <w:szCs w:val="24"/>
                <w:shd w:val="clear" w:color="auto" w:fill="FFFFFF"/>
              </w:rPr>
              <w:t>CN(C)C1=NC=C(C=N1)NC2=CC=C(C=C2)/C=C/C(=O)C3=C(C(=C(C=C3)O)O)O</w:t>
            </w:r>
          </w:p>
        </w:tc>
      </w:tr>
      <w:tr w:rsidR="00DD44AA" w:rsidRPr="00FA037F" w:rsidTr="00487E13">
        <w:tc>
          <w:tcPr>
            <w:tcW w:w="816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19" w:type="dxa"/>
          </w:tcPr>
          <w:p w:rsidR="00DD44AA" w:rsidRPr="00FA037F" w:rsidRDefault="00DD44AA" w:rsidP="00487E13">
            <w:pPr>
              <w:pStyle w:val="Heading1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FA037F">
              <w:rPr>
                <w:b w:val="0"/>
                <w:bCs w:val="0"/>
                <w:sz w:val="24"/>
                <w:szCs w:val="24"/>
              </w:rPr>
              <w:t>Robinetinidol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12314983</w:t>
            </w:r>
          </w:p>
        </w:tc>
        <w:tc>
          <w:tcPr>
            <w:tcW w:w="27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5C4E4ED" wp14:editId="0D8F2DE5">
                  <wp:extent cx="1657350" cy="1657350"/>
                  <wp:effectExtent l="0" t="0" r="0" b="0"/>
                  <wp:docPr id="14" name="Picture 14" descr="Robinetinido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Robinetinido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-6.929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-48.96</w:t>
            </w:r>
          </w:p>
        </w:tc>
        <w:tc>
          <w:tcPr>
            <w:tcW w:w="1800" w:type="dxa"/>
          </w:tcPr>
          <w:p w:rsidR="00DD44AA" w:rsidRPr="00FA037F" w:rsidRDefault="00DD44AA" w:rsidP="00487E13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11827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color w:val="111827"/>
                <w:sz w:val="24"/>
                <w:szCs w:val="24"/>
              </w:rPr>
              <w:t>C1[C@@H]([C@H](OC2=C1C=CC(=C2)O)C3=CC(=C(C(=C3)O)O)O)O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4AA" w:rsidRPr="00FA037F" w:rsidTr="00487E13">
        <w:tc>
          <w:tcPr>
            <w:tcW w:w="816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519" w:type="dxa"/>
          </w:tcPr>
          <w:p w:rsidR="00DD44AA" w:rsidRPr="00FA037F" w:rsidRDefault="00DD44AA" w:rsidP="00487E13">
            <w:pPr>
              <w:pStyle w:val="Heading1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FA037F">
              <w:rPr>
                <w:b w:val="0"/>
                <w:bCs w:val="0"/>
                <w:sz w:val="24"/>
                <w:szCs w:val="24"/>
              </w:rPr>
              <w:t>Tricetin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5281701</w:t>
            </w:r>
          </w:p>
        </w:tc>
        <w:tc>
          <w:tcPr>
            <w:tcW w:w="27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8E05CD8" wp14:editId="62569C37">
                  <wp:extent cx="1657350" cy="1657350"/>
                  <wp:effectExtent l="0" t="0" r="0" b="0"/>
                  <wp:docPr id="15" name="Picture 15" descr="Tricet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Tricet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-6.928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-39.11</w:t>
            </w:r>
          </w:p>
        </w:tc>
        <w:tc>
          <w:tcPr>
            <w:tcW w:w="1800" w:type="dxa"/>
          </w:tcPr>
          <w:p w:rsidR="00DD44AA" w:rsidRPr="00FA037F" w:rsidRDefault="00DD44AA" w:rsidP="00487E13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11827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color w:val="111827"/>
                <w:sz w:val="24"/>
                <w:szCs w:val="24"/>
              </w:rPr>
              <w:t>C1=C(C=C(C(=C1O)O)O)C2=CC(=O)C3=C(C=C(C=C3O2)O)O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4AA" w:rsidRPr="00FA037F" w:rsidTr="00487E13">
        <w:tc>
          <w:tcPr>
            <w:tcW w:w="816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519" w:type="dxa"/>
          </w:tcPr>
          <w:p w:rsidR="00DD44AA" w:rsidRPr="00FA037F" w:rsidRDefault="00DD44AA" w:rsidP="00487E13">
            <w:pPr>
              <w:pStyle w:val="Heading1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FA037F">
              <w:rPr>
                <w:b w:val="0"/>
                <w:bCs w:val="0"/>
                <w:sz w:val="24"/>
                <w:szCs w:val="24"/>
              </w:rPr>
              <w:t>2',4',7-Trihydroxy-flavanone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91557562</w:t>
            </w:r>
          </w:p>
        </w:tc>
        <w:tc>
          <w:tcPr>
            <w:tcW w:w="27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FB3CA57" wp14:editId="1F6635B6">
                  <wp:extent cx="1647825" cy="1647825"/>
                  <wp:effectExtent l="0" t="0" r="9525" b="9525"/>
                  <wp:docPr id="16" name="Picture 16" descr="2',4',7-Trihydroxy-flavanon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2',4',7-Trihydroxy-flavanon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-6.902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-36.25</w:t>
            </w:r>
          </w:p>
        </w:tc>
        <w:tc>
          <w:tcPr>
            <w:tcW w:w="1800" w:type="dxa"/>
          </w:tcPr>
          <w:p w:rsidR="00DD44AA" w:rsidRPr="00FA037F" w:rsidRDefault="00DD44AA" w:rsidP="00487E13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11827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color w:val="111827"/>
                <w:sz w:val="24"/>
                <w:szCs w:val="24"/>
              </w:rPr>
              <w:t>C1C(OC2=C(C1=O)C=CC(=C2)O)C3=C(C=C(C=C3)O)O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4AA" w:rsidRPr="00FA037F" w:rsidTr="00487E13">
        <w:tc>
          <w:tcPr>
            <w:tcW w:w="816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16</w:t>
            </w:r>
          </w:p>
        </w:tc>
        <w:tc>
          <w:tcPr>
            <w:tcW w:w="1519" w:type="dxa"/>
          </w:tcPr>
          <w:p w:rsidR="00DD44AA" w:rsidRPr="00FA037F" w:rsidRDefault="00DD44AA" w:rsidP="00487E13">
            <w:pPr>
              <w:pStyle w:val="Heading1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FA037F">
              <w:rPr>
                <w:b w:val="0"/>
                <w:bCs w:val="0"/>
                <w:sz w:val="24"/>
                <w:szCs w:val="24"/>
              </w:rPr>
              <w:t>Quercetin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5280343</w:t>
            </w:r>
          </w:p>
        </w:tc>
        <w:tc>
          <w:tcPr>
            <w:tcW w:w="27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F27533F" wp14:editId="12B16058">
                  <wp:extent cx="1590675" cy="1590675"/>
                  <wp:effectExtent l="0" t="0" r="9525" b="9525"/>
                  <wp:docPr id="17" name="Picture 17" descr="Quercet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Quercet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-6.888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-32.86</w:t>
            </w:r>
          </w:p>
        </w:tc>
        <w:tc>
          <w:tcPr>
            <w:tcW w:w="1800" w:type="dxa"/>
          </w:tcPr>
          <w:p w:rsidR="00DD44AA" w:rsidRPr="00FA037F" w:rsidRDefault="00DD44AA" w:rsidP="00487E13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11827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color w:val="111827"/>
                <w:sz w:val="24"/>
                <w:szCs w:val="24"/>
              </w:rPr>
              <w:t>C1=CC(=C(C=C1C2=C(C(=O)C3=C(C=C(C=C3O2)O)O)O)O)O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4AA" w:rsidRPr="00FA037F" w:rsidTr="00487E13">
        <w:tc>
          <w:tcPr>
            <w:tcW w:w="816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519" w:type="dxa"/>
          </w:tcPr>
          <w:p w:rsidR="00DD44AA" w:rsidRPr="00FA037F" w:rsidRDefault="00DD44AA" w:rsidP="00995F8C">
            <w:pPr>
              <w:pStyle w:val="Heading1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outlineLvl w:val="0"/>
              <w:rPr>
                <w:b w:val="0"/>
                <w:sz w:val="24"/>
                <w:szCs w:val="24"/>
              </w:rPr>
            </w:pPr>
            <w:r w:rsidRPr="00FA037F">
              <w:rPr>
                <w:b w:val="0"/>
                <w:bCs w:val="0"/>
                <w:sz w:val="24"/>
                <w:szCs w:val="24"/>
              </w:rPr>
              <w:t>7-Hydroxy-3-[4-hydroxy-3-[2-hydroxy-5-(7-hydroxy-4-oxochromen-3-yl)phenyl]phenyl]chromen-4-one</w:t>
            </w: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71618826</w:t>
            </w:r>
          </w:p>
        </w:tc>
        <w:tc>
          <w:tcPr>
            <w:tcW w:w="27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9C9DC3F" wp14:editId="10133348">
                  <wp:extent cx="1657350" cy="1657350"/>
                  <wp:effectExtent l="0" t="0" r="0" b="0"/>
                  <wp:docPr id="18" name="Picture 18" descr="7-Hydroxy-3-[4-hydroxy-3-[2-hydroxy-5-(7-hydroxy-4-oxochromen-3-yl)phenyl]phenyl]chromen-4-on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7-Hydroxy-3-[4-hydroxy-3-[2-hydroxy-5-(7-hydroxy-4-oxochromen-3-yl)phenyl]phenyl]chromen-4-on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-6.882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-51.27</w:t>
            </w:r>
          </w:p>
        </w:tc>
        <w:tc>
          <w:tcPr>
            <w:tcW w:w="1800" w:type="dxa"/>
          </w:tcPr>
          <w:p w:rsidR="00DD44AA" w:rsidRPr="00FA037F" w:rsidRDefault="00DD44AA" w:rsidP="00487E13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11827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color w:val="111827"/>
                <w:sz w:val="24"/>
                <w:szCs w:val="24"/>
              </w:rPr>
              <w:t>C1=CC(=C(C=C1C2=COC3=C(C2=O)C=CC(=C3)O)C4=C(C=CC(=C4)C5=COC6=C(C5=O)C=CC(=C6)O)O)O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4AA" w:rsidRPr="00FA037F" w:rsidTr="00487E13">
        <w:tc>
          <w:tcPr>
            <w:tcW w:w="816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519" w:type="dxa"/>
          </w:tcPr>
          <w:p w:rsidR="00DD44AA" w:rsidRPr="00FA037F" w:rsidRDefault="00DD44AA" w:rsidP="00487E13">
            <w:pPr>
              <w:pStyle w:val="Heading1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FA037F">
              <w:rPr>
                <w:b w:val="0"/>
                <w:bCs w:val="0"/>
                <w:sz w:val="24"/>
                <w:szCs w:val="24"/>
              </w:rPr>
              <w:t>Moracin O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14539883</w:t>
            </w:r>
          </w:p>
        </w:tc>
        <w:tc>
          <w:tcPr>
            <w:tcW w:w="27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A31531" wp14:editId="4A70CFF1">
                  <wp:extent cx="1666875" cy="1666875"/>
                  <wp:effectExtent l="0" t="0" r="9525" b="9525"/>
                  <wp:docPr id="19" name="Picture 19" descr="Moracin 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Moracin 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-6.869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-36.69</w:t>
            </w:r>
          </w:p>
        </w:tc>
        <w:tc>
          <w:tcPr>
            <w:tcW w:w="1800" w:type="dxa"/>
          </w:tcPr>
          <w:p w:rsidR="00DD44AA" w:rsidRPr="00FA037F" w:rsidRDefault="00DD44AA" w:rsidP="00487E13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11827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color w:val="111827"/>
                <w:sz w:val="24"/>
                <w:szCs w:val="24"/>
              </w:rPr>
              <w:t>CC(C)(C1CC2=C(O1)C=C3C(=C2)C=C(O3)C4=CC(=CC(=C4)O)O)O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4AA" w:rsidRPr="00FA037F" w:rsidTr="00487E13">
        <w:tc>
          <w:tcPr>
            <w:tcW w:w="816" w:type="dxa"/>
          </w:tcPr>
          <w:p w:rsidR="00DD44AA" w:rsidRPr="00FA037F" w:rsidRDefault="00DD44AA" w:rsidP="00487E13">
            <w:pPr>
              <w:tabs>
                <w:tab w:val="left" w:pos="180"/>
                <w:tab w:val="center" w:pos="324"/>
              </w:tabs>
              <w:spacing w:after="16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19</w:t>
            </w:r>
          </w:p>
        </w:tc>
        <w:tc>
          <w:tcPr>
            <w:tcW w:w="1519" w:type="dxa"/>
          </w:tcPr>
          <w:p w:rsidR="00DD44AA" w:rsidRPr="00FA037F" w:rsidRDefault="00DD44AA" w:rsidP="00487E13">
            <w:pPr>
              <w:pStyle w:val="Heading1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FA037F">
              <w:rPr>
                <w:b w:val="0"/>
                <w:bCs w:val="0"/>
                <w:sz w:val="24"/>
                <w:szCs w:val="24"/>
              </w:rPr>
              <w:t>[(2S,3R,4R,5S)-5-[2-(3,4-dihydroxyphenyl)-5,7-dihydroxy-4-oxochromen-3-yl]oxy-3,4-dihydroxyoxolan-2-yl]methyl 3,4,5-trihydroxybenzoate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11410680</w:t>
            </w:r>
          </w:p>
        </w:tc>
        <w:tc>
          <w:tcPr>
            <w:tcW w:w="27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4E633E7" wp14:editId="6E621F93">
                  <wp:extent cx="1581150" cy="1581150"/>
                  <wp:effectExtent l="0" t="0" r="0" b="0"/>
                  <wp:docPr id="20" name="Picture 20" descr="[(2S,3R,4R,5S)-5-[2-(3,4-dihydroxyphenyl)-5,7-dihydroxy-4-oxochromen-3-yl]oxy-3,4-dihydroxyoxolan-2-yl]methyl 3,4,5-trihydroxybenzoa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[(2S,3R,4R,5S)-5-[2-(3,4-dihydroxyphenyl)-5,7-dihydroxy-4-oxochromen-3-yl]oxy-3,4-dihydroxyoxolan-2-yl]methyl 3,4,5-trihydroxybenzoat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-6.867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-64.54</w:t>
            </w:r>
          </w:p>
        </w:tc>
        <w:tc>
          <w:tcPr>
            <w:tcW w:w="1800" w:type="dxa"/>
          </w:tcPr>
          <w:p w:rsidR="00DD44AA" w:rsidRPr="00FA037F" w:rsidRDefault="00DD44AA" w:rsidP="00487E13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11827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color w:val="111827"/>
                <w:sz w:val="24"/>
                <w:szCs w:val="24"/>
              </w:rPr>
              <w:t>C1=CC(=C(C=C1C2=C(C(=O)C3=C(C=C(C=C3O2)O)O)O[C@H]4[C@@H]([C@H]([C@@H](O4)COC(=O)C5=CC(=C(C(=C5)O)O)O)O)O)O)O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4AA" w:rsidRPr="00FA037F" w:rsidTr="00487E13">
        <w:tc>
          <w:tcPr>
            <w:tcW w:w="816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519" w:type="dxa"/>
          </w:tcPr>
          <w:p w:rsidR="00DD44AA" w:rsidRPr="00FA037F" w:rsidRDefault="00DD44AA" w:rsidP="00487E13">
            <w:pPr>
              <w:pStyle w:val="Heading1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FA037F">
              <w:rPr>
                <w:b w:val="0"/>
                <w:bCs w:val="0"/>
                <w:sz w:val="24"/>
                <w:szCs w:val="24"/>
              </w:rPr>
              <w:t>5-[(E)-2-(3,5-dihydroxyphenyl)ethenyl]benzene-1,2,3-triol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9859982</w:t>
            </w:r>
          </w:p>
        </w:tc>
        <w:tc>
          <w:tcPr>
            <w:tcW w:w="270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5623181" wp14:editId="6311F94E">
                  <wp:extent cx="1666875" cy="1666875"/>
                  <wp:effectExtent l="0" t="0" r="9525" b="9525"/>
                  <wp:docPr id="21" name="Picture 21" descr="5-[(E)-2-(3,5-dihydroxyphenyl)ethenyl]benzene-1,2,3-trio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5-[(E)-2-(3,5-dihydroxyphenyl)ethenyl]benzene-1,2,3-trio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-6.853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-46.75</w:t>
            </w:r>
          </w:p>
        </w:tc>
        <w:tc>
          <w:tcPr>
            <w:tcW w:w="1800" w:type="dxa"/>
          </w:tcPr>
          <w:p w:rsidR="00DD44AA" w:rsidRPr="00FA037F" w:rsidRDefault="00DD44AA" w:rsidP="00487E13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11827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color w:val="111827"/>
                <w:sz w:val="24"/>
                <w:szCs w:val="24"/>
              </w:rPr>
              <w:t>C1=C(C=C(C=C1O)O)/C=C/C2=CC(=C(C(=C2)O)O)O</w:t>
            </w: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D44AA" w:rsidRPr="00FA037F" w:rsidRDefault="00DD44AA" w:rsidP="00DD44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:rsidR="00DD44AA" w:rsidRPr="00FA037F" w:rsidRDefault="00DD44AA" w:rsidP="00DD44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:rsidR="00DD44AA" w:rsidRPr="00FA037F" w:rsidRDefault="00DD44AA" w:rsidP="00DD44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A037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Table 2.</w:t>
      </w:r>
      <w:r w:rsidRPr="00FA037F">
        <w:rPr>
          <w:rFonts w:ascii="Times New Roman" w:eastAsia="Times New Roman" w:hAnsi="Times New Roman" w:cs="Times New Roman"/>
          <w:color w:val="222222"/>
          <w:sz w:val="24"/>
          <w:szCs w:val="24"/>
        </w:rPr>
        <w:t> Pharmacokinetics analysis of the</w:t>
      </w:r>
      <w:r w:rsidR="005F05D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Top six</w:t>
      </w:r>
      <w:r w:rsidRPr="00FA037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compounds</w:t>
      </w:r>
      <w:r w:rsidR="005F05DB">
        <w:rPr>
          <w:rFonts w:ascii="Times New Roman" w:eastAsia="Times New Roman" w:hAnsi="Times New Roman" w:cs="Times New Roman"/>
          <w:color w:val="222222"/>
          <w:sz w:val="24"/>
          <w:szCs w:val="24"/>
        </w:rPr>
        <w:t>, including Control</w:t>
      </w:r>
      <w:r w:rsidRPr="00FA037F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DD44AA" w:rsidRPr="00FA037F" w:rsidRDefault="00DD44A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PlainTable1"/>
        <w:tblW w:w="10482" w:type="dxa"/>
        <w:jc w:val="center"/>
        <w:tblLayout w:type="fixed"/>
        <w:tblLook w:val="0600" w:firstRow="0" w:lastRow="0" w:firstColumn="0" w:lastColumn="0" w:noHBand="1" w:noVBand="1"/>
      </w:tblPr>
      <w:tblGrid>
        <w:gridCol w:w="1638"/>
        <w:gridCol w:w="1980"/>
        <w:gridCol w:w="1533"/>
        <w:gridCol w:w="1106"/>
        <w:gridCol w:w="1116"/>
        <w:gridCol w:w="928"/>
        <w:gridCol w:w="1019"/>
        <w:gridCol w:w="1162"/>
      </w:tblGrid>
      <w:tr w:rsidR="00DD44AA" w:rsidRPr="00FA037F" w:rsidTr="00487E13">
        <w:trPr>
          <w:trHeight w:val="435"/>
          <w:jc w:val="center"/>
        </w:trPr>
        <w:tc>
          <w:tcPr>
            <w:tcW w:w="1638" w:type="dxa"/>
            <w:vMerge w:val="restart"/>
          </w:tcPr>
          <w:p w:rsidR="00DD44AA" w:rsidRPr="00FA037F" w:rsidRDefault="00DD44AA" w:rsidP="00DD44AA">
            <w:pPr>
              <w:spacing w:after="16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44AA" w:rsidRPr="00FA037F" w:rsidRDefault="00DD44AA" w:rsidP="00DD44AA">
            <w:pPr>
              <w:spacing w:after="16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44AA" w:rsidRPr="00FA037F" w:rsidRDefault="00DD44AA" w:rsidP="00DD44AA">
            <w:pPr>
              <w:spacing w:after="16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44AA" w:rsidRPr="00FA037F" w:rsidRDefault="00DD44AA" w:rsidP="00C962FF">
            <w:pPr>
              <w:spacing w:after="16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Physico-chemical </w:t>
            </w:r>
            <w:r w:rsidR="00C962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properties</w:t>
            </w:r>
            <w:bookmarkStart w:id="0" w:name="_GoBack"/>
            <w:bookmarkEnd w:id="0"/>
          </w:p>
        </w:tc>
        <w:tc>
          <w:tcPr>
            <w:tcW w:w="1980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Parameters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Azeliragon</w:t>
            </w:r>
            <w:r w:rsidR="005F05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5F05DB">
              <w:rPr>
                <w:rFonts w:ascii="Times New Roman" w:eastAsia="Times New Roman" w:hAnsi="Times New Roman" w:cs="Times New Roman"/>
                <w:sz w:val="24"/>
                <w:szCs w:val="24"/>
              </w:rPr>
              <w:t>Control</w:t>
            </w:r>
            <w:r w:rsidR="005F05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CID-</w:t>
            </w: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21633857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CID-</w:t>
            </w: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57333038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CID-</w:t>
            </w: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72426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CID-</w:t>
            </w: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71618826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CID-</w:t>
            </w: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11410680</w:t>
            </w:r>
          </w:p>
        </w:tc>
      </w:tr>
      <w:tr w:rsidR="00DD44AA" w:rsidRPr="00FA037F" w:rsidTr="00487E13">
        <w:trPr>
          <w:trHeight w:val="709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MW (g/mol)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532.12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454.47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680.83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526.49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506.46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586.45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Num. rot.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HBD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HBA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logP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6.38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2.84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4.89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2.38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3.09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1.74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L.V.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DD44AA" w:rsidRPr="00FA037F" w:rsidTr="00487E13">
        <w:trPr>
          <w:trHeight w:val="610"/>
          <w:jc w:val="center"/>
        </w:trPr>
        <w:tc>
          <w:tcPr>
            <w:tcW w:w="1638" w:type="dxa"/>
            <w:vMerge w:val="restart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44AA" w:rsidRPr="00FA037F" w:rsidRDefault="00DD44AA" w:rsidP="00487E1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Drug -likeness</w:t>
            </w:r>
          </w:p>
        </w:tc>
        <w:tc>
          <w:tcPr>
            <w:tcW w:w="1980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TPSA (Å2)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39.52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110.38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128.84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160.82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141.34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257.04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ESOL Log S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-7.90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-6.32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-9.95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-6.91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-6.33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-4.40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B.S.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0.55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0.17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0.17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0.55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0.17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S.A.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4.28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4.42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6.16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4.81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3.98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5.61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 w:val="restart"/>
          </w:tcPr>
          <w:p w:rsidR="00DD44AA" w:rsidRPr="00FA037F" w:rsidRDefault="00DD44AA" w:rsidP="00487E13">
            <w:pPr>
              <w:tabs>
                <w:tab w:val="left" w:pos="2148"/>
              </w:tabs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Absorption Parameters</w:t>
            </w:r>
          </w:p>
        </w:tc>
        <w:tc>
          <w:tcPr>
            <w:tcW w:w="1980" w:type="dxa"/>
          </w:tcPr>
          <w:p w:rsidR="00DD44AA" w:rsidRPr="00FA037F" w:rsidRDefault="00DD44AA" w:rsidP="00487E13">
            <w:pPr>
              <w:tabs>
                <w:tab w:val="left" w:pos="11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Consensus Log Po/w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tabs>
                <w:tab w:val="left" w:pos="11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7.45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tabs>
                <w:tab w:val="left" w:pos="11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3.79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tabs>
                <w:tab w:val="left" w:pos="11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4.06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tabs>
                <w:tab w:val="left" w:pos="11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0.47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tabs>
                <w:tab w:val="left" w:pos="114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tabs>
                <w:tab w:val="left" w:pos="11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Consensus log S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tabs>
                <w:tab w:val="left" w:pos="11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-11.58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tabs>
                <w:tab w:val="left" w:pos="11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-6.87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tabs>
                <w:tab w:val="left" w:pos="11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-10.65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tabs>
                <w:tab w:val="left" w:pos="11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-7.47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tabs>
                <w:tab w:val="left" w:pos="11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-9.89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tabs>
                <w:tab w:val="left" w:pos="11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-2.95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tabs>
                <w:tab w:val="left" w:pos="114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tabs>
                <w:tab w:val="left" w:pos="11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Solubility class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tabs>
                <w:tab w:val="left" w:pos="11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Poorly soluble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Poorly soluble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Insoluble</w:t>
            </w:r>
          </w:p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D44AA" w:rsidRPr="00FA037F" w:rsidRDefault="00DD44AA" w:rsidP="00487E13">
            <w:pPr>
              <w:tabs>
                <w:tab w:val="left" w:pos="11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Poorly soluble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tabs>
                <w:tab w:val="left" w:pos="11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Poorly soluble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tabs>
                <w:tab w:val="left" w:pos="11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Soluble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 w:val="restart"/>
          </w:tcPr>
          <w:p w:rsidR="00DD44AA" w:rsidRPr="00FA037F" w:rsidRDefault="00DD44AA" w:rsidP="00487E13">
            <w:pPr>
              <w:tabs>
                <w:tab w:val="left" w:pos="2148"/>
              </w:tabs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44AA" w:rsidRPr="00FA037F" w:rsidRDefault="00DD44AA" w:rsidP="00487E13">
            <w:pPr>
              <w:tabs>
                <w:tab w:val="left" w:pos="2148"/>
              </w:tabs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Distribution Parameters</w:t>
            </w:r>
          </w:p>
        </w:tc>
        <w:tc>
          <w:tcPr>
            <w:tcW w:w="1980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GI absorption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High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tabs>
                <w:tab w:val="left" w:pos="2148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BBB permeant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No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No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tabs>
                <w:tab w:val="left" w:pos="2148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log Kp (cm/s)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-3.64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-5.24 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-3.32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-5.51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-6.10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-8.75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 w:val="restart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Metabolism Parameters</w:t>
            </w:r>
          </w:p>
        </w:tc>
        <w:tc>
          <w:tcPr>
            <w:tcW w:w="1980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P-gp substrate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Yes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tabs>
                <w:tab w:val="left" w:pos="1248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CYP1A2 inhibitor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tabs>
                <w:tab w:val="left" w:pos="1248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CYP2C19 inhibitor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tabs>
                <w:tab w:val="left" w:pos="1248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CYP2C9 inhibitor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Yes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Yes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tabs>
                <w:tab w:val="left" w:pos="1248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CYP2D6 inhibitor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tabs>
                <w:tab w:val="left" w:pos="1248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CYP3A4 inhibitor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 w:val="restart"/>
          </w:tcPr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44AA" w:rsidRPr="00FA037F" w:rsidRDefault="00DD44AA" w:rsidP="00487E13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Toxicity</w:t>
            </w:r>
          </w:p>
        </w:tc>
        <w:tc>
          <w:tcPr>
            <w:tcW w:w="1980" w:type="dxa"/>
          </w:tcPr>
          <w:p w:rsidR="00DD44AA" w:rsidRPr="00FA037F" w:rsidRDefault="00DD44AA" w:rsidP="00487E1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LD50 (mg/kg)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Toxicity class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tabs>
                <w:tab w:val="left" w:pos="12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tabs>
                <w:tab w:val="left" w:pos="214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Hepatotoxicity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I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Immunotoxicity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Mutagenicity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tabs>
                <w:tab w:val="left" w:pos="330"/>
                <w:tab w:val="center" w:pos="379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I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Cytotoxicity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DD44AA" w:rsidRPr="00FA037F" w:rsidTr="00487E13">
        <w:trPr>
          <w:trHeight w:val="435"/>
          <w:jc w:val="center"/>
        </w:trPr>
        <w:tc>
          <w:tcPr>
            <w:tcW w:w="1638" w:type="dxa"/>
            <w:vMerge/>
          </w:tcPr>
          <w:p w:rsidR="00DD44AA" w:rsidRPr="00FA037F" w:rsidRDefault="00DD44AA" w:rsidP="00487E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Carcinogenicity</w:t>
            </w:r>
          </w:p>
        </w:tc>
        <w:tc>
          <w:tcPr>
            <w:tcW w:w="1533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0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16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928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019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62" w:type="dxa"/>
          </w:tcPr>
          <w:p w:rsidR="00DD44AA" w:rsidRPr="00FA037F" w:rsidRDefault="00DD44AA" w:rsidP="00487E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</w:tr>
    </w:tbl>
    <w:p w:rsidR="00DD44AA" w:rsidRPr="00FA037F" w:rsidRDefault="00DD44AA" w:rsidP="00DD44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DD44AA" w:rsidRPr="00FA037F" w:rsidRDefault="00DD44AA" w:rsidP="00DD44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A037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Molecular weight (MW); number of rotatable bonds (Num. rot ); number of hydrogen bond donors (HBD); number of hydrogen bond acceptors (HBA); predicted octanol/water partition coefficient (Log P); </w:t>
      </w:r>
      <w:r w:rsidRPr="00FA037F">
        <w:rPr>
          <w:rFonts w:ascii="Times New Roman" w:eastAsia="Times New Roman" w:hAnsi="Times New Roman" w:cs="Times New Roman"/>
          <w:sz w:val="24"/>
          <w:szCs w:val="24"/>
        </w:rPr>
        <w:t>Lipinski Violation</w:t>
      </w:r>
      <w:r w:rsidRPr="00FA037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(L.V.); topological polar surface area (TPSA); </w:t>
      </w:r>
      <w:r w:rsidRPr="00FA037F">
        <w:rPr>
          <w:rFonts w:ascii="Times New Roman" w:eastAsia="Times New Roman" w:hAnsi="Times New Roman" w:cs="Times New Roman"/>
          <w:sz w:val="24"/>
          <w:szCs w:val="24"/>
        </w:rPr>
        <w:t>Bioavailability Score</w:t>
      </w:r>
      <w:r w:rsidRPr="00FA037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(B.S.); </w:t>
      </w:r>
      <w:r w:rsidRPr="00FA037F">
        <w:rPr>
          <w:rFonts w:ascii="Times New Roman" w:eastAsia="Times New Roman" w:hAnsi="Times New Roman" w:cs="Times New Roman"/>
          <w:sz w:val="24"/>
          <w:szCs w:val="24"/>
        </w:rPr>
        <w:t>Synthetic Accessibility (S.A.);</w:t>
      </w:r>
      <w:r w:rsidRPr="00FA037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blood–brain barrier capacity (BBB); Poorly Soluble (P.S.); Insolunle (I.S.); Soluble (S.); Inactive (I); Active (A);</w:t>
      </w:r>
    </w:p>
    <w:p w:rsidR="00555C54" w:rsidRDefault="00034327">
      <w:pPr>
        <w:rPr>
          <w:rFonts w:ascii="Times New Roman" w:hAnsi="Times New Roman" w:cs="Times New Roman"/>
          <w:sz w:val="24"/>
          <w:szCs w:val="24"/>
        </w:rPr>
      </w:pPr>
    </w:p>
    <w:p w:rsidR="00FA037F" w:rsidRPr="00FA037F" w:rsidRDefault="00FA03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Table 3</w:t>
      </w:r>
      <w:r w:rsidRPr="00FA037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r w:rsidRPr="00FA037F">
        <w:rPr>
          <w:rFonts w:ascii="Times New Roman" w:eastAsia="Times New Roman" w:hAnsi="Times New Roman" w:cs="Times New Roman"/>
          <w:color w:val="222222"/>
          <w:sz w:val="24"/>
          <w:szCs w:val="24"/>
        </w:rPr>
        <w:t>Docking propensity scores indicate the biochemical interactions between the selected phytocompounds and the targeted protein complex RAGE (PDB ID: 4LP5).</w:t>
      </w:r>
    </w:p>
    <w:tbl>
      <w:tblPr>
        <w:tblStyle w:val="TableGrid"/>
        <w:tblW w:w="10435" w:type="dxa"/>
        <w:tblLayout w:type="fixed"/>
        <w:tblLook w:val="04A0" w:firstRow="1" w:lastRow="0" w:firstColumn="1" w:lastColumn="0" w:noHBand="0" w:noVBand="1"/>
      </w:tblPr>
      <w:tblGrid>
        <w:gridCol w:w="363"/>
        <w:gridCol w:w="1342"/>
        <w:gridCol w:w="990"/>
        <w:gridCol w:w="2790"/>
        <w:gridCol w:w="990"/>
        <w:gridCol w:w="990"/>
        <w:gridCol w:w="990"/>
        <w:gridCol w:w="990"/>
        <w:gridCol w:w="990"/>
      </w:tblGrid>
      <w:tr w:rsidR="00FA037F" w:rsidRPr="00FA037F" w:rsidTr="00FA037F">
        <w:tc>
          <w:tcPr>
            <w:tcW w:w="363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2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CID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H Bond</w:t>
            </w:r>
          </w:p>
        </w:tc>
        <w:tc>
          <w:tcPr>
            <w:tcW w:w="27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Van der Waals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Pi-Sigma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C-H bond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Amide- Pi Stacked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Unfavorable Donor-Donor</w:t>
            </w:r>
          </w:p>
        </w:tc>
      </w:tr>
      <w:tr w:rsidR="00FA037F" w:rsidRPr="00FA037F" w:rsidTr="00FA037F">
        <w:tc>
          <w:tcPr>
            <w:tcW w:w="363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2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11180124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ILE91</w:t>
            </w:r>
          </w:p>
        </w:tc>
        <w:tc>
          <w:tcPr>
            <w:tcW w:w="27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LEU49, VAL78, GLN67, LEU79, PRO46, THR183, LYS44, LEU185, ILE90, GLY90, ARG57, GLN92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PRO66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PRO80, PRO45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37F" w:rsidRPr="00FA037F" w:rsidTr="00FA037F">
        <w:tc>
          <w:tcPr>
            <w:tcW w:w="363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42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72426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SER74, VAL78, GLN47</w:t>
            </w:r>
          </w:p>
        </w:tc>
        <w:tc>
          <w:tcPr>
            <w:tcW w:w="27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VAL75, PRO87, LEU49, GLN67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FA037F" w:rsidRPr="00FA037F" w:rsidRDefault="00FA037F" w:rsidP="00475B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PRO45, PRO80, ALA88,</w:t>
            </w:r>
          </w:p>
          <w:p w:rsidR="00FA037F" w:rsidRPr="00FA037F" w:rsidRDefault="00FA037F" w:rsidP="00475B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PRO66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PRO46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LUE79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37F" w:rsidRPr="00FA037F" w:rsidTr="00FA037F">
        <w:tc>
          <w:tcPr>
            <w:tcW w:w="363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342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11410680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LUE64, VAL78, GLN47</w:t>
            </w:r>
          </w:p>
        </w:tc>
        <w:tc>
          <w:tcPr>
            <w:tcW w:w="2790" w:type="dxa"/>
          </w:tcPr>
          <w:p w:rsidR="00FA037F" w:rsidRPr="00FA037F" w:rsidRDefault="00FA037F" w:rsidP="00475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 xml:space="preserve">SER74, PRO87, ARG77, GLN67, LEU79, GLY82, LEU49, TRP51, GLU50, PRO45, 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PRO66, PRO80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PRO46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SER65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37F" w:rsidRPr="00FA037F" w:rsidTr="00FA037F">
        <w:trPr>
          <w:trHeight w:val="70"/>
        </w:trPr>
        <w:tc>
          <w:tcPr>
            <w:tcW w:w="363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342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21633857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 xml:space="preserve">ASP73, SER74, ARG77, VAL78, </w:t>
            </w:r>
            <w:r w:rsidRPr="00FA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GLN67, GLN47</w:t>
            </w:r>
          </w:p>
        </w:tc>
        <w:tc>
          <w:tcPr>
            <w:tcW w:w="27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ARG77, PHE85, LEU79, ARG48, PRO46, PRO45, VAL75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PRO87, LEU49, PRO66, PRO80, ALA88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ARG57</w:t>
            </w:r>
          </w:p>
        </w:tc>
      </w:tr>
      <w:tr w:rsidR="00FA037F" w:rsidRPr="00FA037F" w:rsidTr="00FA037F">
        <w:tc>
          <w:tcPr>
            <w:tcW w:w="363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342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57333038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SER74, ARG77</w:t>
            </w:r>
          </w:p>
        </w:tc>
        <w:tc>
          <w:tcPr>
            <w:tcW w:w="27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PRO46, GLN67, ASP73, ARG73, ARG77, PHE85, LYS43, GLY31, ASN81, ILE30, GLY82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LEU49, PRO66, PRO45, VAL78, PRO80, LYS44, ALA88, PRO87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GLN47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37F" w:rsidRPr="00FA037F" w:rsidTr="00FA037F">
        <w:tc>
          <w:tcPr>
            <w:tcW w:w="363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342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71618826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ALA88, VAL78, GLN67</w:t>
            </w:r>
          </w:p>
        </w:tc>
        <w:tc>
          <w:tcPr>
            <w:tcW w:w="27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ARG57, GLY90, VAL75, SER74, PRO87, LEU79, LEU49, GLN47, ARG48, PRO46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7F">
              <w:rPr>
                <w:rFonts w:ascii="Times New Roman" w:hAnsi="Times New Roman" w:cs="Times New Roman"/>
                <w:sz w:val="24"/>
                <w:szCs w:val="24"/>
              </w:rPr>
              <w:t>PRO80, PRO45, PRO66</w:t>
            </w: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FA037F" w:rsidRPr="00FA037F" w:rsidRDefault="00FA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44AA" w:rsidRPr="00FA037F" w:rsidRDefault="00DD44AA">
      <w:pPr>
        <w:rPr>
          <w:rFonts w:ascii="Times New Roman" w:hAnsi="Times New Roman" w:cs="Times New Roman"/>
          <w:sz w:val="24"/>
          <w:szCs w:val="24"/>
        </w:rPr>
      </w:pPr>
    </w:p>
    <w:p w:rsidR="00475BE0" w:rsidRPr="00FA037F" w:rsidRDefault="00475BE0">
      <w:pPr>
        <w:rPr>
          <w:rFonts w:ascii="Times New Roman" w:hAnsi="Times New Roman" w:cs="Times New Roman"/>
          <w:sz w:val="24"/>
          <w:szCs w:val="24"/>
        </w:rPr>
      </w:pPr>
    </w:p>
    <w:p w:rsidR="00870CFF" w:rsidRDefault="00870CF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870CFF" w:rsidRDefault="00870CF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870CFF" w:rsidRDefault="00870CF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870CFF" w:rsidRDefault="00870CF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870CFF" w:rsidRDefault="00870CF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870CFF" w:rsidRDefault="00870CF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870CFF" w:rsidRDefault="00870CF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870CFF" w:rsidRDefault="00870CF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870CFF" w:rsidRDefault="00870CF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870CFF" w:rsidRDefault="00870CF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870CFF" w:rsidRDefault="00870CF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C757BB" w:rsidRDefault="00C757B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870CFF" w:rsidRPr="00870CFF" w:rsidRDefault="00870CF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870CFF">
        <w:rPr>
          <w:rFonts w:ascii="Times New Roman" w:hAnsi="Times New Roman" w:cs="Times New Roman"/>
          <w:b/>
          <w:sz w:val="24"/>
          <w:szCs w:val="24"/>
        </w:rPr>
        <w:lastRenderedPageBreak/>
        <w:t>Literature References</w:t>
      </w:r>
    </w:p>
    <w:p w:rsidR="00C757BB" w:rsidRPr="00D527E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Dziadek, K., et al., </w:t>
      </w:r>
      <w:r w:rsidRPr="00D527EB">
        <w:rPr>
          <w:rFonts w:ascii="Times New Roman" w:hAnsi="Times New Roman" w:cs="Times New Roman"/>
          <w:i/>
          <w:sz w:val="24"/>
          <w:szCs w:val="24"/>
        </w:rPr>
        <w:t>Identification of polyphenolic compounds and determination of antioxidant activity in extracts and infusions of buckwheat leaves.</w:t>
      </w:r>
      <w:r w:rsidRPr="00D527EB">
        <w:rPr>
          <w:rFonts w:ascii="Times New Roman" w:hAnsi="Times New Roman" w:cs="Times New Roman"/>
          <w:sz w:val="24"/>
          <w:szCs w:val="24"/>
        </w:rPr>
        <w:t xml:space="preserve"> European Food Research and Technology, 2018. </w:t>
      </w:r>
      <w:r w:rsidRPr="00D527EB">
        <w:rPr>
          <w:rFonts w:ascii="Times New Roman" w:hAnsi="Times New Roman" w:cs="Times New Roman"/>
          <w:b/>
          <w:sz w:val="24"/>
          <w:szCs w:val="24"/>
        </w:rPr>
        <w:t>244</w:t>
      </w:r>
      <w:r w:rsidRPr="00D527EB">
        <w:rPr>
          <w:rFonts w:ascii="Times New Roman" w:hAnsi="Times New Roman" w:cs="Times New Roman"/>
          <w:sz w:val="24"/>
          <w:szCs w:val="24"/>
        </w:rPr>
        <w:t>: p. 333-343.</w:t>
      </w:r>
    </w:p>
    <w:p w:rsidR="00C757BB" w:rsidRPr="00D527E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Abbas, M., et al., </w:t>
      </w:r>
      <w:r w:rsidRPr="00D527EB">
        <w:rPr>
          <w:rFonts w:ascii="Times New Roman" w:hAnsi="Times New Roman" w:cs="Times New Roman"/>
          <w:i/>
          <w:sz w:val="24"/>
          <w:szCs w:val="24"/>
        </w:rPr>
        <w:t>Natural polyphenols: An overview.</w:t>
      </w:r>
      <w:r w:rsidRPr="00D527EB">
        <w:rPr>
          <w:rFonts w:ascii="Times New Roman" w:hAnsi="Times New Roman" w:cs="Times New Roman"/>
          <w:sz w:val="24"/>
          <w:szCs w:val="24"/>
        </w:rPr>
        <w:t xml:space="preserve"> International Journal of Food Properties, 2017. </w:t>
      </w:r>
      <w:r w:rsidRPr="00D527EB">
        <w:rPr>
          <w:rFonts w:ascii="Times New Roman" w:hAnsi="Times New Roman" w:cs="Times New Roman"/>
          <w:b/>
          <w:sz w:val="24"/>
          <w:szCs w:val="24"/>
        </w:rPr>
        <w:t>20</w:t>
      </w:r>
      <w:r w:rsidRPr="00D527EB">
        <w:rPr>
          <w:rFonts w:ascii="Times New Roman" w:hAnsi="Times New Roman" w:cs="Times New Roman"/>
          <w:sz w:val="24"/>
          <w:szCs w:val="24"/>
        </w:rPr>
        <w:t>(8): p. 1689-1699.</w:t>
      </w:r>
    </w:p>
    <w:p w:rsidR="00C757BB" w:rsidRPr="00D527E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Belščak-Cvitanović, A., et al., </w:t>
      </w:r>
      <w:r w:rsidRPr="00D527EB">
        <w:rPr>
          <w:rFonts w:ascii="Times New Roman" w:hAnsi="Times New Roman" w:cs="Times New Roman"/>
          <w:i/>
          <w:sz w:val="24"/>
          <w:szCs w:val="24"/>
        </w:rPr>
        <w:t>Overview of polyphenols and their properties</w:t>
      </w:r>
      <w:r w:rsidRPr="00D527EB">
        <w:rPr>
          <w:rFonts w:ascii="Times New Roman" w:hAnsi="Times New Roman" w:cs="Times New Roman"/>
          <w:sz w:val="24"/>
          <w:szCs w:val="24"/>
        </w:rPr>
        <w:t xml:space="preserve">, in </w:t>
      </w:r>
      <w:r w:rsidRPr="00D527EB">
        <w:rPr>
          <w:rFonts w:ascii="Times New Roman" w:hAnsi="Times New Roman" w:cs="Times New Roman"/>
          <w:i/>
          <w:sz w:val="24"/>
          <w:szCs w:val="24"/>
        </w:rPr>
        <w:t>Polyphenols: Properties, recovery, and applications</w:t>
      </w:r>
      <w:r w:rsidRPr="00D527EB">
        <w:rPr>
          <w:rFonts w:ascii="Times New Roman" w:hAnsi="Times New Roman" w:cs="Times New Roman"/>
          <w:sz w:val="24"/>
          <w:szCs w:val="24"/>
        </w:rPr>
        <w:t>. 2018, Elsevier. p. 3-44.</w:t>
      </w:r>
    </w:p>
    <w:p w:rsidR="00C757BB" w:rsidRPr="00D527E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Rasouli, H., M.H. Farzaei, and R. Khodarahmi, </w:t>
      </w:r>
      <w:r w:rsidRPr="00D527EB">
        <w:rPr>
          <w:rFonts w:ascii="Times New Roman" w:hAnsi="Times New Roman" w:cs="Times New Roman"/>
          <w:i/>
          <w:sz w:val="24"/>
          <w:szCs w:val="24"/>
        </w:rPr>
        <w:t>Polyphenols and their benefits: A review.</w:t>
      </w:r>
      <w:r w:rsidRPr="00D527EB">
        <w:rPr>
          <w:rFonts w:ascii="Times New Roman" w:hAnsi="Times New Roman" w:cs="Times New Roman"/>
          <w:sz w:val="24"/>
          <w:szCs w:val="24"/>
        </w:rPr>
        <w:t xml:space="preserve"> International Journal of Food Properties, 2017. </w:t>
      </w:r>
      <w:r w:rsidRPr="00D527EB">
        <w:rPr>
          <w:rFonts w:ascii="Times New Roman" w:hAnsi="Times New Roman" w:cs="Times New Roman"/>
          <w:b/>
          <w:sz w:val="24"/>
          <w:szCs w:val="24"/>
        </w:rPr>
        <w:t>20</w:t>
      </w:r>
      <w:r w:rsidRPr="00D527EB">
        <w:rPr>
          <w:rFonts w:ascii="Times New Roman" w:hAnsi="Times New Roman" w:cs="Times New Roman"/>
          <w:sz w:val="24"/>
          <w:szCs w:val="24"/>
        </w:rPr>
        <w:t>(sup2): p. 1700-1741.</w:t>
      </w:r>
    </w:p>
    <w:p w:rsidR="00C757BB" w:rsidRPr="00D527E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Pinto, T., et al., </w:t>
      </w:r>
      <w:r w:rsidRPr="00D527EB">
        <w:rPr>
          <w:rFonts w:ascii="Times New Roman" w:hAnsi="Times New Roman" w:cs="Times New Roman"/>
          <w:i/>
          <w:sz w:val="24"/>
          <w:szCs w:val="24"/>
        </w:rPr>
        <w:t>Bioactive (poly) phenols, volatile compounds from vegetables, medicinal and aromatic plants.</w:t>
      </w:r>
      <w:r w:rsidRPr="00D527EB">
        <w:rPr>
          <w:rFonts w:ascii="Times New Roman" w:hAnsi="Times New Roman" w:cs="Times New Roman"/>
          <w:sz w:val="24"/>
          <w:szCs w:val="24"/>
        </w:rPr>
        <w:t xml:space="preserve"> Foods, 2021. </w:t>
      </w:r>
      <w:r w:rsidRPr="00D527EB">
        <w:rPr>
          <w:rFonts w:ascii="Times New Roman" w:hAnsi="Times New Roman" w:cs="Times New Roman"/>
          <w:b/>
          <w:sz w:val="24"/>
          <w:szCs w:val="24"/>
        </w:rPr>
        <w:t>10</w:t>
      </w:r>
      <w:r w:rsidRPr="00D527EB">
        <w:rPr>
          <w:rFonts w:ascii="Times New Roman" w:hAnsi="Times New Roman" w:cs="Times New Roman"/>
          <w:sz w:val="24"/>
          <w:szCs w:val="24"/>
        </w:rPr>
        <w:t>(1): p. 106.</w:t>
      </w:r>
    </w:p>
    <w:p w:rsidR="00C757BB" w:rsidRPr="00D527E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Bravo, L., </w:t>
      </w:r>
      <w:r w:rsidRPr="00D527EB">
        <w:rPr>
          <w:rFonts w:ascii="Times New Roman" w:hAnsi="Times New Roman" w:cs="Times New Roman"/>
          <w:i/>
          <w:sz w:val="24"/>
          <w:szCs w:val="24"/>
        </w:rPr>
        <w:t>Polyphenols: chemistry, dietary sources, metabolism, and nutritional significance.</w:t>
      </w:r>
      <w:r w:rsidRPr="00D527EB">
        <w:rPr>
          <w:rFonts w:ascii="Times New Roman" w:hAnsi="Times New Roman" w:cs="Times New Roman"/>
          <w:sz w:val="24"/>
          <w:szCs w:val="24"/>
        </w:rPr>
        <w:t xml:space="preserve"> Nutrition reviews, 1998. </w:t>
      </w:r>
      <w:r w:rsidRPr="00D527EB">
        <w:rPr>
          <w:rFonts w:ascii="Times New Roman" w:hAnsi="Times New Roman" w:cs="Times New Roman"/>
          <w:b/>
          <w:sz w:val="24"/>
          <w:szCs w:val="24"/>
        </w:rPr>
        <w:t>56</w:t>
      </w:r>
      <w:r w:rsidRPr="00D527EB">
        <w:rPr>
          <w:rFonts w:ascii="Times New Roman" w:hAnsi="Times New Roman" w:cs="Times New Roman"/>
          <w:sz w:val="24"/>
          <w:szCs w:val="24"/>
        </w:rPr>
        <w:t>(11): p. 317-333.</w:t>
      </w:r>
    </w:p>
    <w:p w:rsidR="00C757B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Ali, D.E., et al., </w:t>
      </w:r>
      <w:r w:rsidRPr="00D527EB">
        <w:rPr>
          <w:rFonts w:ascii="Times New Roman" w:hAnsi="Times New Roman" w:cs="Times New Roman"/>
          <w:i/>
          <w:sz w:val="24"/>
          <w:szCs w:val="24"/>
        </w:rPr>
        <w:t>In silico and in vitro anti-inflammatory study of phenolic compounds isolated from Eucalyptus maculata resin.</w:t>
      </w:r>
      <w:r w:rsidRPr="00D527EB">
        <w:rPr>
          <w:rFonts w:ascii="Times New Roman" w:hAnsi="Times New Roman" w:cs="Times New Roman"/>
          <w:sz w:val="24"/>
          <w:szCs w:val="24"/>
        </w:rPr>
        <w:t xml:space="preserve"> Scientific Reports, 2023. </w:t>
      </w:r>
      <w:r w:rsidRPr="00D527EB">
        <w:rPr>
          <w:rFonts w:ascii="Times New Roman" w:hAnsi="Times New Roman" w:cs="Times New Roman"/>
          <w:b/>
          <w:sz w:val="24"/>
          <w:szCs w:val="24"/>
        </w:rPr>
        <w:t>13</w:t>
      </w:r>
      <w:r w:rsidRPr="00D527EB">
        <w:rPr>
          <w:rFonts w:ascii="Times New Roman" w:hAnsi="Times New Roman" w:cs="Times New Roman"/>
          <w:sz w:val="24"/>
          <w:szCs w:val="24"/>
        </w:rPr>
        <w:t>(1): p. 2093.</w:t>
      </w:r>
    </w:p>
    <w:p w:rsidR="00C757B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Alameen, A.A., et al., </w:t>
      </w:r>
      <w:r w:rsidRPr="00D527EB">
        <w:rPr>
          <w:rFonts w:ascii="Times New Roman" w:hAnsi="Times New Roman" w:cs="Times New Roman"/>
          <w:i/>
          <w:sz w:val="24"/>
          <w:szCs w:val="24"/>
        </w:rPr>
        <w:t>Potential Effect of Baobab’s Polyphenols as Antihyperlipidemic Agents: In Silico Study.</w:t>
      </w:r>
      <w:r w:rsidRPr="00D527EB">
        <w:rPr>
          <w:rFonts w:ascii="Times New Roman" w:hAnsi="Times New Roman" w:cs="Times New Roman"/>
          <w:sz w:val="24"/>
          <w:szCs w:val="24"/>
        </w:rPr>
        <w:t xml:space="preserve"> Molecules, 2023. </w:t>
      </w:r>
      <w:r w:rsidRPr="00D527EB">
        <w:rPr>
          <w:rFonts w:ascii="Times New Roman" w:hAnsi="Times New Roman" w:cs="Times New Roman"/>
          <w:b/>
          <w:sz w:val="24"/>
          <w:szCs w:val="24"/>
        </w:rPr>
        <w:t>28</w:t>
      </w:r>
      <w:r w:rsidRPr="00D527EB">
        <w:rPr>
          <w:rFonts w:ascii="Times New Roman" w:hAnsi="Times New Roman" w:cs="Times New Roman"/>
          <w:sz w:val="24"/>
          <w:szCs w:val="24"/>
        </w:rPr>
        <w:t>(16): p. 6112.</w:t>
      </w:r>
    </w:p>
    <w:p w:rsidR="00C757B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Shahidi, F. and C.S. Dissanayaka, </w:t>
      </w:r>
      <w:r w:rsidRPr="00D527EB">
        <w:rPr>
          <w:rFonts w:ascii="Times New Roman" w:hAnsi="Times New Roman" w:cs="Times New Roman"/>
          <w:i/>
          <w:sz w:val="24"/>
          <w:szCs w:val="24"/>
        </w:rPr>
        <w:t>Phenolic-protein interactions: insight from in-silico analyses–a review.</w:t>
      </w:r>
      <w:r w:rsidRPr="00D527EB">
        <w:rPr>
          <w:rFonts w:ascii="Times New Roman" w:hAnsi="Times New Roman" w:cs="Times New Roman"/>
          <w:sz w:val="24"/>
          <w:szCs w:val="24"/>
        </w:rPr>
        <w:t xml:space="preserve"> Food Production, Processing and Nutrition, 2023. </w:t>
      </w:r>
      <w:r w:rsidRPr="00D527EB">
        <w:rPr>
          <w:rFonts w:ascii="Times New Roman" w:hAnsi="Times New Roman" w:cs="Times New Roman"/>
          <w:b/>
          <w:sz w:val="24"/>
          <w:szCs w:val="24"/>
        </w:rPr>
        <w:t>5</w:t>
      </w:r>
      <w:r w:rsidRPr="00D527EB">
        <w:rPr>
          <w:rFonts w:ascii="Times New Roman" w:hAnsi="Times New Roman" w:cs="Times New Roman"/>
          <w:sz w:val="24"/>
          <w:szCs w:val="24"/>
        </w:rPr>
        <w:t>(1): p. 1-21.</w:t>
      </w:r>
    </w:p>
    <w:p w:rsidR="00C757B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Mandal, S.M., D. Chakraborty, and S. Dey, </w:t>
      </w:r>
      <w:r w:rsidRPr="00D527EB">
        <w:rPr>
          <w:rFonts w:ascii="Times New Roman" w:hAnsi="Times New Roman" w:cs="Times New Roman"/>
          <w:i/>
          <w:sz w:val="24"/>
          <w:szCs w:val="24"/>
        </w:rPr>
        <w:t>Phenolic acids act as signaling molecules in plant-microbe symbioses.</w:t>
      </w:r>
      <w:r w:rsidRPr="00D527EB">
        <w:rPr>
          <w:rFonts w:ascii="Times New Roman" w:hAnsi="Times New Roman" w:cs="Times New Roman"/>
          <w:sz w:val="24"/>
          <w:szCs w:val="24"/>
        </w:rPr>
        <w:t xml:space="preserve"> Plant signaling &amp; behavior, 2010. </w:t>
      </w:r>
      <w:r w:rsidRPr="00D527EB">
        <w:rPr>
          <w:rFonts w:ascii="Times New Roman" w:hAnsi="Times New Roman" w:cs="Times New Roman"/>
          <w:b/>
          <w:sz w:val="24"/>
          <w:szCs w:val="24"/>
        </w:rPr>
        <w:t>5</w:t>
      </w:r>
      <w:r w:rsidRPr="00D527EB">
        <w:rPr>
          <w:rFonts w:ascii="Times New Roman" w:hAnsi="Times New Roman" w:cs="Times New Roman"/>
          <w:sz w:val="24"/>
          <w:szCs w:val="24"/>
        </w:rPr>
        <w:t>(4): p. 359-368.</w:t>
      </w:r>
    </w:p>
    <w:p w:rsidR="00C757B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Abdel-Monem, N., et al., </w:t>
      </w:r>
      <w:r w:rsidRPr="00D527EB">
        <w:rPr>
          <w:rFonts w:ascii="Times New Roman" w:hAnsi="Times New Roman" w:cs="Times New Roman"/>
          <w:i/>
          <w:sz w:val="24"/>
          <w:szCs w:val="24"/>
        </w:rPr>
        <w:t>Assessment of secondary metabolites from marine-derived fungi as antioxidant.</w:t>
      </w:r>
      <w:r w:rsidRPr="00D527EB">
        <w:rPr>
          <w:rFonts w:ascii="Times New Roman" w:hAnsi="Times New Roman" w:cs="Times New Roman"/>
          <w:sz w:val="24"/>
          <w:szCs w:val="24"/>
        </w:rPr>
        <w:t xml:space="preserve"> Open Journal of Medicinal Chemistry, 2013. </w:t>
      </w:r>
      <w:r w:rsidRPr="00D527EB">
        <w:rPr>
          <w:rFonts w:ascii="Times New Roman" w:hAnsi="Times New Roman" w:cs="Times New Roman"/>
          <w:b/>
          <w:sz w:val="24"/>
          <w:szCs w:val="24"/>
        </w:rPr>
        <w:t>3</w:t>
      </w:r>
      <w:r w:rsidRPr="00D527EB">
        <w:rPr>
          <w:rFonts w:ascii="Times New Roman" w:hAnsi="Times New Roman" w:cs="Times New Roman"/>
          <w:sz w:val="24"/>
          <w:szCs w:val="24"/>
        </w:rPr>
        <w:t>(03): p. 60.</w:t>
      </w:r>
    </w:p>
    <w:p w:rsidR="00C757B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El-Hawary, S.S., et al., </w:t>
      </w:r>
      <w:r w:rsidRPr="00D527EB">
        <w:rPr>
          <w:rFonts w:ascii="Times New Roman" w:hAnsi="Times New Roman" w:cs="Times New Roman"/>
          <w:i/>
          <w:sz w:val="24"/>
          <w:szCs w:val="24"/>
        </w:rPr>
        <w:t>Epigenetic modifiers induce bioactive phenolic metabolites in the marine-derived fungus Penicillium brevicompactum.</w:t>
      </w:r>
      <w:r w:rsidRPr="00D527EB">
        <w:rPr>
          <w:rFonts w:ascii="Times New Roman" w:hAnsi="Times New Roman" w:cs="Times New Roman"/>
          <w:sz w:val="24"/>
          <w:szCs w:val="24"/>
        </w:rPr>
        <w:t xml:space="preserve"> Marine drugs, 2018. </w:t>
      </w:r>
      <w:r w:rsidRPr="00D527EB">
        <w:rPr>
          <w:rFonts w:ascii="Times New Roman" w:hAnsi="Times New Roman" w:cs="Times New Roman"/>
          <w:b/>
          <w:sz w:val="24"/>
          <w:szCs w:val="24"/>
        </w:rPr>
        <w:t>16</w:t>
      </w:r>
      <w:r w:rsidRPr="00D527EB">
        <w:rPr>
          <w:rFonts w:ascii="Times New Roman" w:hAnsi="Times New Roman" w:cs="Times New Roman"/>
          <w:sz w:val="24"/>
          <w:szCs w:val="24"/>
        </w:rPr>
        <w:t>(8): p. 253.</w:t>
      </w:r>
    </w:p>
    <w:p w:rsidR="00C757B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Jimenez-Lopez, C., et al., </w:t>
      </w:r>
      <w:r w:rsidRPr="00D527EB">
        <w:rPr>
          <w:rFonts w:ascii="Times New Roman" w:hAnsi="Times New Roman" w:cs="Times New Roman"/>
          <w:i/>
          <w:sz w:val="24"/>
          <w:szCs w:val="24"/>
        </w:rPr>
        <w:t>Main bioactive phenolic compounds in marine algae and their mechanisms of action supporting potential health benefits.</w:t>
      </w:r>
      <w:r w:rsidRPr="00D527EB">
        <w:rPr>
          <w:rFonts w:ascii="Times New Roman" w:hAnsi="Times New Roman" w:cs="Times New Roman"/>
          <w:sz w:val="24"/>
          <w:szCs w:val="24"/>
        </w:rPr>
        <w:t xml:space="preserve"> Food chemistry, 2021. </w:t>
      </w:r>
      <w:r w:rsidRPr="00D527EB">
        <w:rPr>
          <w:rFonts w:ascii="Times New Roman" w:hAnsi="Times New Roman" w:cs="Times New Roman"/>
          <w:b/>
          <w:sz w:val="24"/>
          <w:szCs w:val="24"/>
        </w:rPr>
        <w:t>341</w:t>
      </w:r>
      <w:r w:rsidRPr="00D527EB">
        <w:rPr>
          <w:rFonts w:ascii="Times New Roman" w:hAnsi="Times New Roman" w:cs="Times New Roman"/>
          <w:sz w:val="24"/>
          <w:szCs w:val="24"/>
        </w:rPr>
        <w:t>: p. 128262.</w:t>
      </w:r>
    </w:p>
    <w:p w:rsidR="00C757B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Nurzyńska-Wierdak, R., </w:t>
      </w:r>
      <w:r w:rsidRPr="00D527EB">
        <w:rPr>
          <w:rFonts w:ascii="Times New Roman" w:hAnsi="Times New Roman" w:cs="Times New Roman"/>
          <w:i/>
          <w:sz w:val="24"/>
          <w:szCs w:val="24"/>
        </w:rPr>
        <w:t>Phenolic Compounds from New Natural Sources—Plant Genotype and Ontogenetic Variation.</w:t>
      </w:r>
      <w:r w:rsidRPr="00D527EB">
        <w:rPr>
          <w:rFonts w:ascii="Times New Roman" w:hAnsi="Times New Roman" w:cs="Times New Roman"/>
          <w:sz w:val="24"/>
          <w:szCs w:val="24"/>
        </w:rPr>
        <w:t xml:space="preserve"> Molecules, 2023. </w:t>
      </w:r>
      <w:r w:rsidRPr="00D527EB">
        <w:rPr>
          <w:rFonts w:ascii="Times New Roman" w:hAnsi="Times New Roman" w:cs="Times New Roman"/>
          <w:b/>
          <w:sz w:val="24"/>
          <w:szCs w:val="24"/>
        </w:rPr>
        <w:t>28</w:t>
      </w:r>
      <w:r w:rsidRPr="00D527EB">
        <w:rPr>
          <w:rFonts w:ascii="Times New Roman" w:hAnsi="Times New Roman" w:cs="Times New Roman"/>
          <w:sz w:val="24"/>
          <w:szCs w:val="24"/>
        </w:rPr>
        <w:t>(4): p. 1731.</w:t>
      </w:r>
    </w:p>
    <w:p w:rsidR="00C757B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Goleniowski, M., et al., </w:t>
      </w:r>
      <w:r w:rsidRPr="00D527EB">
        <w:rPr>
          <w:rFonts w:ascii="Times New Roman" w:hAnsi="Times New Roman" w:cs="Times New Roman"/>
          <w:i/>
          <w:sz w:val="24"/>
          <w:szCs w:val="24"/>
        </w:rPr>
        <w:t>Phenolic acids.</w:t>
      </w:r>
      <w:r w:rsidRPr="00D527EB">
        <w:rPr>
          <w:rFonts w:ascii="Times New Roman" w:hAnsi="Times New Roman" w:cs="Times New Roman"/>
          <w:sz w:val="24"/>
          <w:szCs w:val="24"/>
        </w:rPr>
        <w:t xml:space="preserve"> Natural products, 2013: p. 1951-1973.</w:t>
      </w:r>
    </w:p>
    <w:p w:rsidR="00C757B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Tsimogiannis, D. and V. Oreopoulou, </w:t>
      </w:r>
      <w:r w:rsidRPr="00D527EB">
        <w:rPr>
          <w:rFonts w:ascii="Times New Roman" w:hAnsi="Times New Roman" w:cs="Times New Roman"/>
          <w:i/>
          <w:sz w:val="24"/>
          <w:szCs w:val="24"/>
        </w:rPr>
        <w:t>Classification of phenolic compounds in plants</w:t>
      </w:r>
      <w:r w:rsidRPr="00D527EB">
        <w:rPr>
          <w:rFonts w:ascii="Times New Roman" w:hAnsi="Times New Roman" w:cs="Times New Roman"/>
          <w:sz w:val="24"/>
          <w:szCs w:val="24"/>
        </w:rPr>
        <w:t xml:space="preserve">, in </w:t>
      </w:r>
      <w:r w:rsidRPr="00D527EB">
        <w:rPr>
          <w:rFonts w:ascii="Times New Roman" w:hAnsi="Times New Roman" w:cs="Times New Roman"/>
          <w:i/>
          <w:sz w:val="24"/>
          <w:szCs w:val="24"/>
        </w:rPr>
        <w:t>Polyphenols in plants</w:t>
      </w:r>
      <w:r w:rsidRPr="00D527EB">
        <w:rPr>
          <w:rFonts w:ascii="Times New Roman" w:hAnsi="Times New Roman" w:cs="Times New Roman"/>
          <w:sz w:val="24"/>
          <w:szCs w:val="24"/>
        </w:rPr>
        <w:t>. 2019, Elsevier. p. 263-284.</w:t>
      </w:r>
    </w:p>
    <w:p w:rsidR="00C757B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Lafay, S. and A. Gil-Izquierdo, </w:t>
      </w:r>
      <w:r w:rsidRPr="00D527EB">
        <w:rPr>
          <w:rFonts w:ascii="Times New Roman" w:hAnsi="Times New Roman" w:cs="Times New Roman"/>
          <w:i/>
          <w:sz w:val="24"/>
          <w:szCs w:val="24"/>
        </w:rPr>
        <w:t>Bioavailability of phenolic acids.</w:t>
      </w:r>
      <w:r w:rsidRPr="00D527EB">
        <w:rPr>
          <w:rFonts w:ascii="Times New Roman" w:hAnsi="Times New Roman" w:cs="Times New Roman"/>
          <w:sz w:val="24"/>
          <w:szCs w:val="24"/>
        </w:rPr>
        <w:t xml:space="preserve"> Phytochemistry Reviews, 2008. </w:t>
      </w:r>
      <w:r w:rsidRPr="00D527EB">
        <w:rPr>
          <w:rFonts w:ascii="Times New Roman" w:hAnsi="Times New Roman" w:cs="Times New Roman"/>
          <w:b/>
          <w:sz w:val="24"/>
          <w:szCs w:val="24"/>
        </w:rPr>
        <w:t>7</w:t>
      </w:r>
      <w:r w:rsidRPr="00D527EB">
        <w:rPr>
          <w:rFonts w:ascii="Times New Roman" w:hAnsi="Times New Roman" w:cs="Times New Roman"/>
          <w:sz w:val="24"/>
          <w:szCs w:val="24"/>
        </w:rPr>
        <w:t>: p. 301-311.</w:t>
      </w:r>
    </w:p>
    <w:p w:rsidR="00C757B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Huang, W.-Y., Y.-Z. Cai, and Y. Zhang, </w:t>
      </w:r>
      <w:r w:rsidRPr="00D527EB">
        <w:rPr>
          <w:rFonts w:ascii="Times New Roman" w:hAnsi="Times New Roman" w:cs="Times New Roman"/>
          <w:i/>
          <w:sz w:val="24"/>
          <w:szCs w:val="24"/>
        </w:rPr>
        <w:t>Natural phenolic compounds from medicinal herbs and dietary plants: potential use for cancer prevention.</w:t>
      </w:r>
      <w:r w:rsidRPr="00D527EB">
        <w:rPr>
          <w:rFonts w:ascii="Times New Roman" w:hAnsi="Times New Roman" w:cs="Times New Roman"/>
          <w:sz w:val="24"/>
          <w:szCs w:val="24"/>
        </w:rPr>
        <w:t xml:space="preserve"> Nutrition and cancer, 2009. </w:t>
      </w:r>
      <w:r w:rsidRPr="00D527EB">
        <w:rPr>
          <w:rFonts w:ascii="Times New Roman" w:hAnsi="Times New Roman" w:cs="Times New Roman"/>
          <w:b/>
          <w:sz w:val="24"/>
          <w:szCs w:val="24"/>
        </w:rPr>
        <w:t>62</w:t>
      </w:r>
      <w:r w:rsidRPr="00D527EB">
        <w:rPr>
          <w:rFonts w:ascii="Times New Roman" w:hAnsi="Times New Roman" w:cs="Times New Roman"/>
          <w:sz w:val="24"/>
          <w:szCs w:val="24"/>
        </w:rPr>
        <w:t>(1): p. 1-20.</w:t>
      </w:r>
    </w:p>
    <w:p w:rsidR="00C757B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lastRenderedPageBreak/>
        <w:t xml:space="preserve">Shahidi, F. and C.-T. Ho, </w:t>
      </w:r>
      <w:r w:rsidRPr="00D527EB">
        <w:rPr>
          <w:rFonts w:ascii="Times New Roman" w:hAnsi="Times New Roman" w:cs="Times New Roman"/>
          <w:i/>
          <w:sz w:val="24"/>
          <w:szCs w:val="24"/>
        </w:rPr>
        <w:t>Phenolics in food and natural health products: an overview.</w:t>
      </w:r>
      <w:r w:rsidRPr="00D527EB">
        <w:rPr>
          <w:rFonts w:ascii="Times New Roman" w:hAnsi="Times New Roman" w:cs="Times New Roman"/>
          <w:sz w:val="24"/>
          <w:szCs w:val="24"/>
        </w:rPr>
        <w:t xml:space="preserve"> 2005.</w:t>
      </w:r>
    </w:p>
    <w:p w:rsidR="00C757B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Pilkington, L.I. and D. Barker, </w:t>
      </w:r>
      <w:r w:rsidRPr="00D527EB">
        <w:rPr>
          <w:rFonts w:ascii="Times New Roman" w:hAnsi="Times New Roman" w:cs="Times New Roman"/>
          <w:i/>
          <w:sz w:val="24"/>
          <w:szCs w:val="24"/>
        </w:rPr>
        <w:t>Synthesis and biology of 1, 4-benzodioxane lignan natural products.</w:t>
      </w:r>
      <w:r w:rsidRPr="00D527EB">
        <w:rPr>
          <w:rFonts w:ascii="Times New Roman" w:hAnsi="Times New Roman" w:cs="Times New Roman"/>
          <w:sz w:val="24"/>
          <w:szCs w:val="24"/>
        </w:rPr>
        <w:t xml:space="preserve"> Natural product reports, 2015. </w:t>
      </w:r>
      <w:r w:rsidRPr="00D527EB">
        <w:rPr>
          <w:rFonts w:ascii="Times New Roman" w:hAnsi="Times New Roman" w:cs="Times New Roman"/>
          <w:b/>
          <w:sz w:val="24"/>
          <w:szCs w:val="24"/>
        </w:rPr>
        <w:t>32</w:t>
      </w:r>
      <w:r w:rsidRPr="00D527EB">
        <w:rPr>
          <w:rFonts w:ascii="Times New Roman" w:hAnsi="Times New Roman" w:cs="Times New Roman"/>
          <w:sz w:val="24"/>
          <w:szCs w:val="24"/>
        </w:rPr>
        <w:t>(10): p. 1369-1388.</w:t>
      </w:r>
    </w:p>
    <w:p w:rsidR="00C757BB" w:rsidRPr="00D527E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Su, S., X. Cheng, and M. Wink, </w:t>
      </w:r>
      <w:r w:rsidRPr="00D527EB">
        <w:rPr>
          <w:rFonts w:ascii="Times New Roman" w:hAnsi="Times New Roman" w:cs="Times New Roman"/>
          <w:i/>
          <w:sz w:val="24"/>
          <w:szCs w:val="24"/>
        </w:rPr>
        <w:t>Natural lignans from Arctium lappa modulate P-glycoprotein efflux function in multidrug resistant cancer cells.</w:t>
      </w:r>
      <w:r w:rsidRPr="00D527EB">
        <w:rPr>
          <w:rFonts w:ascii="Times New Roman" w:hAnsi="Times New Roman" w:cs="Times New Roman"/>
          <w:sz w:val="24"/>
          <w:szCs w:val="24"/>
        </w:rPr>
        <w:t xml:space="preserve"> Phytomedicine, 2015. </w:t>
      </w:r>
      <w:r w:rsidRPr="00D527EB">
        <w:rPr>
          <w:rFonts w:ascii="Times New Roman" w:hAnsi="Times New Roman" w:cs="Times New Roman"/>
          <w:b/>
          <w:sz w:val="24"/>
          <w:szCs w:val="24"/>
        </w:rPr>
        <w:t>22</w:t>
      </w:r>
      <w:r w:rsidRPr="00D527EB">
        <w:rPr>
          <w:rFonts w:ascii="Times New Roman" w:hAnsi="Times New Roman" w:cs="Times New Roman"/>
          <w:sz w:val="24"/>
          <w:szCs w:val="24"/>
        </w:rPr>
        <w:t>(2): p. 301-307.</w:t>
      </w:r>
    </w:p>
    <w:p w:rsidR="00C757BB" w:rsidRPr="00D527E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Lee, M.-A., et al., </w:t>
      </w:r>
      <w:r w:rsidRPr="00D527EB">
        <w:rPr>
          <w:rFonts w:ascii="Times New Roman" w:hAnsi="Times New Roman" w:cs="Times New Roman"/>
          <w:i/>
          <w:sz w:val="24"/>
          <w:szCs w:val="24"/>
        </w:rPr>
        <w:t>Anti-proliferative activity of hydnocarpin, a natural lignan, is associated with the suppression of Wnt/β-catenin signaling pathway in colon cancer cells.</w:t>
      </w:r>
      <w:r w:rsidRPr="00D527EB">
        <w:rPr>
          <w:rFonts w:ascii="Times New Roman" w:hAnsi="Times New Roman" w:cs="Times New Roman"/>
          <w:sz w:val="24"/>
          <w:szCs w:val="24"/>
        </w:rPr>
        <w:t xml:space="preserve"> Bioorganic &amp; medicinal chemistry letters, 2013. </w:t>
      </w:r>
      <w:r w:rsidRPr="00D527EB">
        <w:rPr>
          <w:rFonts w:ascii="Times New Roman" w:hAnsi="Times New Roman" w:cs="Times New Roman"/>
          <w:b/>
          <w:sz w:val="24"/>
          <w:szCs w:val="24"/>
        </w:rPr>
        <w:t>23</w:t>
      </w:r>
      <w:r w:rsidRPr="00D527EB">
        <w:rPr>
          <w:rFonts w:ascii="Times New Roman" w:hAnsi="Times New Roman" w:cs="Times New Roman"/>
          <w:sz w:val="24"/>
          <w:szCs w:val="24"/>
        </w:rPr>
        <w:t>(20): p. 5511-5514.</w:t>
      </w:r>
    </w:p>
    <w:p w:rsidR="00C757BB" w:rsidRPr="00D527E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Chen, R., et al., </w:t>
      </w:r>
      <w:r w:rsidRPr="00D527EB">
        <w:rPr>
          <w:rFonts w:ascii="Times New Roman" w:hAnsi="Times New Roman" w:cs="Times New Roman"/>
          <w:i/>
          <w:sz w:val="24"/>
          <w:szCs w:val="24"/>
        </w:rPr>
        <w:t>The ERF transcription factor LTF1 activates DIR1 to control stereoselective synthesis of antiviral lignans and stress defense in Isatis indigotica roots.</w:t>
      </w:r>
      <w:r w:rsidRPr="00D527EB">
        <w:rPr>
          <w:rFonts w:ascii="Times New Roman" w:hAnsi="Times New Roman" w:cs="Times New Roman"/>
          <w:sz w:val="24"/>
          <w:szCs w:val="24"/>
        </w:rPr>
        <w:t xml:space="preserve"> Acta Pharmaceutica Sinica B, 2024. </w:t>
      </w:r>
      <w:r w:rsidRPr="00D527EB">
        <w:rPr>
          <w:rFonts w:ascii="Times New Roman" w:hAnsi="Times New Roman" w:cs="Times New Roman"/>
          <w:b/>
          <w:sz w:val="24"/>
          <w:szCs w:val="24"/>
        </w:rPr>
        <w:t>14</w:t>
      </w:r>
      <w:r w:rsidRPr="00D527EB">
        <w:rPr>
          <w:rFonts w:ascii="Times New Roman" w:hAnsi="Times New Roman" w:cs="Times New Roman"/>
          <w:sz w:val="24"/>
          <w:szCs w:val="24"/>
        </w:rPr>
        <w:t>(1): p. 405-420.</w:t>
      </w:r>
    </w:p>
    <w:p w:rsidR="00C757BB" w:rsidRPr="00D527E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Yang, M.-J., et al., </w:t>
      </w:r>
      <w:r w:rsidRPr="00D527EB">
        <w:rPr>
          <w:rFonts w:ascii="Times New Roman" w:hAnsi="Times New Roman" w:cs="Times New Roman"/>
          <w:i/>
          <w:sz w:val="24"/>
          <w:szCs w:val="24"/>
        </w:rPr>
        <w:t>Defensive furofuran lignans localized to the oil cells of Neocinnamomum delavayi and their metabolism by a specialist insect.</w:t>
      </w:r>
      <w:r w:rsidRPr="00D527EB">
        <w:rPr>
          <w:rFonts w:ascii="Times New Roman" w:hAnsi="Times New Roman" w:cs="Times New Roman"/>
          <w:sz w:val="24"/>
          <w:szCs w:val="24"/>
        </w:rPr>
        <w:t xml:space="preserve"> Phytochemistry, 2023. </w:t>
      </w:r>
      <w:r w:rsidRPr="00D527EB">
        <w:rPr>
          <w:rFonts w:ascii="Times New Roman" w:hAnsi="Times New Roman" w:cs="Times New Roman"/>
          <w:b/>
          <w:sz w:val="24"/>
          <w:szCs w:val="24"/>
        </w:rPr>
        <w:t>215</w:t>
      </w:r>
      <w:r w:rsidRPr="00D527EB">
        <w:rPr>
          <w:rFonts w:ascii="Times New Roman" w:hAnsi="Times New Roman" w:cs="Times New Roman"/>
          <w:sz w:val="24"/>
          <w:szCs w:val="24"/>
        </w:rPr>
        <w:t>: p. 113852.</w:t>
      </w:r>
    </w:p>
    <w:p w:rsidR="00C757BB" w:rsidRPr="00D527E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Lv, X., et al., </w:t>
      </w:r>
      <w:r w:rsidRPr="00D527EB">
        <w:rPr>
          <w:rFonts w:ascii="Times New Roman" w:hAnsi="Times New Roman" w:cs="Times New Roman"/>
          <w:i/>
          <w:sz w:val="24"/>
          <w:szCs w:val="24"/>
        </w:rPr>
        <w:t>Effects and mechanism of natural phenolic acids/fatty acids on copigmentation of purple sweet potato anthocyanins.</w:t>
      </w:r>
      <w:r w:rsidRPr="00D527EB">
        <w:rPr>
          <w:rFonts w:ascii="Times New Roman" w:hAnsi="Times New Roman" w:cs="Times New Roman"/>
          <w:sz w:val="24"/>
          <w:szCs w:val="24"/>
        </w:rPr>
        <w:t xml:space="preserve"> Current Research in Food Science, 2022. </w:t>
      </w:r>
      <w:r w:rsidRPr="00D527EB">
        <w:rPr>
          <w:rFonts w:ascii="Times New Roman" w:hAnsi="Times New Roman" w:cs="Times New Roman"/>
          <w:b/>
          <w:sz w:val="24"/>
          <w:szCs w:val="24"/>
        </w:rPr>
        <w:t>5</w:t>
      </w:r>
      <w:r w:rsidRPr="00D527EB">
        <w:rPr>
          <w:rFonts w:ascii="Times New Roman" w:hAnsi="Times New Roman" w:cs="Times New Roman"/>
          <w:sz w:val="24"/>
          <w:szCs w:val="24"/>
        </w:rPr>
        <w:t>: p. 1243-1250.</w:t>
      </w:r>
    </w:p>
    <w:p w:rsidR="00C757BB" w:rsidRPr="00D527E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Buzzacchera, I., et al., </w:t>
      </w:r>
      <w:r w:rsidRPr="00D527EB">
        <w:rPr>
          <w:rFonts w:ascii="Times New Roman" w:hAnsi="Times New Roman" w:cs="Times New Roman"/>
          <w:i/>
          <w:sz w:val="24"/>
          <w:szCs w:val="24"/>
        </w:rPr>
        <w:t>Screening libraries of amphiphilic Janus dendrimers based on natural phenolic acids to discover monodisperse unilamellar dendrimersomes.</w:t>
      </w:r>
      <w:r w:rsidRPr="00D527EB">
        <w:rPr>
          <w:rFonts w:ascii="Times New Roman" w:hAnsi="Times New Roman" w:cs="Times New Roman"/>
          <w:sz w:val="24"/>
          <w:szCs w:val="24"/>
        </w:rPr>
        <w:t xml:space="preserve"> Biomacromolecules, 2018. </w:t>
      </w:r>
      <w:r w:rsidRPr="00D527EB">
        <w:rPr>
          <w:rFonts w:ascii="Times New Roman" w:hAnsi="Times New Roman" w:cs="Times New Roman"/>
          <w:b/>
          <w:sz w:val="24"/>
          <w:szCs w:val="24"/>
        </w:rPr>
        <w:t>20</w:t>
      </w:r>
      <w:r w:rsidRPr="00D527EB">
        <w:rPr>
          <w:rFonts w:ascii="Times New Roman" w:hAnsi="Times New Roman" w:cs="Times New Roman"/>
          <w:sz w:val="24"/>
          <w:szCs w:val="24"/>
        </w:rPr>
        <w:t>(2): p. 712-727.</w:t>
      </w:r>
    </w:p>
    <w:p w:rsidR="00C757BB" w:rsidRPr="00D527E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Xu, K., et al., </w:t>
      </w:r>
      <w:r w:rsidRPr="00D527EB">
        <w:rPr>
          <w:rFonts w:ascii="Times New Roman" w:hAnsi="Times New Roman" w:cs="Times New Roman"/>
          <w:i/>
          <w:sz w:val="24"/>
          <w:szCs w:val="24"/>
        </w:rPr>
        <w:t>Clinical development and informatics analysis of natural and semi-synthetic flavonoid drugs: a critical review.</w:t>
      </w:r>
      <w:r w:rsidRPr="00D527EB">
        <w:rPr>
          <w:rFonts w:ascii="Times New Roman" w:hAnsi="Times New Roman" w:cs="Times New Roman"/>
          <w:sz w:val="24"/>
          <w:szCs w:val="24"/>
        </w:rPr>
        <w:t xml:space="preserve"> Journal of Advanced Research, 2023.</w:t>
      </w:r>
    </w:p>
    <w:p w:rsidR="00C757BB" w:rsidRPr="00D527E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Seleem, D., V. Pardi, and R.M. Murata, </w:t>
      </w:r>
      <w:r w:rsidRPr="00D527EB">
        <w:rPr>
          <w:rFonts w:ascii="Times New Roman" w:hAnsi="Times New Roman" w:cs="Times New Roman"/>
          <w:i/>
          <w:sz w:val="24"/>
          <w:szCs w:val="24"/>
        </w:rPr>
        <w:t>Review of flavonoids: A diverse group of natural compounds with anti-Candida albicans activity in vitro.</w:t>
      </w:r>
      <w:r w:rsidRPr="00D527EB">
        <w:rPr>
          <w:rFonts w:ascii="Times New Roman" w:hAnsi="Times New Roman" w:cs="Times New Roman"/>
          <w:sz w:val="24"/>
          <w:szCs w:val="24"/>
        </w:rPr>
        <w:t xml:space="preserve"> Archives of oral biology, 2017. </w:t>
      </w:r>
      <w:r w:rsidRPr="00D527EB">
        <w:rPr>
          <w:rFonts w:ascii="Times New Roman" w:hAnsi="Times New Roman" w:cs="Times New Roman"/>
          <w:b/>
          <w:sz w:val="24"/>
          <w:szCs w:val="24"/>
        </w:rPr>
        <w:t>76</w:t>
      </w:r>
      <w:r w:rsidRPr="00D527EB">
        <w:rPr>
          <w:rFonts w:ascii="Times New Roman" w:hAnsi="Times New Roman" w:cs="Times New Roman"/>
          <w:sz w:val="24"/>
          <w:szCs w:val="24"/>
        </w:rPr>
        <w:t>: p. 76-83.</w:t>
      </w:r>
    </w:p>
    <w:p w:rsidR="00C757BB" w:rsidRPr="00D527E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Wu, S., et al., </w:t>
      </w:r>
      <w:r w:rsidRPr="00D527EB">
        <w:rPr>
          <w:rFonts w:ascii="Times New Roman" w:hAnsi="Times New Roman" w:cs="Times New Roman"/>
          <w:i/>
          <w:sz w:val="24"/>
          <w:szCs w:val="24"/>
        </w:rPr>
        <w:t>A comprehensive review of natural products against atopic dermatitis: Flavonoids, alkaloids, terpenes, glycosides and other compounds.</w:t>
      </w:r>
      <w:r w:rsidRPr="00D527EB">
        <w:rPr>
          <w:rFonts w:ascii="Times New Roman" w:hAnsi="Times New Roman" w:cs="Times New Roman"/>
          <w:sz w:val="24"/>
          <w:szCs w:val="24"/>
        </w:rPr>
        <w:t xml:space="preserve"> Biomedicine &amp; Pharmacotherapy, 2021. </w:t>
      </w:r>
      <w:r w:rsidRPr="00D527EB">
        <w:rPr>
          <w:rFonts w:ascii="Times New Roman" w:hAnsi="Times New Roman" w:cs="Times New Roman"/>
          <w:b/>
          <w:sz w:val="24"/>
          <w:szCs w:val="24"/>
        </w:rPr>
        <w:t>140</w:t>
      </w:r>
      <w:r w:rsidRPr="00D527EB">
        <w:rPr>
          <w:rFonts w:ascii="Times New Roman" w:hAnsi="Times New Roman" w:cs="Times New Roman"/>
          <w:sz w:val="24"/>
          <w:szCs w:val="24"/>
        </w:rPr>
        <w:t>: p. 111741.</w:t>
      </w:r>
    </w:p>
    <w:p w:rsidR="00C757BB" w:rsidRPr="00D527E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Rani, M., et al., </w:t>
      </w:r>
      <w:r w:rsidRPr="00D527EB">
        <w:rPr>
          <w:rFonts w:ascii="Times New Roman" w:hAnsi="Times New Roman" w:cs="Times New Roman"/>
          <w:i/>
          <w:sz w:val="24"/>
          <w:szCs w:val="24"/>
        </w:rPr>
        <w:t>Natural flavonoid pectolinarin computationally targeted as a promising drug candidate against SARS-CoV-2.</w:t>
      </w:r>
      <w:r w:rsidRPr="00D527EB">
        <w:rPr>
          <w:rFonts w:ascii="Times New Roman" w:hAnsi="Times New Roman" w:cs="Times New Roman"/>
          <w:sz w:val="24"/>
          <w:szCs w:val="24"/>
        </w:rPr>
        <w:t xml:space="preserve"> Current Research in Structural Biology, 2024. </w:t>
      </w:r>
      <w:r w:rsidRPr="00D527EB">
        <w:rPr>
          <w:rFonts w:ascii="Times New Roman" w:hAnsi="Times New Roman" w:cs="Times New Roman"/>
          <w:b/>
          <w:sz w:val="24"/>
          <w:szCs w:val="24"/>
        </w:rPr>
        <w:t>7</w:t>
      </w:r>
      <w:r w:rsidRPr="00D527EB">
        <w:rPr>
          <w:rFonts w:ascii="Times New Roman" w:hAnsi="Times New Roman" w:cs="Times New Roman"/>
          <w:sz w:val="24"/>
          <w:szCs w:val="24"/>
        </w:rPr>
        <w:t>: p. 100120.</w:t>
      </w:r>
    </w:p>
    <w:p w:rsidR="00C757BB" w:rsidRPr="00D527E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Bodoira, R. and D. Maestri, </w:t>
      </w:r>
      <w:r w:rsidRPr="00D527EB">
        <w:rPr>
          <w:rFonts w:ascii="Times New Roman" w:hAnsi="Times New Roman" w:cs="Times New Roman"/>
          <w:i/>
          <w:sz w:val="24"/>
          <w:szCs w:val="24"/>
        </w:rPr>
        <w:t>Phenolic compounds from nuts: extraction, chemical profiles, and bioactivity.</w:t>
      </w:r>
      <w:r w:rsidRPr="00D527EB">
        <w:rPr>
          <w:rFonts w:ascii="Times New Roman" w:hAnsi="Times New Roman" w:cs="Times New Roman"/>
          <w:sz w:val="24"/>
          <w:szCs w:val="24"/>
        </w:rPr>
        <w:t xml:space="preserve"> Journal of Agricultural and Food Chemistry, 2020. </w:t>
      </w:r>
      <w:r w:rsidRPr="00D527EB">
        <w:rPr>
          <w:rFonts w:ascii="Times New Roman" w:hAnsi="Times New Roman" w:cs="Times New Roman"/>
          <w:b/>
          <w:sz w:val="24"/>
          <w:szCs w:val="24"/>
        </w:rPr>
        <w:t>68</w:t>
      </w:r>
      <w:r w:rsidRPr="00D527EB">
        <w:rPr>
          <w:rFonts w:ascii="Times New Roman" w:hAnsi="Times New Roman" w:cs="Times New Roman"/>
          <w:sz w:val="24"/>
          <w:szCs w:val="24"/>
        </w:rPr>
        <w:t>(4): p. 927-942.</w:t>
      </w:r>
    </w:p>
    <w:p w:rsidR="00C757BB" w:rsidRPr="00D527E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Kurnia, D., et al., </w:t>
      </w:r>
      <w:r w:rsidRPr="00D527EB">
        <w:rPr>
          <w:rFonts w:ascii="Times New Roman" w:hAnsi="Times New Roman" w:cs="Times New Roman"/>
          <w:i/>
          <w:sz w:val="24"/>
          <w:szCs w:val="24"/>
        </w:rPr>
        <w:t>Potential of flavonol and sulfur compounds from Allium leaves as an antioxidant and xanthine oxidase inhibition in silico study.</w:t>
      </w:r>
      <w:r w:rsidRPr="00D527EB">
        <w:rPr>
          <w:rFonts w:ascii="Times New Roman" w:hAnsi="Times New Roman" w:cs="Times New Roman"/>
          <w:sz w:val="24"/>
          <w:szCs w:val="24"/>
        </w:rPr>
        <w:t xml:space="preserve"> Food Chemistry Advances, 2023. </w:t>
      </w:r>
      <w:r w:rsidRPr="00D527EB">
        <w:rPr>
          <w:rFonts w:ascii="Times New Roman" w:hAnsi="Times New Roman" w:cs="Times New Roman"/>
          <w:b/>
          <w:sz w:val="24"/>
          <w:szCs w:val="24"/>
        </w:rPr>
        <w:t>3</w:t>
      </w:r>
      <w:r w:rsidRPr="00D527EB">
        <w:rPr>
          <w:rFonts w:ascii="Times New Roman" w:hAnsi="Times New Roman" w:cs="Times New Roman"/>
          <w:sz w:val="24"/>
          <w:szCs w:val="24"/>
        </w:rPr>
        <w:t>: p. 100383.</w:t>
      </w:r>
    </w:p>
    <w:p w:rsidR="00C757BB" w:rsidRPr="00D527E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lastRenderedPageBreak/>
        <w:t xml:space="preserve">Bell, L., M.J. Oruna-Concha, and C. Wagstaff, </w:t>
      </w:r>
      <w:r w:rsidRPr="00D527EB">
        <w:rPr>
          <w:rFonts w:ascii="Times New Roman" w:hAnsi="Times New Roman" w:cs="Times New Roman"/>
          <w:i/>
          <w:sz w:val="24"/>
          <w:szCs w:val="24"/>
        </w:rPr>
        <w:t xml:space="preserve">Identification and quantification of glucosinolate and flavonol compounds in rocket salad (Eruca sativa, Eruca vesicaria and Diplotaxis tenuifolia) by LC–MS: Highlighting the 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 w:rsidRPr="00D527EB">
        <w:rPr>
          <w:rFonts w:ascii="Times New Roman" w:hAnsi="Times New Roman" w:cs="Times New Roman"/>
          <w:i/>
          <w:sz w:val="24"/>
          <w:szCs w:val="24"/>
        </w:rPr>
        <w:t>otential for improving nutritional value of rocket crops.</w:t>
      </w:r>
      <w:r w:rsidRPr="00D527EB">
        <w:rPr>
          <w:rFonts w:ascii="Times New Roman" w:hAnsi="Times New Roman" w:cs="Times New Roman"/>
          <w:sz w:val="24"/>
          <w:szCs w:val="24"/>
        </w:rPr>
        <w:t xml:space="preserve"> Food Chemistry, 2015. </w:t>
      </w:r>
      <w:r w:rsidRPr="00D527EB">
        <w:rPr>
          <w:rFonts w:ascii="Times New Roman" w:hAnsi="Times New Roman" w:cs="Times New Roman"/>
          <w:b/>
          <w:sz w:val="24"/>
          <w:szCs w:val="24"/>
        </w:rPr>
        <w:t>172</w:t>
      </w:r>
      <w:r w:rsidRPr="00D527EB">
        <w:rPr>
          <w:rFonts w:ascii="Times New Roman" w:hAnsi="Times New Roman" w:cs="Times New Roman"/>
          <w:sz w:val="24"/>
          <w:szCs w:val="24"/>
        </w:rPr>
        <w:t>: p. 852-861.</w:t>
      </w:r>
    </w:p>
    <w:p w:rsidR="00C757BB" w:rsidRPr="00D527E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Liu, P., H. Kallio, and B. Yang, </w:t>
      </w:r>
      <w:r w:rsidRPr="00D527EB">
        <w:rPr>
          <w:rFonts w:ascii="Times New Roman" w:hAnsi="Times New Roman" w:cs="Times New Roman"/>
          <w:i/>
          <w:sz w:val="24"/>
          <w:szCs w:val="24"/>
        </w:rPr>
        <w:t>Flavonol glycosides and other phenolic compounds in buds and leaves of different varieties of black currant (Ribes nigrum L.) and changes during growing season.</w:t>
      </w:r>
      <w:r w:rsidRPr="00D527EB">
        <w:rPr>
          <w:rFonts w:ascii="Times New Roman" w:hAnsi="Times New Roman" w:cs="Times New Roman"/>
          <w:sz w:val="24"/>
          <w:szCs w:val="24"/>
        </w:rPr>
        <w:t xml:space="preserve"> Food chemistry, 2014. </w:t>
      </w:r>
      <w:r w:rsidRPr="00D527EB">
        <w:rPr>
          <w:rFonts w:ascii="Times New Roman" w:hAnsi="Times New Roman" w:cs="Times New Roman"/>
          <w:b/>
          <w:sz w:val="24"/>
          <w:szCs w:val="24"/>
        </w:rPr>
        <w:t>160</w:t>
      </w:r>
      <w:r w:rsidRPr="00D527EB">
        <w:rPr>
          <w:rFonts w:ascii="Times New Roman" w:hAnsi="Times New Roman" w:cs="Times New Roman"/>
          <w:sz w:val="24"/>
          <w:szCs w:val="24"/>
        </w:rPr>
        <w:t>: p. 180-189.</w:t>
      </w:r>
    </w:p>
    <w:p w:rsidR="00C757BB" w:rsidRPr="00D527EB" w:rsidRDefault="00C757BB" w:rsidP="00C757BB">
      <w:pPr>
        <w:pStyle w:val="EndNoteBibliography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27EB">
        <w:rPr>
          <w:rFonts w:ascii="Times New Roman" w:hAnsi="Times New Roman" w:cs="Times New Roman"/>
          <w:sz w:val="24"/>
          <w:szCs w:val="24"/>
        </w:rPr>
        <w:t xml:space="preserve">Brianceau, S., et al., </w:t>
      </w:r>
      <w:r w:rsidRPr="00D527EB">
        <w:rPr>
          <w:rFonts w:ascii="Times New Roman" w:hAnsi="Times New Roman" w:cs="Times New Roman"/>
          <w:i/>
          <w:sz w:val="24"/>
          <w:szCs w:val="24"/>
        </w:rPr>
        <w:t>High voltage electric discharges assisted extraction of phenolic compounds from grape stems: Effect of processing parameters on flavan-3-ols, flavonols and stilbenes recovery.</w:t>
      </w:r>
      <w:r w:rsidRPr="00D527EB">
        <w:rPr>
          <w:rFonts w:ascii="Times New Roman" w:hAnsi="Times New Roman" w:cs="Times New Roman"/>
          <w:sz w:val="24"/>
          <w:szCs w:val="24"/>
        </w:rPr>
        <w:t xml:space="preserve"> Innovative Food Science &amp; Emerging Technologies, 2016. </w:t>
      </w:r>
      <w:r w:rsidRPr="00D527EB">
        <w:rPr>
          <w:rFonts w:ascii="Times New Roman" w:hAnsi="Times New Roman" w:cs="Times New Roman"/>
          <w:b/>
          <w:sz w:val="24"/>
          <w:szCs w:val="24"/>
        </w:rPr>
        <w:t>35</w:t>
      </w:r>
      <w:r w:rsidRPr="00D527EB">
        <w:rPr>
          <w:rFonts w:ascii="Times New Roman" w:hAnsi="Times New Roman" w:cs="Times New Roman"/>
          <w:sz w:val="24"/>
          <w:szCs w:val="24"/>
        </w:rPr>
        <w:t>: p. 67-74.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Liang, N.-N., et al., Regional characteristics of anthocyanin and flavonol compounds from grapes of four Vitis vinifera varieties in five wine regions of China. Food Research International, 2014. 64: p. 264-274.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Lee, J.-D., et al., Flavonol-rich RVHxR from Rhus verniciflua Stokes and its major compound fisetin inhibits inflammation-related cytokines and angiogenic factor in rheumatoid arthritic fibroblast-like synovial cells and in vivo models. International immunopharmacology, 2009. 9(3): p. 268-276.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Jeszka-Skowron, M., A. Zgoła-Grześkowiak, and R. Frankowski, Cistus incanus a promising herbal tea rich in bioactive compounds: LC–MS/MS determination of catechins, flavonols, phenolic acids and alkaloids—A comparison with Camellia sinensis, Rooibos and Hoan Ngoc herbal tea. Journal of Food Composition and Analysis, 2018. 74: p. 71-81.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Barbosa, P.d.P.M., et al., Enzyme-assisted extraction of flavanones from citrus pomace: Obtention of natural compounds with anti-virulence and anti-adhesive effect against Salmonella enterica subsp. enterica serovar Typhimurium. Food Control, 2021. 120: p. 107525.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Laraoui, H., et al., A new flavanone sulfonate and other phenolic compounds from Fumana montana. Biochemical Systematics and Ecology, 2019. 86: p. 103927.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de Oliveira Mendes, L.A., et al., The anti-Zika virus and anti-tumoral activity of the citrus flavanone lipophilic naringenin-based compounds. Chemico-Biological Interactions, 2020. 331: p. 109218.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Soto, M., et al., Substrate‐Controlled Hydrogenation of Flavanones: Selective Synthesis of 2′‐Hydroxy‐1, 3‐Diarylpropanes and Flavans. European Journal of Organic Chemistry, 2023. 26(16): p. e202300139.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Sigmon, A.J., et al., Computer-aided design, syntheses, and ITC binding data of novel flavanone derivatives for use as potential inhibitors of the papain-like protease of COVID-19. Results in Chemistry, 2023. 6: p. 101116.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Witt, M. and P. Metz, Enantioselective synthesis of the bioactive flavanones lonchocarpol A and 6-(1, 1-dimethylallyl) naringenin by catalytic asymmetric transfer hydrogenation. Tetrahedron, 2023. 149: p. 133719.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lastRenderedPageBreak/>
        <w:t>Ares, A.M., et al., Chiral and achiral separation of ten flavanones using supercritical fluid chromatography. Application to bee pollen analysis. Journal of Chromatography A, 2022. 1685: p. 463633.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Alalaiwe, A., et al., Development of flavanone and its derivatives as topical agents against psoriasis: The prediction of therapeutic efficiency through skin permeation evaluation and cell-based assay. International Journal of Pharmaceutics, 2020. 581: p. 119256.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Santi, M.D., et al., Neuroprotective effects of prenylated flavanones isolated from Dalea species, in vitro and in silico studies. European Journal of Medicinal Chemistry, 2020. 206: p. 112718.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de Matos, I.L., et al., Stereoselective reduction of flavanones by marine-derived fungi. Molecular Catalysis, 2021. 513: p. 111734.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Alenezi, S.S., et al., Novel flavanones with anti-trypanosomal activity isolated from Zambian and Tanzanian propolis samples. International Journal for Parasitology: Drugs and Drug Resistance, 2020. 14: p. 201-207.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Fuguet, E., et al., Acidity constants of hydroxyl groups placed in several flavonoids: Two flavanones, two flavones and five flavonols. Talanta, 2023. 253: p. 124096.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Saavedra, E., et al., The synthetic flavanone 6-methoxy-2-(naphthalen-1-yl) chroman-4-one induces apoptosis and activation of the MAPK pathway in human U-937 leukaemia cells. Bioorganic Chemistry, 2020. 94: p. 103450.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Noleto-Dias, C., et al., Sulfated flavanones and dihydroflavonols from willow. Phytochemistry letters, 2020. 35: p. 88-93.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Martin, M.Á. and S. Ramos, Impact of cocoa flavanols on human health. Food and Chemical Toxicology, 2021. 151: p. 112121.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Cruz, B.G., et al., Chemical Composition, Antibacterial and Inhibitory Activity of the Efflux Pump of Essential Oils from Croton piauhiensis Müll. Nutraceuticals, 2023. 3(4): p. 591-604.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Yücer, R., et al., Cytotoxicity of dioncophylline A and related naphthylisoquinolines in leukemia cells, mediated by NF-κB inhibition, angiogenesis suppression, G2/M cell cycle arrest, and autophagy induction. Phytomedicine, 2023: p. 155267.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Vezza, T., et al., The Antioxidant Properties of Salvia verbenaca Extract Contribute to Its Intestinal Antiinflammatory Effects in Experimental Colitis in Rats. Antioxidants, 2023. 12(12): p. 2071.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Alahmady, N.F., et al., Biochemical characterization of chamomile essential oil: Antioxidant, antibacterial, anticancer and neuroprotective activity and potential treatment for Alzheimer's disease. Saudi Journal of Biological Sciences, 2024. 31(2): p. 103912.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Mostofa, M.G., et al., Apoptosis-inducing anti-proliferative and quantitative phytochemical profiling with in silico study of antioxidant-rich Leea aequata L. leaves. Heliyon, 2024. 10(1).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Su, Y., et al., Combined metabolomic and transcriptomic analysis reveals the characteristics of the lignan in Isatis indigotica Fortune. Gene, 2023. 888: p. 147752.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Li, Y.-Y., et al., Sonneralignan A, a new lignan from the fruit of mangrove Sonneratia apetala. Natural Product Research, 2023: p. 1-6.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Ryu, H.W., et al., Polyphenols from Broussonetia papyrifera displaying potent α-glucosidase inhibition. Journal of agricultural and food chemistry, 2010. 58(1): p. 202-208.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lastRenderedPageBreak/>
        <w:t>Yang, H., et al., New Bioactive Polyphenols from Theobroma g randiflorum (“Cupuaçu”). Journal of natural products, 2003. 66(11): p. 1501-1504.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Schwarz, L.J., et al., Enrichment of (E)-resveratrol from peanut byproduct with molecularly imprinted polymers. Journal of agricultural and food chemistry, 2011. 59(8): p. 3539-3543.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Zhang, S., et al., Novel theaflavin-type chlorogenic acid derivatives identified in black tea. Journal of agricultural and food chemistry, 2018. 66(13): p. 3402-3407.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Ray, N.B., et al., Bioactive olive oil polyphenols in the promotion of health, in The role of functional food security in global health. 2019, Elsevier. p. 623-637.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Zhao, Y., Y. Wu, and M. Wang, Bioactive substances of plant origin 30. Handbook of food chemistry, 2015. 967: p. 967-1008.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Al-Khayri, J.M., et al., Stilbenes, a Versatile Class of Natural Metabolites for Inflammation—An Overview. Molecules, 2023. 28(9): p. 3786.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Pandey, K.B. and S.I. Rizvi, Plant polyphenols as dietary antioxidants in human health and disease. Oxidative medicine and cellular longevity, 2009. 2: p. 270-278.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Yang, H.-r., et al., Dimeric 2-(2-phenethyl) chromones from agarwood of Aquilaria filaria. Fitoterapia, 2023. 165: p. 105422.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Fang, D.-S., et al., Diverse meroterpenoids with α-glucosidase inhibitory activity from Ganoderma cochlear. Fitoterapia, 2023. 165: p. 105420.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Li, Y.-H., et al., Five new verrucosidin derivatives from Penicillium polonicum, a deep-sea cold-seep sediment isolated fungus. Fitoterapia, 2023. 165: p. 105387.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Bao, X.-H., et al., Racemic Norneolignans from the resin of Ferula sinkiangensis and their Cox-2 inhibitory activity. Fitoterapia, 2023. 164: p. 105341.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Chen, L., et al., Seven new 2-(2-phenethyl) chromone derivatives from agarwood of Aquilaria walla. Fitoterapia, 2023. 165: p. 105421.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Li, X., et al., Unusual N-pyridinium amino acid-type alkaloids from roots and rhizomes of Sophora tonkinensis Gagnep. Fitoterapia, 2023. 165: p. 105388.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Zhao, J., et al., Advances on Cyclocarya paliurus polyphenols: Extraction, structures, bioactivities and future perspectives. Food Chemistry, 2022: p. 133667.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Gao, Y., et al., A green ultrasound-assisted enzymatic extraction method for efficient extraction of total polyphenols from Empetrum nigrum and determination of its bioactivities. Journal of Industrial and Engineering Chemistry, 2022. 109: p. 559-567.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Li, N., et al., Application of nanoencapsulation technology to improve the stability and bioactivity of tea polyphenols. Food Bioscience, 2023. 55: p. 103076.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Chen, J., et al., Bioactivity and influence on colonic microbiota of polyphenols from noni (Morinda citrifolia L.) fruit under simulated gastrointestinal digestion. Food Chemistry: X, 2024. 21: p. 101076.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Wu, A., et al., Characterization and adsorption-release property of fermented porous starch as well as its bioactivity protection for guava leaf polyphenols. Food Bioscience, 2023. 53: p. 102535.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Wei, L., et al., Characterization and potential bioactivity of polyphenols of Rosa rugosa. Food Bioscience, 2022. 50: p. 102108.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lastRenderedPageBreak/>
        <w:t>Blagojević, B., et al., β-Cyclodextrin as a green booster for the extraction of polyphenols from blackthorn fruits: Bioactivity determination and molecular docking analysis. Food and Bioproducts Processing, 2023. 140: p. 84-98.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Wang, W., et al., Development and optimization of green extraction of polyphenols in Michelia alba using natural deep eutectic solvents (NADES) and evaluation of bioactivity. Sustainable Chemistry and Pharmacy, 2024. 37: p. 101425.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Shi, Y., et al., Encapsulation of bioactive polyphenols by starch and their impacts on gut microbiota. Current Opinion in Food Science, 2021. 38: p. 102-111.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Domínguez-Rodríguez, G., M.L. Marina, and M. Plaza, Enzyme-assisted extraction of bioactive non-extractable polyphenols from sweet cherry (Prunus avium L.) pomace. Food Chemistry, 2021. 339: p. 128086.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He, X., et al., Fruit and vegetable polyphenols as natural bioactive inhibitors of pancreatic lipase and cholesterol esterase: Inhibition mechanisms, polyphenol influences, application challenges. Food Bioscience, 2023: p. 103054.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Nekkaa, A., et al., Green and innovative extraction of polyphenols from Rhamnus alaternus using natural deep eutectic solvents and evaluation of their bioactivities. Journal of Applied Research on Medicinal and Aromatic Plants, 2023. 35: p. 100503.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Murakami, A., Novel mechanisms underlying bioactivities of polyphenols via hormesis. Current Opinion in Toxicology, 2022. 30: p. 100337.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Rao, H., et al., Phytochemical analysis and bioactivity assessment of five medicinal plants from Pakistan: Exploring polyphenol contents, antioxidant potential, and antibacterial activities. Saudi Journal of Biological Sciences, 2023. 30(10): p. 103783.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Awika, J.M. and K.G. Duodu, Bioactive polyphenols and peptides in cowpea (Vigna unguiculata) and their health promoting properties: A review. Journal of Functional Foods, 2017. 38: p. 686-697.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Serra, D., L.M. Almeida, and T.C. Dinis, Polyphenols as food bioactive compounds in the context of Autism Spectrum Disorders: A critical mini-review. Neuroscience &amp; Biobehavioral Reviews, 2019. 102: p. 290-298.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Girard, A.L. and J.M. Awika, Sorghum polyphenols and other bioactive components as functional and health promoting food ingredients. Journal of Cereal Science, 2018. 84: p. 112-124.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Blagojević, B., et al., An in vitro and in silico evaluation of bioactive Potential of cornelian cherry (Cornus mas L.) extracts rich in polyphenols and iridoids. Food chemistry, 2021. 335: p. 127619.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Ray, N.B., et al., Olive fruit and olive oil bioactive polyphenols in the promotion of health, in Functional Foods and Nutraceuticals in Metabolic and Non-Communicable Diseases. 2022, Elsevier. p. 203-220.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Popović, B., et al., Comparison between polyphenol profile and bioactive response in blackthorn (Prunus spinosa L.) genotypes from north Serbia-from raw data to PCA analysis. Food chemistry, 2020. 302: p. 125373.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Makris, D.P., Green extraction processes for the efficient recovery of bioactive polyphenols from wine industry solid wastes–Recent progress. Current Opinion in Green and Sustainable Chemistry, 2018. 13: p. 50-55.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lastRenderedPageBreak/>
        <w:t>Zhou, Z.-Q., et al., Polyphenols from wolfberry and their bioactivities. Food Chemistry, 2017. 214: p. 644-654.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Álvarez, A., et al., Microwave pretreatment to improve extraction efficiency and polyphenol extract richness from grape pomace. Effect on antioxidant bioactivity. Food and Bioproducts Processing, 2017. 106: p. 162-170.</w:t>
      </w:r>
    </w:p>
    <w:p w:rsidR="00C757BB" w:rsidRPr="00A34D01" w:rsidRDefault="00C757BB" w:rsidP="00A34D01">
      <w:pPr>
        <w:pStyle w:val="ListParagraph"/>
        <w:numPr>
          <w:ilvl w:val="0"/>
          <w:numId w:val="2"/>
        </w:numPr>
      </w:pPr>
      <w:r w:rsidRPr="00A34D01">
        <w:t>Gómez-Mejía, E., et al., Citrus peels waste as a source of value-added compounds: Extraction and quantification of bioactive polyphenols. Food Chemistry, 2019. 295: p. 289-299.</w:t>
      </w:r>
    </w:p>
    <w:p w:rsidR="00A34D01" w:rsidRPr="00A34D01" w:rsidRDefault="00C757BB" w:rsidP="00A34D01">
      <w:pPr>
        <w:pStyle w:val="ListParagraph"/>
        <w:numPr>
          <w:ilvl w:val="0"/>
          <w:numId w:val="2"/>
        </w:numPr>
      </w:pPr>
      <w:r w:rsidRPr="00A34D01">
        <w:t>Burton-Freeman, B.M., A.K. Sandhu, and I. Edirisinghe, Red raspberries and their bioactive polyphenols: cardiometabolic and neuronal health links. Advances in Nutrition, 2016. 7(1): p. 44-65.</w:t>
      </w:r>
    </w:p>
    <w:p w:rsidR="00C757BB" w:rsidRPr="00870CFF" w:rsidRDefault="00C757BB" w:rsidP="00870CFF">
      <w:pPr>
        <w:pStyle w:val="ListParagraph"/>
        <w:numPr>
          <w:ilvl w:val="0"/>
          <w:numId w:val="2"/>
        </w:numPr>
        <w:spacing w:before="240"/>
        <w:rPr>
          <w:rFonts w:cstheme="minorHAnsi"/>
        </w:rPr>
      </w:pPr>
      <w:r w:rsidRPr="00870CFF">
        <w:rPr>
          <w:rFonts w:cstheme="minorHAnsi"/>
        </w:rPr>
        <w:t>Zhang, Y., et al., Bioactive diarylheptanoids and stilbenes from the rhizomes of Dioscorea septemloba Thunb. Fitoterapia, 2017. 117: p. 28-33.</w:t>
      </w:r>
    </w:p>
    <w:p w:rsidR="00C757BB" w:rsidRPr="00870CFF" w:rsidRDefault="00C757BB" w:rsidP="00870CFF">
      <w:pPr>
        <w:pStyle w:val="ListParagraph"/>
        <w:numPr>
          <w:ilvl w:val="0"/>
          <w:numId w:val="2"/>
        </w:numPr>
        <w:spacing w:before="240"/>
        <w:rPr>
          <w:rFonts w:cstheme="minorHAnsi"/>
        </w:rPr>
      </w:pPr>
      <w:r w:rsidRPr="00870CFF">
        <w:rPr>
          <w:rFonts w:cstheme="minorHAnsi"/>
        </w:rPr>
        <w:t>Hao, M., et al., Bioactive flavonoids and stilbenes from the leaf of Morus alba var. multicaulis. Fitoterapia, 2021. 154: p. 105018.</w:t>
      </w:r>
    </w:p>
    <w:p w:rsidR="00C757BB" w:rsidRPr="00870CFF" w:rsidRDefault="00C757BB" w:rsidP="00870CFF">
      <w:pPr>
        <w:pStyle w:val="ListParagraph"/>
        <w:numPr>
          <w:ilvl w:val="0"/>
          <w:numId w:val="2"/>
        </w:numPr>
        <w:spacing w:before="240"/>
        <w:rPr>
          <w:rFonts w:cstheme="minorHAnsi"/>
        </w:rPr>
      </w:pPr>
      <w:r w:rsidRPr="00870CFF">
        <w:rPr>
          <w:rFonts w:cstheme="minorHAnsi"/>
        </w:rPr>
        <w:t>Guerrero, R.F., et al., Grapevine cane’s waste is a source of bioactive stilbenes. Industrial Crops and Products, 2016. 94: p. 884-892.</w:t>
      </w:r>
    </w:p>
    <w:p w:rsidR="00C757BB" w:rsidRPr="00870CFF" w:rsidRDefault="00C757BB" w:rsidP="00870CFF">
      <w:pPr>
        <w:pStyle w:val="ListParagraph"/>
        <w:numPr>
          <w:ilvl w:val="0"/>
          <w:numId w:val="2"/>
        </w:numPr>
        <w:spacing w:before="240"/>
        <w:rPr>
          <w:rFonts w:cstheme="minorHAnsi"/>
        </w:rPr>
      </w:pPr>
      <w:r w:rsidRPr="00870CFF">
        <w:rPr>
          <w:rFonts w:cstheme="minorHAnsi"/>
        </w:rPr>
        <w:t xml:space="preserve">Fernández-Marín, M.I., et al., Isorhapontigenin: a novel bioactive stilbene from wine grapes. Food </w:t>
      </w:r>
      <w:r w:rsidR="00A34D01" w:rsidRPr="00870CFF">
        <w:rPr>
          <w:rFonts w:cstheme="minorHAnsi"/>
        </w:rPr>
        <w:t>Chemistry</w:t>
      </w:r>
      <w:r w:rsidRPr="00870CFF">
        <w:rPr>
          <w:rFonts w:cstheme="minorHAnsi"/>
        </w:rPr>
        <w:t>, 2012. 135(3): p. 1353-1359.</w:t>
      </w:r>
    </w:p>
    <w:p w:rsidR="00C757BB" w:rsidRPr="00870CFF" w:rsidRDefault="00C757BB" w:rsidP="00870CFF">
      <w:pPr>
        <w:pStyle w:val="ListParagraph"/>
        <w:numPr>
          <w:ilvl w:val="0"/>
          <w:numId w:val="2"/>
        </w:numPr>
        <w:spacing w:before="240"/>
        <w:rPr>
          <w:rFonts w:cstheme="minorHAnsi"/>
        </w:rPr>
      </w:pPr>
      <w:r w:rsidRPr="00870CFF">
        <w:rPr>
          <w:rFonts w:cstheme="minorHAnsi"/>
        </w:rPr>
        <w:t>Lai, T.N.H., et al., Piceatannol, a potent bioactive stilbene, as major phenolic component in Rhodomyrtus tomentosa. Food Chemistry, 2013. 138(2-3): p. 1421-1430.</w:t>
      </w:r>
    </w:p>
    <w:p w:rsidR="00C757BB" w:rsidRPr="00870CFF" w:rsidRDefault="00C757BB" w:rsidP="00870CFF">
      <w:pPr>
        <w:pStyle w:val="ListParagraph"/>
        <w:numPr>
          <w:ilvl w:val="0"/>
          <w:numId w:val="2"/>
        </w:numPr>
        <w:rPr>
          <w:rFonts w:cstheme="minorHAnsi"/>
        </w:rPr>
      </w:pPr>
      <w:r w:rsidRPr="00870CFF">
        <w:rPr>
          <w:rFonts w:cstheme="minorHAnsi"/>
        </w:rPr>
        <w:t>Boccellino, M., et al., Protective effect of piceatannol and bioactive stilbene derivatives against hypoxia-induced toxicity in H9c2 cardiomyocytes and structural elucidation as 5-LOX inhibitors. European Journal of Medicinal Chemistry, 2019. 180: p. 637-647.</w:t>
      </w:r>
    </w:p>
    <w:p w:rsidR="00C757BB" w:rsidRPr="00A34D01" w:rsidRDefault="00C757BB" w:rsidP="00A34D01">
      <w:pPr>
        <w:pStyle w:val="ListParagraph"/>
        <w:numPr>
          <w:ilvl w:val="0"/>
          <w:numId w:val="2"/>
        </w:numPr>
      </w:pPr>
      <w:r w:rsidRPr="00A34D01">
        <w:t>Fu, Y.-H., et al., Six undescribed derivatives of stilbene isolated from Lindera reflexa Hemsl. and their anti-tumor and anti-inflammatory activities. Fitoterapia, 2022. 163: p. 105331.</w:t>
      </w:r>
    </w:p>
    <w:p w:rsidR="00C757BB" w:rsidRPr="00A34D01" w:rsidRDefault="00C757BB" w:rsidP="00A34D01">
      <w:pPr>
        <w:pStyle w:val="ListParagraph"/>
        <w:numPr>
          <w:ilvl w:val="0"/>
          <w:numId w:val="2"/>
        </w:numPr>
      </w:pPr>
      <w:r w:rsidRPr="00A34D01">
        <w:t>Benbouguerra, N., et al., Stilbenes in grape berries and wine and their potential role as anti-obesity agents: A review. Trends in Food Science &amp; Technology, 2021. 112: p. 362-381.</w:t>
      </w:r>
    </w:p>
    <w:p w:rsidR="00C757BB" w:rsidRPr="00A34D01" w:rsidRDefault="00C757BB" w:rsidP="00A34D01">
      <w:pPr>
        <w:pStyle w:val="ListParagraph"/>
        <w:numPr>
          <w:ilvl w:val="0"/>
          <w:numId w:val="2"/>
        </w:numPr>
      </w:pPr>
      <w:r w:rsidRPr="00A34D01">
        <w:t>Yang, M.-Y., et al., Stilbenes with potent cytotoxicity from the seedcases of Paeonia suffruticosa Andrews. Phytochemistry, 2023. 205: p. 113515.</w:t>
      </w:r>
    </w:p>
    <w:p w:rsidR="00C757BB" w:rsidRPr="00A34D01" w:rsidRDefault="00C757BB" w:rsidP="00A34D01">
      <w:pPr>
        <w:pStyle w:val="ListParagraph"/>
        <w:numPr>
          <w:ilvl w:val="0"/>
          <w:numId w:val="2"/>
        </w:numPr>
      </w:pPr>
      <w:r w:rsidRPr="00A34D01">
        <w:t>Stockdale, D.P., J.A. Beutler, and D.F. Wiemer, Substitution of a triazole for the central olefin in biologically active stilbenes. Bioorganic &amp; medicinal chemistry letters, 2022. 75: p. 128980.</w:t>
      </w:r>
    </w:p>
    <w:p w:rsidR="00C757BB" w:rsidRPr="00A34D01" w:rsidRDefault="00C757BB" w:rsidP="00A34D01">
      <w:pPr>
        <w:pStyle w:val="ListParagraph"/>
        <w:numPr>
          <w:ilvl w:val="0"/>
          <w:numId w:val="2"/>
        </w:numPr>
      </w:pPr>
      <w:r w:rsidRPr="00A34D01">
        <w:t>Yue, G.-L., et al., Extraction and separation characteristic stilbene compounds from pigeon pea leaves using V-type thymol-based natural deep eutectic solvent systems. Chemical Engineering Research and Design, 2023. 193: p. 600-612.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Sabra, A., T. Netticadan, and C. Wijekoon, Grape bioactive molecules, and the potential health benefits in reducing the risk of heart diseases. Food Chemistry: X, 2021. 12: p. 100149.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Tan, L.-X., et al., Stilbenes from the leaves of Cajanus cajan and their in vitro anti-inflammatory activities. Fitoterapia, 2022. 160: p. 105229.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Cai, X., et al., Three stilbenes make difference to the antifungal effects on ochratoxin A and its precursor production of Aspergillus carbonarius. Food Microbiology, 2022. 103: p. 103967.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lastRenderedPageBreak/>
        <w:t>Jyske, T., et al., Yield of stilbene glucosides from the bark of young and old Norway spruce stems. Biomass and bioenergy, 2014. 71: p. 216-227.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Pel, P., et al., A stilbene dimer and flavonoids from the aerial parts of Chromolaena odorata with proprotein convertase subtilisin/kexin type 9 expression inhibitory activity. Bioorganic Chemistry, 2020. 99: p. 103869.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Raut, G.K., et al., Imine stilbene analog ameliorate isoproterenol-induced cardiac hypertrophy and hydrogen peroxide-induced apoptosis. Free Radical Biology and Medicine, 2020. 153: p. 80-88.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Kasiotis, K.M., et al., Resveratrol and related stilbenes: their anti-aging and anti-angiogenic properties. Food and Chemical Toxicology, 2013. 61: p. 112-120.</w:t>
      </w:r>
    </w:p>
    <w:p w:rsidR="00C757BB" w:rsidRPr="00995F8C" w:rsidRDefault="00C757BB" w:rsidP="00995F8C">
      <w:pPr>
        <w:pStyle w:val="ListParagraph"/>
      </w:pPr>
      <w:r w:rsidRPr="00995F8C">
        <w:t>Zhang, S.-Y., et al., Stilbene dimer xylosides and flavanols from the roots of Lysidice rhodostegia and their antioxidant activities. Fitoterapia, 2021. 153: p. 104997.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Zhou, D., et al., Stilbenes from the tubers of Bletilla striata with potential anti-neuroinflammatory activity. Bioorganic Chemistry, 2020. 97: p. 103715.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Agarwal, N., et al., Stilbenes (Resveratrol and Pterostilbene) Alter Intestinal Functionality, Morphology and the Microbiome in-vivo (Gallus gallus). Current Developments in Nutrition, 2022. 6(Supplement_1): p. 262-262.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Xie, L. and B.W. Bolling, Characterisation of stilbenes in California almonds (Prunus dulcis) by UHPLC–MS. Food chemistry, 2014. 148: p. 300-306.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Patel, D.V., et al., Novel carbazole-stilbene hybrids as multifunctional anti-Alzheimer agents. Bioorganic Chemistry, 2020. 101: p. 103977.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Li, L., et al., Flavonoids and a stilbene from Triadenum fraseri (Spach) Gleason. 2010.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Banik, K., et al., Piceatannol: A natural stilbene for the prevention and treatment of cancer. Pharmacological research, 2020. 153: p. 104635.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Zhao, S., et al., Recent research advances on oral colon-specific delivery system of nature bioactive components: A review. Food Research International, 2023: p. 113403.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Heleno, S.A., et al., Bioactivity of phenolic acids: Metabolites versus parent compounds: A review. Food chemistry, 2015. 173: p. 501-513.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Singh, P., et al., Evaluation of bioactive constituents of Garcinia indica (kokum) as a potential source of hydroxycitric acid, anthocyanin, and phenolic compounds. LWT, 2022. 156: p. 112999.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Nguyen, T.H., et al., Evaluation of phenolics and bioactivities of Camellia quephongensis leaf extracts as affected by various extraction solvents. Journal of Agriculture and Food Research, 2023. 14: p. 100914.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McKay, D.L., et al., Flavonoids and phenolic acids from cranberry juice are bioavailable and bioactive in healthy older adults. Food chemistry, 2015. 168: p. 233-240.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Wei, J., et al., Phenolic acids from Balanophora involucrata and their bioactivities. Fitoterapia, 2017. 121: p. 129-135.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Bodoira, R., et al., An overview on extraction, composition, bioactivity and food applications of peanut phenolics. Food chemistry, 2022. 381: p. 132250.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lastRenderedPageBreak/>
        <w:t>Gao, L., et al., Bioactivity guided isolation and identification of phenolic compounds from Citrus aurantium L. with anti-colorectal cancer cells activity by UHPLC-Q-TOF/MS. Current Research in Food Science, 2022. 5: p. 2251-2260.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Monagas, M., et al., Almond (Prunus dulcis (Mill.) DA Webb) skins as a potential source of bioactive polyphenols. Journal of agricultural and food chemistry, 2007. 55(21): p. 8498-8507.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Li, Y., et al., New acylated phenolic glycosides with ROS-scavenging activity from Psidium guajava leaves. Journal of agricultural and food chemistry, 2019. 67(40): p. 11089-11098.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Killday, K.B., et al., Bioactive A-type proanthocyanidins from Cinnamomum cassia. Journal of Natural Products, 2011. 74(9): p. 1833-1841.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Kårlund, A., et al., Polyphenols in strawberry (Fragaria× ananassa) leaves induced by plant activators. Journal of agricultural and food chemistry, 2014. 62(20): p. 4592-4600.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Lavola, A., R. Karjalainen, and R. Julkunen-Tiitto, Bioactive polyphenols in leaves, stems, and berries of Saskatoon (Amelanchier alnifolia Nutt.) cultivars. Journal of agricultural and food chemistry, 2012. 60(4): p. 1020-1027.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Kolodziejczyk, P., L. Ozimek, and J. Kozłowska, The application of flax and hemp seeds in food, animal feed and cosmetics production, in Handbook of natural fibres. 2012, Elsevier. p. 329-366.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Appendino, G., et al., Antimycobacterial coumarins from the sardinian giant fennel (ferula c ommunis). Journal of Natural Products, 2004. 67(12): p. 2108-2110.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Macias, M.L., et al., Effect of selected coumarins on spinach chloroplast photosynthesis. Journal of agricultural and food chemistry, 1999. 47(5): p. 2137-2140.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Stanley, W.L. and L. Jurd, Citrus coumarins. Journal of Agricultural and Food Chemistry, 1971. 19(6): p. 1106-1110.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Cai, Y., et al., Inhibition and inactivation of murine hepatic ethoxy-and pentoxyresorufin O-dealkylase by naturally occurring coumarins. Chemical research in toxicology, 1993. 6(6): p. 872-879.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Sharma, A. and S.B. Bharate, Synthesis and Biological Evaluation of Coumarin Triazoles as Dual Inhibitors of Cholinesterases and β-Secretase. ACS omega, 2023. 8(12): p. 11161-11176.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Melliou, E., et al., Natural and synthetic 2, 2-dimethylpyranocoumarins with antibacterial activity. Journal of natural products, 2005. 68(1): p. 78-82.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ABU-MUSTAFA, E.A. and M. Fayez, Natural Coumarins. I. Marmesin and Marmesinin, Further Products from the Fruits of Ammi majus L. The Journal of Organic Chemistry, 1961. 26(1): p. 161-166.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Lin, T.-T., et al., Prenylated coumarins: natural phosphodiesterase-4 inhibitors from Toddalia asiatica. Journal of Natural Products, 2014. 77(4): p. 955-962.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Ito, C., et al., Chemical constituents of Calophyllum brasiliense. 2. Structure of three new coumarins and cancer chemopreventive activity of 4-substituted coumarins. Journal of Natural Products, 2003. 66(3): p. 368-371.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Silván, A.M., et al., Antiinflammatory activity of coumarins from Santolina oblongifolia. Journal of natural products, 1996. 59(12): p. 1183-1185.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lastRenderedPageBreak/>
        <w:t>Zhu, S., et al., Spectroscopic and molecular docking study of three kinds of cinnamic acid interaction with pepsin. Spectrochimica Acta Part A: Molecular and Biomolecular Spectroscopy, 2023. 303: p. 123169.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Dey, G. and S. Sireswar, Emerging functional beverages: Fruit wines and transgenic wines, in Alcoholic beverages. 2019, Elsevier. p. 471-514.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Sharma, N., et al., Genomics approaches to synthesize plant-based biomolecules for therapeutic applications to combat SARS-CoV-2. Genomics, 2020. 112(6): p. 4322-4331.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Jeevanandam, J., R. Madhumitha, and N. Saraswathi, Identification of potential phytochemical lead against diabetic cataract: An insilico approach. Journal of Molecular Structure, 2021. 1226: p. 129428.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Zengin, G., et al., Network analysis, chemical characterization, antioxidant and enzyme inhibitory effects of foxglove (Digitalis cariensis Boiss. ex Jaub. &amp; Spach): A novel raw material for pharmaceutical applications. Journal of Pharmaceutical and Biomedical Analysis, 2020. 191: p. 113614.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Yáñez, J.A., et al., Polyphenols and flavonoids: an overview. Flavonoid Pharmacokinetics: Methods of Analysis, Preclinical and Clinical Pharmacokinetics, Safety, and Toxicology, 2012: p. 1-69.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Rani, J.M.J., et al., Unravelling the influenza virus inhibitory Potential: Ligand-based docking, pharmacophore, MM-GBSA, and molecular dynamic simulation of phytochemicals and cyanobacteria metabolites. Intelligent Pharmacy, 2023.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Karkola, S. and K. Wähälä, The binding of lignans, flavonoids and coumestrol to CYP450 aromatase: a molecular modelling study. Molecular and Cellular Endocrinology, 2009. 301(1-2): p. 235-244.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Lakhera, S., et al., In silico investigation of phytoconstituents of medicinal herb ‘Piper Longum’against SARS-CoV-2 by molecular docking and molecular dynamics analysis. Results in chemistry, 2021. 3: p. 100199.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Worawalai, W., et al., furofuran lignans as a new series of antidiabetic agents exerting α-glucosidase inhibition and radical scarvenging: Semisynthesis, kinetic study and molecular modeling. Bioorganic Chemistry, 2019. 87: p. 783-793.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Aehle, E., et al., Lignans as food constituents with estrogen and antiestrogen activity. Phytochemistry, 2011. 72(18): p. 2396-2405.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Zhang, H., et al., Screening and characterization of aldose reductase inhibitors from Traditional Chinese medicine based on ultrafiltration-liquid chromatography mass spectrometry and in silico molecular docking. Journal of Ethnopharmacology, 2021. 264: p. 113282.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Thangavel, N. and M. Albratty, Benchmarked molecular docking integrated molecular dynamics stability analysis for prediction of SARS-CoV-2 papain-like protease inhibition by olive secoiridoids. Journal of King Saud University-Science, 2023. 35(1): p. 102402.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Bhola, S., V. Jaiswal, and H.-J. Lee, Investigation of molecular mechanism of Ulmus davidiana against gastric cancer: A network pharmacology study incorporating gene expression data and molecular docking analysis. South African Journal of Botany, 2023. 159: p. 51-60.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lastRenderedPageBreak/>
        <w:t>Wang, Y.-X., et al., Enantiomeric lignans with anti-β-amyloid aggregation activity from the twigs and leaves of Pithecellobium clypearia Benth. Bioorganic Chemistry, 2018. 77: p. 579-585.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Moyo, B. and N.E. Madala, Appraisal of the anti-diabetic Potential of polyphenolic compounds from Viscum combreticola Engl.: In vitro α-glucosidase inhibition, LC-ESI-QTOF-MS coupled to pre-column DPPH antioxidative assay, network pharmacology and molecular docking analysis. South African Journal of Botany, 2024. 165: p. 1-13.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Ogungbe, I.V., W.R. Erwin, and W.N. Setzer, Antileishmanial phytochemical phenolics: molecular docking to potential protein targets. Journal of Molecular Graphics and Modelling, 2014. 48: p. 105-117.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Samy, M.N., et al., Phytochemical investigation of Amphilophium paniculatum; an underexplored Bignoniaceae species as a source of SARS-CoV-2 Mpro inhibitory metabolites: Isolation, identification, and molecular docking study. South African Journal of Botany, 2021. 141: p. 421-430.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Zhou, Y., et al., Pharmacodynamic effects and molecular mechanisms of lignans from Schisandra chinensis Turcz.(Baill.), a current review. European Journal of Pharmacology, 2021. 892: p. 173796.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Oikawa, D., et al., (+)-Sesamin, a sesame lignan, is a potent inhibitor of gut bacterial tryptophan indole-lyase that is a key enzyme in chronic kidney disease pathogenesis. Biochemical and biophysical research communications, 2022. 590: p. 158-162.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Min, L., et al., A network pharmacology strategy to investigate the anti-osteoarthritis mechanism of main lignans components of Schisandrae Fructus. International Immunopharmacology, 2021. 98: p. 107873.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Bobek, K.B., et al., Total Synthesis of Polysubstituted γ-Butyrolactone Lignans (−)-Hinokinin,(−)-Bicubebin B, and (−)-Isodeoxypodophyllotoxin via Oxime Carbonate Formation. Organic letters, 2022. 25(1): p. 31-36.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Li, B., et al., Effects of diarylbutane lignans from Schisandra chinensis fruit on SARS-CoV-2 3CLpro and PLpro and their in vitro anti-inflammatory properties. Phytomedicine Plus, 2023. 3(2): p. 100432.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Nga, T.T., et al., Two new lignan glycosides from Acanthus ilicifolius L. with their NO inhibition and cytotoxic activity. Natural Product Research, 2023: p. 1-9.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Vu, V.-T., et al., Patulinervones A and B, two novel α-glucosidase inhibitory spiro-lignans from Melicope patulinervia (Merr. &amp; Chun) CC Huang. Natural Product Research, 2023. 37(21): p. 3639-3646.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Pereira, G.R., et al., Novel lignan-based compounds via click chemistry: paulownin isolation, structural modifications and cytotoxic activity evaluations. Natural Product Research, 2021. 35(21): p. 3820-3823.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Wessig, P., et al., Total Synthesis of Arylnaphthalene Lignans through a Photochemical Key Step. European Journal of Organic Chemistry, 2023. 26(1): p. e202201234.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Fan, X.-L., et al., Two new lignans from the herbaceous stems of Ephedra intermedia. Phytochemistry Letters, 2023. 53: p. 98-101.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lastRenderedPageBreak/>
        <w:t>Sun, Y., et al., Lignans from the seed shells of Cerasus humilis (Bge.) Sok and their bioactivities. Fitoterapia, 2023. 170: p. 105651.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Wang, X., et al., Amides and lignans from Solanum lyratum. Phytochemistry Letters, 2021. 45: p. 25-29.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Hu, X.-P., et al., Isolation, structure elucidation and in-vitro evaluation of new trisubstituted Tetrahydrofuran Lignans from Rabdosia lophanthoides var. gerardiana as anti-inflammatory agents. Phytochemistry Letters, 2022. 52: p. 76-81.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Péter, B., et al., Label-free biosensing of lignans for therapeutics using engineered model surfaces. International Journal of Biological Macromolecules, 2023. 233: p. 123528.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Kamso, V.F.K., et al., New lignan glycosides from Justicia secunda Vahl (Acanthaceae) with antimicrobial and antiparasitic properties. Heliyon, 2023. 9(12).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Tajuddeen, N., et al., Justicidin B and related lignans from two South African Monsonia species with potent activity against HeLa cervical cancer cells. Phytochemistry Letters, 2023.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Qiang, T., et al., Transcriptome-wide analysis of PIP reductase gene family identified a phenylpropene synthase crucial for the biosynthesis of dibenzocyclooctadiene lignans in Schisandra chinensis. Synthetic and Systems Biotechnology, 2024. 9(1): p. 78-87.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Li, J.-L., et al., Identification of lignans as ATP citrate lyase (ACLY) inhibitors from the roots of Pouzolzia zeylanica. Natural Product Research, 2023: p. 1-8.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Wang, S., et al., Establishment of Agrobacterium rhizogenes-mediated RNAi of Phryma leptostachya accelerates the functional identification of key genes of the furofuran lignan biosynthetic pathway. Industrial Crops and Products, 2023. 204: p. 117260.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Zhang, Y.-Q., et al., New triterpenoids and a dibenzocyclooctadiene lignan from the leaves of Schisandra chinensis. Phytochemistry Letters, 2023. 54: p. 57-62.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Liu, S.-q., et al., Dibenzocyclooctadiene lignans from the family Schisandraceae: A review of phytochemistry, structure-activity relationship, and hepatoprotective effects. Pharmacological Research, 2023: p. 106872.</w:t>
      </w:r>
    </w:p>
    <w:p w:rsidR="00C757BB" w:rsidRPr="00995F8C" w:rsidRDefault="00C757BB" w:rsidP="00995F8C">
      <w:pPr>
        <w:pStyle w:val="ListParagraph"/>
        <w:numPr>
          <w:ilvl w:val="0"/>
          <w:numId w:val="2"/>
        </w:numPr>
      </w:pPr>
      <w:r w:rsidRPr="00995F8C">
        <w:t>Vijayakumar, S., et al., Novel ligand-based docking; molecular dynamic simulations; and absorption, distribution, metabolism, and excretion approach to analyzing potential acetylcholinesterase inhibitors for Alzheimer's disease. Journal of Pharmaceutical Analysis, 2018. 8(6): p. 413-420.</w:t>
      </w:r>
    </w:p>
    <w:p w:rsidR="00475BE0" w:rsidRPr="00FA037F" w:rsidRDefault="00475BE0" w:rsidP="00870CF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sectPr w:rsidR="00475BE0" w:rsidRPr="00FA0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327" w:rsidRDefault="00034327" w:rsidP="00DD44AA">
      <w:pPr>
        <w:spacing w:after="0" w:line="240" w:lineRule="auto"/>
      </w:pPr>
      <w:r>
        <w:separator/>
      </w:r>
    </w:p>
  </w:endnote>
  <w:endnote w:type="continuationSeparator" w:id="0">
    <w:p w:rsidR="00034327" w:rsidRDefault="00034327" w:rsidP="00DD4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327" w:rsidRDefault="00034327" w:rsidP="00DD44AA">
      <w:pPr>
        <w:spacing w:after="0" w:line="240" w:lineRule="auto"/>
      </w:pPr>
      <w:r>
        <w:separator/>
      </w:r>
    </w:p>
  </w:footnote>
  <w:footnote w:type="continuationSeparator" w:id="0">
    <w:p w:rsidR="00034327" w:rsidRDefault="00034327" w:rsidP="00DD44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61EAE"/>
    <w:multiLevelType w:val="hybridMultilevel"/>
    <w:tmpl w:val="66DEC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E7A78"/>
    <w:multiLevelType w:val="hybridMultilevel"/>
    <w:tmpl w:val="C2328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A82D4C"/>
    <w:multiLevelType w:val="hybridMultilevel"/>
    <w:tmpl w:val="57A026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C9147F"/>
    <w:multiLevelType w:val="hybridMultilevel"/>
    <w:tmpl w:val="E3DAD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200C4"/>
    <w:multiLevelType w:val="hybridMultilevel"/>
    <w:tmpl w:val="318667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612DD6"/>
    <w:multiLevelType w:val="hybridMultilevel"/>
    <w:tmpl w:val="CF767E86"/>
    <w:lvl w:ilvl="0" w:tplc="9162E7DC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461D78"/>
    <w:multiLevelType w:val="hybridMultilevel"/>
    <w:tmpl w:val="1AC07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e3NDA1MTUxMbIwNzNW0lEKTi0uzszPAymwqAUAuXwXOywAAAA="/>
  </w:docVars>
  <w:rsids>
    <w:rsidRoot w:val="00DB6EF4"/>
    <w:rsid w:val="00002525"/>
    <w:rsid w:val="00034327"/>
    <w:rsid w:val="00153533"/>
    <w:rsid w:val="00260714"/>
    <w:rsid w:val="002B44DF"/>
    <w:rsid w:val="00310627"/>
    <w:rsid w:val="00407ACC"/>
    <w:rsid w:val="00475BE0"/>
    <w:rsid w:val="005F05DB"/>
    <w:rsid w:val="00651F2A"/>
    <w:rsid w:val="00836EA5"/>
    <w:rsid w:val="00870CFF"/>
    <w:rsid w:val="00995F8C"/>
    <w:rsid w:val="00A34D01"/>
    <w:rsid w:val="00B63991"/>
    <w:rsid w:val="00B718F5"/>
    <w:rsid w:val="00BF24B7"/>
    <w:rsid w:val="00C757BB"/>
    <w:rsid w:val="00C962FF"/>
    <w:rsid w:val="00DB6EF4"/>
    <w:rsid w:val="00DD44AA"/>
    <w:rsid w:val="00E10C18"/>
    <w:rsid w:val="00EB6A14"/>
    <w:rsid w:val="00FA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7DFF49-5245-4FD2-B554-4EE1DDEC7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4AA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DD44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41"/>
    <w:rsid w:val="00DD44A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DD44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4AA"/>
  </w:style>
  <w:style w:type="paragraph" w:styleId="Footer">
    <w:name w:val="footer"/>
    <w:basedOn w:val="Normal"/>
    <w:link w:val="FooterChar"/>
    <w:uiPriority w:val="99"/>
    <w:unhideWhenUsed/>
    <w:rsid w:val="00DD44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4AA"/>
  </w:style>
  <w:style w:type="character" w:customStyle="1" w:styleId="Heading1Char">
    <w:name w:val="Heading 1 Char"/>
    <w:basedOn w:val="DefaultParagraphFont"/>
    <w:link w:val="Heading1"/>
    <w:uiPriority w:val="9"/>
    <w:rsid w:val="00DD44A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leGridLight">
    <w:name w:val="Grid Table Light"/>
    <w:basedOn w:val="TableNormal"/>
    <w:uiPriority w:val="40"/>
    <w:rsid w:val="00DD44A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DD4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DD44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EndNoteBibliography">
    <w:name w:val="EndNote Bibliography"/>
    <w:basedOn w:val="Normal"/>
    <w:link w:val="EndNoteBibliographyChar"/>
    <w:rsid w:val="00C757B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757BB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34"/>
    <w:qFormat/>
    <w:rsid w:val="00995F8C"/>
    <w:pPr>
      <w:ind w:left="720"/>
      <w:contextualSpacing/>
    </w:pPr>
  </w:style>
  <w:style w:type="paragraph" w:styleId="NoSpacing">
    <w:name w:val="No Spacing"/>
    <w:uiPriority w:val="1"/>
    <w:qFormat/>
    <w:rsid w:val="00870C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B69E0-77EE-4ACF-8238-8C5AA0AA3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6059</Words>
  <Characters>34539</Characters>
  <Application>Microsoft Office Word</Application>
  <DocSecurity>0</DocSecurity>
  <Lines>287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2026-01-16T10:09:00Z</cp:lastPrinted>
  <dcterms:created xsi:type="dcterms:W3CDTF">2025-03-30T06:42:00Z</dcterms:created>
  <dcterms:modified xsi:type="dcterms:W3CDTF">2026-01-16T12:08:00Z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a30facd6bc9ece72e3dec8ccf1aa31697a531befb77f57de26c818caf993bae7</vt:lpwstr>
  </property>
</Properties>
</file>