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3C4CC" w14:textId="77777777" w:rsidR="009B0700" w:rsidRPr="00B3357B" w:rsidRDefault="009B0700" w:rsidP="009B0700">
      <w:pPr>
        <w:spacing w:after="0" w:line="480" w:lineRule="auto"/>
        <w:rPr>
          <w:rFonts w:cstheme="minorHAnsi"/>
          <w:lang w:val="en-GB"/>
        </w:rPr>
      </w:pPr>
      <w:r>
        <w:rPr>
          <w:rFonts w:cstheme="minorHAnsi"/>
          <w:b/>
          <w:bCs/>
          <w:lang w:val="en-GB"/>
        </w:rPr>
        <w:t>Additional File 1</w:t>
      </w:r>
      <w:r w:rsidRPr="00B3357B">
        <w:rPr>
          <w:rFonts w:cstheme="minorHAnsi"/>
          <w:b/>
          <w:bCs/>
          <w:lang w:val="en-GB"/>
        </w:rPr>
        <w:t>:</w:t>
      </w:r>
      <w:r w:rsidRPr="00B3357B">
        <w:rPr>
          <w:rFonts w:cstheme="minorHAnsi"/>
          <w:lang w:val="en-GB"/>
        </w:rPr>
        <w:t xml:space="preserve"> Triangulation matrix for SFH intervention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7"/>
        <w:gridCol w:w="15"/>
        <w:gridCol w:w="1730"/>
        <w:gridCol w:w="1641"/>
        <w:gridCol w:w="1706"/>
        <w:gridCol w:w="1654"/>
        <w:gridCol w:w="1687"/>
        <w:gridCol w:w="1208"/>
        <w:gridCol w:w="1778"/>
        <w:gridCol w:w="1394"/>
      </w:tblGrid>
      <w:tr w:rsidR="009B0700" w:rsidRPr="007A66C4" w14:paraId="3F9F9E64" w14:textId="77777777" w:rsidTr="00E0742F">
        <w:tc>
          <w:tcPr>
            <w:tcW w:w="3492" w:type="dxa"/>
            <w:gridSpan w:val="3"/>
          </w:tcPr>
          <w:p w14:paraId="1DC19B28" w14:textId="77777777" w:rsidR="009B0700" w:rsidRPr="00B3357B" w:rsidRDefault="009B0700" w:rsidP="00E0742F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B2344C">
              <w:rPr>
                <w:rFonts w:cstheme="minorHAnsi"/>
                <w:b/>
                <w:bCs/>
                <w:sz w:val="20"/>
                <w:szCs w:val="20"/>
                <w:lang w:val="en-GB"/>
              </w:rPr>
              <w:t>Meta-theme</w:t>
            </w:r>
          </w:p>
        </w:tc>
        <w:tc>
          <w:tcPr>
            <w:tcW w:w="1641" w:type="dxa"/>
          </w:tcPr>
          <w:p w14:paraId="276A073A" w14:textId="77777777" w:rsidR="009B0700" w:rsidRPr="00B2344C" w:rsidRDefault="009B0700" w:rsidP="00E0742F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B2344C">
              <w:rPr>
                <w:rFonts w:cstheme="minorHAnsi"/>
                <w:b/>
                <w:bCs/>
                <w:sz w:val="20"/>
                <w:szCs w:val="20"/>
                <w:lang w:val="en-GB"/>
              </w:rPr>
              <w:t>Household lead interviews</w:t>
            </w:r>
          </w:p>
          <w:p w14:paraId="29A410AB" w14:textId="77777777" w:rsidR="009B0700" w:rsidRPr="00B3357B" w:rsidRDefault="009B0700" w:rsidP="00E0742F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B2344C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(N=20 men, </w:t>
            </w: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N=</w:t>
            </w:r>
            <w:r w:rsidRPr="00B2344C">
              <w:rPr>
                <w:rFonts w:cstheme="minorHAnsi"/>
                <w:b/>
                <w:bCs/>
                <w:sz w:val="20"/>
                <w:szCs w:val="20"/>
                <w:lang w:val="en-GB"/>
              </w:rPr>
              <w:t>10 women)</w:t>
            </w:r>
          </w:p>
        </w:tc>
        <w:tc>
          <w:tcPr>
            <w:tcW w:w="1706" w:type="dxa"/>
          </w:tcPr>
          <w:p w14:paraId="1620265F" w14:textId="77777777" w:rsidR="009B0700" w:rsidRPr="00B3357B" w:rsidRDefault="009B0700" w:rsidP="00E0742F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B2344C">
              <w:rPr>
                <w:rFonts w:cstheme="minorHAnsi"/>
                <w:b/>
                <w:bCs/>
                <w:sz w:val="20"/>
                <w:szCs w:val="20"/>
                <w:lang w:val="en-GB"/>
              </w:rPr>
              <w:t>Imam interviews (N=6)</w:t>
            </w:r>
          </w:p>
        </w:tc>
        <w:tc>
          <w:tcPr>
            <w:tcW w:w="1654" w:type="dxa"/>
          </w:tcPr>
          <w:p w14:paraId="6A6CD177" w14:textId="7B1B4FA5" w:rsidR="009B0700" w:rsidRPr="00B3357B" w:rsidRDefault="009B0700" w:rsidP="00E0742F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B2344C">
              <w:rPr>
                <w:rFonts w:cstheme="minorHAnsi"/>
                <w:b/>
                <w:bCs/>
                <w:sz w:val="20"/>
                <w:szCs w:val="20"/>
                <w:lang w:val="en-GB"/>
              </w:rPr>
              <w:t>Household lead questionnaire (N=</w:t>
            </w:r>
            <w:r w:rsidR="004A1270">
              <w:rPr>
                <w:b/>
                <w:bCs/>
                <w:sz w:val="20"/>
                <w:szCs w:val="20"/>
                <w:lang w:val="en-GB"/>
              </w:rPr>
              <w:t>848</w:t>
            </w:r>
            <w:r w:rsidRPr="00B2344C">
              <w:rPr>
                <w:b/>
                <w:bCs/>
                <w:sz w:val="20"/>
                <w:szCs w:val="20"/>
                <w:lang w:val="en-GB"/>
              </w:rPr>
              <w:t xml:space="preserve"> men, </w:t>
            </w:r>
            <w:r>
              <w:rPr>
                <w:b/>
                <w:bCs/>
                <w:sz w:val="20"/>
                <w:szCs w:val="20"/>
                <w:lang w:val="en-GB"/>
              </w:rPr>
              <w:t>N=</w:t>
            </w:r>
            <w:r w:rsidR="004A1270">
              <w:rPr>
                <w:b/>
                <w:bCs/>
                <w:sz w:val="20"/>
                <w:szCs w:val="20"/>
                <w:lang w:val="en-GB"/>
              </w:rPr>
              <w:t>52</w:t>
            </w:r>
            <w:r w:rsidRPr="006402ED">
              <w:rPr>
                <w:b/>
                <w:bCs/>
                <w:sz w:val="20"/>
                <w:szCs w:val="20"/>
                <w:lang w:val="en-GB"/>
              </w:rPr>
              <w:t xml:space="preserve"> women)</w:t>
            </w:r>
          </w:p>
        </w:tc>
        <w:tc>
          <w:tcPr>
            <w:tcW w:w="1687" w:type="dxa"/>
          </w:tcPr>
          <w:p w14:paraId="6BACC2F4" w14:textId="77777777" w:rsidR="009B0700" w:rsidRPr="006402ED" w:rsidRDefault="009B0700" w:rsidP="00E0742F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6402ED">
              <w:rPr>
                <w:rFonts w:cstheme="minorHAnsi"/>
                <w:b/>
                <w:bCs/>
                <w:sz w:val="20"/>
                <w:szCs w:val="20"/>
                <w:lang w:val="en-GB"/>
              </w:rPr>
              <w:t>Fidelity</w:t>
            </w:r>
          </w:p>
          <w:p w14:paraId="5DC00D17" w14:textId="77777777" w:rsidR="009B0700" w:rsidRPr="00B3357B" w:rsidRDefault="009B0700" w:rsidP="00E0742F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6402ED">
              <w:rPr>
                <w:rFonts w:cstheme="minorHAnsi"/>
                <w:b/>
                <w:bCs/>
                <w:sz w:val="20"/>
                <w:szCs w:val="20"/>
                <w:lang w:val="en-GB"/>
              </w:rPr>
              <w:t>(N=6 mosques)</w:t>
            </w:r>
          </w:p>
        </w:tc>
        <w:tc>
          <w:tcPr>
            <w:tcW w:w="1208" w:type="dxa"/>
          </w:tcPr>
          <w:p w14:paraId="2BC30E56" w14:textId="77777777" w:rsidR="009B0700" w:rsidRPr="00B3357B" w:rsidRDefault="009B0700" w:rsidP="00E0742F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6402ED">
              <w:rPr>
                <w:rFonts w:cstheme="minorHAnsi"/>
                <w:b/>
                <w:bCs/>
                <w:sz w:val="20"/>
                <w:szCs w:val="20"/>
                <w:lang w:val="en-GB"/>
              </w:rPr>
              <w:t>Research team records</w:t>
            </w:r>
          </w:p>
        </w:tc>
        <w:tc>
          <w:tcPr>
            <w:tcW w:w="1778" w:type="dxa"/>
          </w:tcPr>
          <w:p w14:paraId="7509D10E" w14:textId="77777777" w:rsidR="009B0700" w:rsidRPr="00B3357B" w:rsidRDefault="009B0700" w:rsidP="00E0742F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6402ED">
              <w:rPr>
                <w:rFonts w:cstheme="minorHAnsi"/>
                <w:b/>
                <w:bCs/>
                <w:sz w:val="20"/>
                <w:szCs w:val="20"/>
                <w:lang w:val="en-GB"/>
              </w:rPr>
              <w:t>Level of congruence</w:t>
            </w:r>
          </w:p>
        </w:tc>
        <w:tc>
          <w:tcPr>
            <w:tcW w:w="1394" w:type="dxa"/>
          </w:tcPr>
          <w:p w14:paraId="14A601CC" w14:textId="77777777" w:rsidR="009B0700" w:rsidRPr="00B3357B" w:rsidRDefault="009B0700" w:rsidP="00E0742F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6402ED">
              <w:rPr>
                <w:rFonts w:cstheme="minorHAnsi"/>
                <w:b/>
                <w:bCs/>
                <w:sz w:val="20"/>
                <w:szCs w:val="20"/>
                <w:lang w:val="en-GB"/>
              </w:rPr>
              <w:t>Conclusion</w:t>
            </w:r>
          </w:p>
        </w:tc>
      </w:tr>
      <w:tr w:rsidR="009B0700" w:rsidRPr="007A66C4" w14:paraId="06A34880" w14:textId="77777777" w:rsidTr="00E0742F">
        <w:tc>
          <w:tcPr>
            <w:tcW w:w="1762" w:type="dxa"/>
            <w:gridSpan w:val="2"/>
          </w:tcPr>
          <w:p w14:paraId="698C2D67" w14:textId="77777777" w:rsidR="009B0700" w:rsidRPr="00B3357B" w:rsidRDefault="009B0700" w:rsidP="00E0742F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04" w:type="dxa"/>
            <w:gridSpan w:val="7"/>
          </w:tcPr>
          <w:p w14:paraId="41B6C8C5" w14:textId="77777777" w:rsidR="009B0700" w:rsidRPr="00B3357B" w:rsidRDefault="009B0700" w:rsidP="00E0742F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b/>
                <w:bCs/>
                <w:sz w:val="20"/>
                <w:szCs w:val="20"/>
                <w:lang w:val="en-GB"/>
              </w:rPr>
              <w:t>SFH intervention</w:t>
            </w:r>
          </w:p>
        </w:tc>
        <w:tc>
          <w:tcPr>
            <w:tcW w:w="1394" w:type="dxa"/>
          </w:tcPr>
          <w:p w14:paraId="1C410D2D" w14:textId="77777777" w:rsidR="009B0700" w:rsidRPr="00B3357B" w:rsidRDefault="009B0700" w:rsidP="00E0742F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9B0700" w:rsidRPr="007A66C4" w14:paraId="289E7DFC" w14:textId="77777777" w:rsidTr="00E0742F">
        <w:tc>
          <w:tcPr>
            <w:tcW w:w="1747" w:type="dxa"/>
            <w:vMerge w:val="restart"/>
          </w:tcPr>
          <w:p w14:paraId="4120FF1D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Implementation</w:t>
            </w:r>
          </w:p>
        </w:tc>
        <w:tc>
          <w:tcPr>
            <w:tcW w:w="1745" w:type="dxa"/>
            <w:gridSpan w:val="2"/>
          </w:tcPr>
          <w:p w14:paraId="29E7C03F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Frequency</w:t>
            </w:r>
          </w:p>
        </w:tc>
        <w:tc>
          <w:tcPr>
            <w:tcW w:w="1641" w:type="dxa"/>
          </w:tcPr>
          <w:p w14:paraId="3AC6FA04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06" w:type="dxa"/>
          </w:tcPr>
          <w:p w14:paraId="7E725014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402ED">
              <w:rPr>
                <w:rFonts w:cstheme="minorHAnsi"/>
                <w:sz w:val="20"/>
                <w:szCs w:val="20"/>
                <w:lang w:val="en-GB"/>
              </w:rPr>
              <w:t xml:space="preserve">4/6 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(66.7%) </w:t>
            </w:r>
            <w:r w:rsidRPr="006402ED">
              <w:rPr>
                <w:rFonts w:cstheme="minorHAnsi"/>
                <w:sz w:val="20"/>
                <w:szCs w:val="20"/>
                <w:lang w:val="en-GB"/>
              </w:rPr>
              <w:t>reported delivering all 12 weeks. All reported distributing the SFH booklet.</w:t>
            </w:r>
          </w:p>
        </w:tc>
        <w:tc>
          <w:tcPr>
            <w:tcW w:w="1654" w:type="dxa"/>
          </w:tcPr>
          <w:p w14:paraId="02770D4D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687" w:type="dxa"/>
          </w:tcPr>
          <w:p w14:paraId="2C45E42B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208" w:type="dxa"/>
          </w:tcPr>
          <w:p w14:paraId="104F0B03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402ED">
              <w:rPr>
                <w:rFonts w:cstheme="minorHAnsi"/>
                <w:sz w:val="20"/>
                <w:szCs w:val="20"/>
                <w:lang w:val="en-GB"/>
              </w:rPr>
              <w:t>29/30 (9</w:t>
            </w:r>
            <w:r>
              <w:rPr>
                <w:rFonts w:cstheme="minorHAnsi"/>
                <w:sz w:val="20"/>
                <w:szCs w:val="20"/>
                <w:lang w:val="en-GB"/>
              </w:rPr>
              <w:t>6.</w:t>
            </w:r>
            <w:r w:rsidRPr="006402ED">
              <w:rPr>
                <w:rFonts w:cstheme="minorHAnsi"/>
                <w:sz w:val="20"/>
                <w:szCs w:val="20"/>
                <w:lang w:val="en-GB"/>
              </w:rPr>
              <w:t>7%) mosques reported delivering all 12 weeks.</w:t>
            </w:r>
          </w:p>
        </w:tc>
        <w:tc>
          <w:tcPr>
            <w:tcW w:w="1778" w:type="dxa"/>
          </w:tcPr>
          <w:p w14:paraId="43661DD9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402ED">
              <w:rPr>
                <w:rFonts w:cstheme="minorHAnsi"/>
                <w:sz w:val="20"/>
                <w:szCs w:val="20"/>
                <w:lang w:val="en-GB"/>
              </w:rPr>
              <w:t>Complementary</w:t>
            </w:r>
          </w:p>
        </w:tc>
        <w:tc>
          <w:tcPr>
            <w:tcW w:w="1394" w:type="dxa"/>
          </w:tcPr>
          <w:p w14:paraId="3F93EAAB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402ED">
              <w:rPr>
                <w:rFonts w:cstheme="minorHAnsi"/>
                <w:sz w:val="20"/>
                <w:szCs w:val="20"/>
                <w:lang w:val="en-GB"/>
              </w:rPr>
              <w:t xml:space="preserve">Moderate to good </w:t>
            </w:r>
            <w:r>
              <w:rPr>
                <w:rFonts w:cstheme="minorHAnsi"/>
                <w:sz w:val="20"/>
                <w:szCs w:val="20"/>
                <w:lang w:val="en-GB"/>
              </w:rPr>
              <w:t>frequency</w:t>
            </w:r>
            <w:r w:rsidRPr="006402ED">
              <w:rPr>
                <w:rFonts w:cstheme="minorHAnsi"/>
                <w:sz w:val="20"/>
                <w:szCs w:val="20"/>
                <w:lang w:val="en-GB"/>
              </w:rPr>
              <w:t xml:space="preserve"> of intervention</w:t>
            </w:r>
          </w:p>
        </w:tc>
      </w:tr>
      <w:tr w:rsidR="009B0700" w:rsidRPr="007A66C4" w14:paraId="4867890D" w14:textId="77777777" w:rsidTr="00E0742F">
        <w:tc>
          <w:tcPr>
            <w:tcW w:w="1747" w:type="dxa"/>
            <w:vMerge/>
          </w:tcPr>
          <w:p w14:paraId="6353FA8C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45" w:type="dxa"/>
            <w:gridSpan w:val="2"/>
          </w:tcPr>
          <w:p w14:paraId="27BFAA12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Fidelity</w:t>
            </w:r>
          </w:p>
        </w:tc>
        <w:tc>
          <w:tcPr>
            <w:tcW w:w="1641" w:type="dxa"/>
          </w:tcPr>
          <w:p w14:paraId="7EEC4CE0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06" w:type="dxa"/>
          </w:tcPr>
          <w:p w14:paraId="4A4E337F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All had delivered the intervention during Friday Juma’ah prayers (as per guidance). Consensus that had shared “most of the Ayahs-messages”.</w:t>
            </w:r>
          </w:p>
          <w:p w14:paraId="351A6E5F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5209072E" w14:textId="4A6662EC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Most focused on telling congregation about risks (Ayahs-messages targeting attitudes</w:t>
            </w:r>
            <w:r w:rsidR="004A1270">
              <w:rPr>
                <w:rFonts w:cstheme="minorHAnsi"/>
                <w:sz w:val="20"/>
                <w:szCs w:val="20"/>
                <w:lang w:val="en-GB"/>
              </w:rPr>
              <w:t xml:space="preserve"> and social norms</w:t>
            </w:r>
            <w:r w:rsidRPr="00B3357B">
              <w:rPr>
                <w:rFonts w:cstheme="minorHAnsi"/>
                <w:sz w:val="20"/>
                <w:szCs w:val="20"/>
                <w:lang w:val="en-GB"/>
              </w:rPr>
              <w:t>).</w:t>
            </w:r>
          </w:p>
        </w:tc>
        <w:tc>
          <w:tcPr>
            <w:tcW w:w="1654" w:type="dxa"/>
          </w:tcPr>
          <w:p w14:paraId="3F65534A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687" w:type="dxa"/>
          </w:tcPr>
          <w:p w14:paraId="2D392715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Mean fidelity score 19.6 (SD 2.51, range 16-22 of maximum 24).</w:t>
            </w:r>
          </w:p>
          <w:p w14:paraId="049D2B5F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1C958DB7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Ayahs-messages-linked to attitudes 75.0% fully implemented, self-efficacy/action planning and coping planning 66.7% fully implemented, social norms and intention formation/action planning 50.0% fully implemented. </w:t>
            </w:r>
          </w:p>
        </w:tc>
        <w:tc>
          <w:tcPr>
            <w:tcW w:w="1208" w:type="dxa"/>
          </w:tcPr>
          <w:p w14:paraId="306A73C8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78" w:type="dxa"/>
          </w:tcPr>
          <w:p w14:paraId="7EE89260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Complementary</w:t>
            </w:r>
          </w:p>
        </w:tc>
        <w:tc>
          <w:tcPr>
            <w:tcW w:w="1394" w:type="dxa"/>
          </w:tcPr>
          <w:p w14:paraId="3B445B18" w14:textId="658BF13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Mixed levels of fidelity. Ayahs-messages targeting attitudes were </w:t>
            </w:r>
            <w:r w:rsidR="004A1270">
              <w:rPr>
                <w:rFonts w:cstheme="minorHAnsi"/>
                <w:sz w:val="20"/>
                <w:szCs w:val="20"/>
                <w:lang w:val="en-GB"/>
              </w:rPr>
              <w:t>most often fully implemented.</w:t>
            </w:r>
          </w:p>
        </w:tc>
      </w:tr>
    </w:tbl>
    <w:p w14:paraId="7034C521" w14:textId="77777777" w:rsidR="004A1270" w:rsidRDefault="004A127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7"/>
        <w:gridCol w:w="1745"/>
        <w:gridCol w:w="1641"/>
        <w:gridCol w:w="1706"/>
        <w:gridCol w:w="1654"/>
        <w:gridCol w:w="1687"/>
        <w:gridCol w:w="1208"/>
        <w:gridCol w:w="1778"/>
        <w:gridCol w:w="1394"/>
      </w:tblGrid>
      <w:tr w:rsidR="009B0700" w:rsidRPr="007A66C4" w14:paraId="62750EAF" w14:textId="77777777" w:rsidTr="00E0742F">
        <w:tc>
          <w:tcPr>
            <w:tcW w:w="1747" w:type="dxa"/>
          </w:tcPr>
          <w:p w14:paraId="47018FB0" w14:textId="31F3F08B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45" w:type="dxa"/>
          </w:tcPr>
          <w:p w14:paraId="21F23638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Reach</w:t>
            </w:r>
          </w:p>
        </w:tc>
        <w:tc>
          <w:tcPr>
            <w:tcW w:w="1641" w:type="dxa"/>
          </w:tcPr>
          <w:p w14:paraId="6416CFAB" w14:textId="5588B56E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Majority of men recalled hearing Ayahs-messages during Friday Jumu’ah prayers. Majority of women reported that their partners/sons had received </w:t>
            </w:r>
            <w:r w:rsidR="004A1270">
              <w:rPr>
                <w:rFonts w:cstheme="minorHAnsi"/>
                <w:sz w:val="20"/>
                <w:szCs w:val="20"/>
                <w:lang w:val="en-GB"/>
              </w:rPr>
              <w:t>the same.</w:t>
            </w:r>
          </w:p>
          <w:p w14:paraId="5A29BE58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0E780D0A" w14:textId="41578AA1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Men recalled Ayahs-messages on risks of SHS (attitudes</w:t>
            </w:r>
            <w:r w:rsidR="004A1270">
              <w:rPr>
                <w:rFonts w:cstheme="minorHAnsi"/>
                <w:sz w:val="20"/>
                <w:szCs w:val="20"/>
                <w:lang w:val="en-GB"/>
              </w:rPr>
              <w:t>, social norms</w:t>
            </w:r>
            <w:r w:rsidRPr="00B3357B">
              <w:rPr>
                <w:rFonts w:cstheme="minorHAnsi"/>
                <w:sz w:val="20"/>
                <w:szCs w:val="20"/>
                <w:lang w:val="en-GB"/>
              </w:rPr>
              <w:t>)</w:t>
            </w:r>
            <w:r w:rsidR="004A1270">
              <w:rPr>
                <w:rFonts w:cstheme="minorHAnsi"/>
                <w:sz w:val="20"/>
                <w:szCs w:val="20"/>
                <w:lang w:val="en-GB"/>
              </w:rPr>
              <w:t xml:space="preserve">. </w:t>
            </w:r>
            <w:r w:rsidRPr="00B3357B">
              <w:rPr>
                <w:rFonts w:cstheme="minorHAnsi"/>
                <w:sz w:val="20"/>
                <w:szCs w:val="20"/>
                <w:lang w:val="en-GB"/>
              </w:rPr>
              <w:t>Less well recalled were Ayahs</w:t>
            </w:r>
            <w:r>
              <w:rPr>
                <w:rFonts w:cstheme="minorHAnsi"/>
                <w:sz w:val="20"/>
                <w:szCs w:val="20"/>
                <w:lang w:val="en-GB"/>
              </w:rPr>
              <w:t>-</w:t>
            </w:r>
            <w:r w:rsidRPr="00B3357B">
              <w:rPr>
                <w:rFonts w:cstheme="minorHAnsi"/>
                <w:sz w:val="20"/>
                <w:szCs w:val="20"/>
                <w:lang w:val="en-GB"/>
              </w:rPr>
              <w:t>messages targeting self-efficacy, coping planning, and intention formation.</w:t>
            </w:r>
          </w:p>
          <w:p w14:paraId="2E98EEA8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3C087B72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No men had received the SFH booklet. 3 women had sons who received the booklet but 2 could not read it.</w:t>
            </w:r>
          </w:p>
        </w:tc>
        <w:tc>
          <w:tcPr>
            <w:tcW w:w="1706" w:type="dxa"/>
          </w:tcPr>
          <w:p w14:paraId="2C74AB24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654" w:type="dxa"/>
          </w:tcPr>
          <w:p w14:paraId="12D65F0B" w14:textId="0132C81E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sz w:val="20"/>
                <w:szCs w:val="20"/>
                <w:lang w:val="en-GB"/>
              </w:rPr>
              <w:t xml:space="preserve">49.4% (SFH) and 55.5% (SFH+IAQ) </w:t>
            </w: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of men had received the SFH intervention. Of these, </w:t>
            </w:r>
            <w:r w:rsidRPr="00B3357B">
              <w:rPr>
                <w:sz w:val="20"/>
                <w:szCs w:val="20"/>
                <w:lang w:val="en-GB"/>
              </w:rPr>
              <w:t xml:space="preserve">99.5% (SFH) and 99.6% (SFH+IAQ) </w:t>
            </w:r>
            <w:r w:rsidRPr="00B3357B">
              <w:rPr>
                <w:rFonts w:cstheme="minorHAnsi"/>
                <w:sz w:val="20"/>
                <w:szCs w:val="20"/>
                <w:lang w:val="en-GB"/>
              </w:rPr>
              <w:t>received th</w:t>
            </w:r>
            <w:r w:rsidR="00924A6C">
              <w:rPr>
                <w:rFonts w:cstheme="minorHAnsi"/>
                <w:sz w:val="20"/>
                <w:szCs w:val="20"/>
                <w:lang w:val="en-GB"/>
              </w:rPr>
              <w:t>is</w:t>
            </w: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 during Friday Jumu’ah prayers.</w:t>
            </w:r>
          </w:p>
          <w:p w14:paraId="4508F01A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highlight w:val="yellow"/>
                <w:lang w:val="en-GB"/>
              </w:rPr>
            </w:pPr>
          </w:p>
          <w:p w14:paraId="02EFFDC0" w14:textId="77777777" w:rsidR="009B0700" w:rsidRPr="00B3357B" w:rsidRDefault="009B0700" w:rsidP="00E0742F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B3357B">
              <w:rPr>
                <w:sz w:val="20"/>
                <w:szCs w:val="20"/>
                <w:lang w:val="en-GB"/>
              </w:rPr>
              <w:t xml:space="preserve">SFH 51.5% (SFH) and 52.6% (SFH+IAQ) of women reported family members receiving the SFH intervention, </w:t>
            </w:r>
            <w:r w:rsidRPr="00B3357B">
              <w:rPr>
                <w:rFonts w:cstheme="minorHAnsi"/>
                <w:sz w:val="20"/>
                <w:szCs w:val="20"/>
                <w:lang w:val="en-GB"/>
              </w:rPr>
              <w:t>during Friday Jumu’ah prayers (100%)</w:t>
            </w:r>
          </w:p>
          <w:p w14:paraId="4BE65C3B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5F6D2717" w14:textId="2658A663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80%</w:t>
            </w:r>
            <w:r w:rsidR="00924A6C">
              <w:rPr>
                <w:rFonts w:cstheme="minorHAnsi"/>
                <w:sz w:val="20"/>
                <w:szCs w:val="20"/>
                <w:lang w:val="en-GB"/>
              </w:rPr>
              <w:t>+</w:t>
            </w: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 of </w:t>
            </w:r>
            <w:r w:rsidR="00924A6C">
              <w:rPr>
                <w:rFonts w:cstheme="minorHAnsi"/>
                <w:sz w:val="20"/>
                <w:szCs w:val="20"/>
                <w:lang w:val="en-GB"/>
              </w:rPr>
              <w:t xml:space="preserve">these </w:t>
            </w:r>
            <w:r w:rsidRPr="00B3357B">
              <w:rPr>
                <w:rFonts w:cstheme="minorHAnsi"/>
                <w:sz w:val="20"/>
                <w:szCs w:val="20"/>
                <w:lang w:val="en-GB"/>
              </w:rPr>
              <w:t>men recalled Ayah</w:t>
            </w:r>
            <w:r>
              <w:rPr>
                <w:rFonts w:cstheme="minorHAnsi"/>
                <w:sz w:val="20"/>
                <w:szCs w:val="20"/>
                <w:lang w:val="en-GB"/>
              </w:rPr>
              <w:t>s</w:t>
            </w:r>
            <w:r w:rsidRPr="00B3357B">
              <w:rPr>
                <w:rFonts w:cstheme="minorHAnsi"/>
                <w:sz w:val="20"/>
                <w:szCs w:val="20"/>
                <w:lang w:val="en-GB"/>
              </w:rPr>
              <w:t>-messages targeting attitudes</w:t>
            </w:r>
            <w:r w:rsidR="00924A6C">
              <w:rPr>
                <w:rFonts w:cstheme="minorHAnsi"/>
                <w:sz w:val="20"/>
                <w:szCs w:val="20"/>
                <w:lang w:val="en-GB"/>
              </w:rPr>
              <w:t xml:space="preserve"> and social norms</w:t>
            </w:r>
            <w:r w:rsidRPr="00B3357B">
              <w:rPr>
                <w:rFonts w:cstheme="minorHAnsi"/>
                <w:sz w:val="20"/>
                <w:szCs w:val="20"/>
                <w:lang w:val="en-GB"/>
              </w:rPr>
              <w:t>. Just 37.5-45% recalled those targeting self-efficacy, coping planning, and intention formation.</w:t>
            </w:r>
          </w:p>
          <w:p w14:paraId="79817E29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687" w:type="dxa"/>
          </w:tcPr>
          <w:p w14:paraId="77D1DECE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208" w:type="dxa"/>
          </w:tcPr>
          <w:p w14:paraId="495D850A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778" w:type="dxa"/>
          </w:tcPr>
          <w:p w14:paraId="23C5A262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Complementary</w:t>
            </w:r>
          </w:p>
        </w:tc>
        <w:tc>
          <w:tcPr>
            <w:tcW w:w="1394" w:type="dxa"/>
          </w:tcPr>
          <w:p w14:paraId="6FF34398" w14:textId="12DC50FE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Poor intervention reach. For those who it did reach, Ayahs-messages targeting attitudes</w:t>
            </w:r>
            <w:r w:rsidR="00924A6C">
              <w:rPr>
                <w:rFonts w:cstheme="minorHAnsi"/>
                <w:sz w:val="20"/>
                <w:szCs w:val="20"/>
                <w:lang w:val="en-GB"/>
              </w:rPr>
              <w:t xml:space="preserve"> and social norms</w:t>
            </w: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 had the best reach.</w:t>
            </w:r>
          </w:p>
        </w:tc>
      </w:tr>
    </w:tbl>
    <w:p w14:paraId="3FC14224" w14:textId="77777777" w:rsidR="009B0700" w:rsidRPr="00B3357B" w:rsidRDefault="009B0700" w:rsidP="009B0700">
      <w:pPr>
        <w:rPr>
          <w:lang w:val="en-GB"/>
        </w:rPr>
      </w:pPr>
      <w:r w:rsidRPr="00B3357B">
        <w:rPr>
          <w:lang w:val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36"/>
        <w:gridCol w:w="1627"/>
        <w:gridCol w:w="1692"/>
        <w:gridCol w:w="1637"/>
        <w:gridCol w:w="1629"/>
        <w:gridCol w:w="1169"/>
        <w:gridCol w:w="1768"/>
        <w:gridCol w:w="1574"/>
      </w:tblGrid>
      <w:tr w:rsidR="00E87F4E" w:rsidRPr="007A66C4" w14:paraId="7BA3B84D" w14:textId="77777777" w:rsidTr="00E0742F">
        <w:tc>
          <w:tcPr>
            <w:tcW w:w="1747" w:type="dxa"/>
            <w:vMerge w:val="restart"/>
          </w:tcPr>
          <w:p w14:paraId="74132E80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Mechanisms of impact</w:t>
            </w:r>
          </w:p>
        </w:tc>
        <w:tc>
          <w:tcPr>
            <w:tcW w:w="1745" w:type="dxa"/>
          </w:tcPr>
          <w:p w14:paraId="1EEBD306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Acceptability of the intervention</w:t>
            </w:r>
          </w:p>
        </w:tc>
        <w:tc>
          <w:tcPr>
            <w:tcW w:w="1641" w:type="dxa"/>
          </w:tcPr>
          <w:p w14:paraId="580B3DA8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Majority view amongst men that SFH messages were informative and motivational.</w:t>
            </w:r>
          </w:p>
        </w:tc>
        <w:tc>
          <w:tcPr>
            <w:tcW w:w="1706" w:type="dxa"/>
          </w:tcPr>
          <w:p w14:paraId="424943E0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Consensus that SFH intervention acceptable, appropriate and well received by congregation. </w:t>
            </w:r>
          </w:p>
        </w:tc>
        <w:tc>
          <w:tcPr>
            <w:tcW w:w="1654" w:type="dxa"/>
          </w:tcPr>
          <w:p w14:paraId="0FBDCD28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687" w:type="dxa"/>
          </w:tcPr>
          <w:p w14:paraId="7F7436C4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208" w:type="dxa"/>
          </w:tcPr>
          <w:p w14:paraId="28660919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78" w:type="dxa"/>
          </w:tcPr>
          <w:p w14:paraId="6D77BC5A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Convergent</w:t>
            </w:r>
          </w:p>
        </w:tc>
        <w:tc>
          <w:tcPr>
            <w:tcW w:w="1394" w:type="dxa"/>
          </w:tcPr>
          <w:p w14:paraId="2581B259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Good acceptability of intervention</w:t>
            </w:r>
          </w:p>
        </w:tc>
      </w:tr>
      <w:tr w:rsidR="00E87F4E" w:rsidRPr="007A66C4" w14:paraId="1DEAC01E" w14:textId="77777777" w:rsidTr="00E0742F">
        <w:tc>
          <w:tcPr>
            <w:tcW w:w="1747" w:type="dxa"/>
            <w:vMerge/>
          </w:tcPr>
          <w:p w14:paraId="52E2561C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45" w:type="dxa"/>
          </w:tcPr>
          <w:p w14:paraId="500E5EFD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Barriers and drivers to change (related to the individual)</w:t>
            </w:r>
          </w:p>
        </w:tc>
        <w:tc>
          <w:tcPr>
            <w:tcW w:w="1641" w:type="dxa"/>
          </w:tcPr>
          <w:p w14:paraId="5037BE6F" w14:textId="59F1B4FA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Majority view amongst men that knowledge about SHS was new and changed their SHS attitudes</w:t>
            </w:r>
            <w:r w:rsidR="00FC4CD1">
              <w:rPr>
                <w:rFonts w:cstheme="minorHAnsi"/>
                <w:sz w:val="20"/>
                <w:szCs w:val="20"/>
                <w:lang w:val="en-GB"/>
              </w:rPr>
              <w:t>, social norms and intended to</w:t>
            </w: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 smoke outside</w:t>
            </w:r>
            <w:r w:rsidR="00FC4CD1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FC4CD1">
              <w:rPr>
                <w:rFonts w:cstheme="minorHAnsi"/>
                <w:sz w:val="20"/>
                <w:szCs w:val="20"/>
                <w:lang w:val="en-GB"/>
              </w:rPr>
              <w:t xml:space="preserve">They </w:t>
            </w: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did not mention </w:t>
            </w:r>
            <w:r w:rsidR="00FC4CD1">
              <w:rPr>
                <w:rFonts w:cstheme="minorHAnsi"/>
                <w:sz w:val="20"/>
                <w:szCs w:val="20"/>
                <w:lang w:val="en-GB"/>
              </w:rPr>
              <w:t>plans</w:t>
            </w: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. Minority that was not motivated attributed this to lack of </w:t>
            </w:r>
            <w:r w:rsidR="00FC4CD1">
              <w:rPr>
                <w:rFonts w:cstheme="minorHAnsi"/>
                <w:sz w:val="20"/>
                <w:szCs w:val="20"/>
                <w:lang w:val="en-GB"/>
              </w:rPr>
              <w:t>self-efficacy</w:t>
            </w:r>
            <w:r w:rsidRPr="00B3357B">
              <w:rPr>
                <w:rFonts w:cstheme="min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1706" w:type="dxa"/>
          </w:tcPr>
          <w:p w14:paraId="05917F78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654" w:type="dxa"/>
          </w:tcPr>
          <w:p w14:paraId="39D3DB96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687" w:type="dxa"/>
          </w:tcPr>
          <w:p w14:paraId="0F9BDDCA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208" w:type="dxa"/>
          </w:tcPr>
          <w:p w14:paraId="69984F1E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78" w:type="dxa"/>
          </w:tcPr>
          <w:p w14:paraId="13202FB5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N/A</w:t>
            </w:r>
          </w:p>
        </w:tc>
        <w:tc>
          <w:tcPr>
            <w:tcW w:w="1394" w:type="dxa"/>
          </w:tcPr>
          <w:p w14:paraId="54D2E541" w14:textId="30D2E6D5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Drivers to change were new SFH knowledge with corresponding positive attitudes, </w:t>
            </w:r>
            <w:r w:rsidR="00FC4CD1">
              <w:rPr>
                <w:rFonts w:cstheme="minorHAnsi"/>
                <w:sz w:val="20"/>
                <w:szCs w:val="20"/>
                <w:lang w:val="en-GB"/>
              </w:rPr>
              <w:t>social norms</w:t>
            </w: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 and intentions.</w:t>
            </w:r>
          </w:p>
          <w:p w14:paraId="39B1D8CA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76D67F9E" w14:textId="4F7A4CF9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Barriers were a lack of </w:t>
            </w:r>
            <w:r w:rsidR="00FC4CD1">
              <w:rPr>
                <w:rFonts w:cstheme="minorHAnsi"/>
                <w:sz w:val="20"/>
                <w:szCs w:val="20"/>
                <w:lang w:val="en-GB"/>
              </w:rPr>
              <w:t>self-efficacy and plans.</w:t>
            </w:r>
          </w:p>
        </w:tc>
      </w:tr>
      <w:tr w:rsidR="00E87F4E" w:rsidRPr="007A66C4" w14:paraId="26CD519F" w14:textId="77777777" w:rsidTr="00E0742F">
        <w:tc>
          <w:tcPr>
            <w:tcW w:w="1747" w:type="dxa"/>
            <w:vMerge/>
          </w:tcPr>
          <w:p w14:paraId="51D91225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45" w:type="dxa"/>
          </w:tcPr>
          <w:p w14:paraId="0F99E7B7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Self-reported SHS behaviour</w:t>
            </w:r>
            <w:r w:rsidRPr="00B3357B">
              <w:rPr>
                <w:rFonts w:cstheme="minorHAnsi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641" w:type="dxa"/>
          </w:tcPr>
          <w:p w14:paraId="1E5B1BE4" w14:textId="5AFF9F59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Half of men/women reported male household members now smoked outside, prompted by new </w:t>
            </w:r>
            <w:r w:rsidR="00E87F4E">
              <w:rPr>
                <w:rFonts w:cstheme="minorHAnsi"/>
                <w:sz w:val="20"/>
                <w:szCs w:val="20"/>
                <w:lang w:val="en-GB"/>
              </w:rPr>
              <w:t xml:space="preserve">SHS </w:t>
            </w:r>
            <w:r w:rsidRPr="00B3357B">
              <w:rPr>
                <w:rFonts w:cstheme="minorHAnsi"/>
                <w:sz w:val="20"/>
                <w:szCs w:val="20"/>
                <w:lang w:val="en-GB"/>
              </w:rPr>
              <w:t>knowledge</w:t>
            </w:r>
            <w:r w:rsidR="00E87F4E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B3357B">
              <w:rPr>
                <w:rFonts w:cstheme="minorHAnsi"/>
                <w:sz w:val="20"/>
                <w:szCs w:val="20"/>
                <w:lang w:val="en-GB"/>
              </w:rPr>
              <w:t>from SFH intervention.</w:t>
            </w:r>
          </w:p>
        </w:tc>
        <w:tc>
          <w:tcPr>
            <w:tcW w:w="1706" w:type="dxa"/>
          </w:tcPr>
          <w:p w14:paraId="2849CD73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654" w:type="dxa"/>
          </w:tcPr>
          <w:p w14:paraId="325B8387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43.9% to 48.5% of households reported nobody smoking in home at 3-month follow-up.</w:t>
            </w:r>
          </w:p>
          <w:p w14:paraId="7BD1A835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352EF51D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sz w:val="20"/>
                <w:szCs w:val="20"/>
                <w:lang w:val="en-GB"/>
              </w:rPr>
              <w:t xml:space="preserve">38.2% (SFH alone) and 79.2% (SFH+IAQ) </w:t>
            </w:r>
            <w:r w:rsidRPr="00B3357B">
              <w:rPr>
                <w:rFonts w:cstheme="minorHAnsi"/>
                <w:sz w:val="20"/>
                <w:szCs w:val="20"/>
                <w:lang w:val="en-GB"/>
              </w:rPr>
              <w:t>of men reported that the SFH intervention was useful in achieving a SFH</w:t>
            </w:r>
          </w:p>
        </w:tc>
        <w:tc>
          <w:tcPr>
            <w:tcW w:w="1687" w:type="dxa"/>
          </w:tcPr>
          <w:p w14:paraId="657E16C0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208" w:type="dxa"/>
          </w:tcPr>
          <w:p w14:paraId="313BACF3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78" w:type="dxa"/>
          </w:tcPr>
          <w:p w14:paraId="5966C104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Convergent</w:t>
            </w:r>
          </w:p>
        </w:tc>
        <w:tc>
          <w:tcPr>
            <w:tcW w:w="1394" w:type="dxa"/>
          </w:tcPr>
          <w:p w14:paraId="56078F04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Only half of households reported a SFH post-intervention. </w:t>
            </w:r>
          </w:p>
          <w:p w14:paraId="7B06811D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43942E9F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Mixed views on usefulness of SFH intervention.</w:t>
            </w:r>
          </w:p>
        </w:tc>
      </w:tr>
      <w:tr w:rsidR="00E87F4E" w:rsidRPr="007A66C4" w14:paraId="27C50603" w14:textId="77777777" w:rsidTr="00E0742F">
        <w:tc>
          <w:tcPr>
            <w:tcW w:w="1747" w:type="dxa"/>
            <w:vMerge w:val="restart"/>
          </w:tcPr>
          <w:p w14:paraId="2DC0FBA8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Context</w:t>
            </w:r>
          </w:p>
        </w:tc>
        <w:tc>
          <w:tcPr>
            <w:tcW w:w="1745" w:type="dxa"/>
          </w:tcPr>
          <w:p w14:paraId="5F832D07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Impact on SFH implementation</w:t>
            </w:r>
          </w:p>
        </w:tc>
        <w:tc>
          <w:tcPr>
            <w:tcW w:w="1641" w:type="dxa"/>
          </w:tcPr>
          <w:p w14:paraId="46634CF2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06" w:type="dxa"/>
          </w:tcPr>
          <w:p w14:paraId="6A8BACDD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Consensus that felt supported by mosque committee. Permission from Islamic Foundation seen as important. No barriers to delivery. </w:t>
            </w:r>
          </w:p>
        </w:tc>
        <w:tc>
          <w:tcPr>
            <w:tcW w:w="1654" w:type="dxa"/>
          </w:tcPr>
          <w:p w14:paraId="0B738908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687" w:type="dxa"/>
          </w:tcPr>
          <w:p w14:paraId="6A5CBD36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208" w:type="dxa"/>
          </w:tcPr>
          <w:p w14:paraId="02D3C17F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78" w:type="dxa"/>
          </w:tcPr>
          <w:p w14:paraId="10B2E8CD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N/A</w:t>
            </w:r>
          </w:p>
        </w:tc>
        <w:tc>
          <w:tcPr>
            <w:tcW w:w="1394" w:type="dxa"/>
          </w:tcPr>
          <w:p w14:paraId="3A99B4C7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Social context drivers were in place and important for implementation.</w:t>
            </w:r>
          </w:p>
          <w:p w14:paraId="35B8F888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142342C4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No context barriers reported.</w:t>
            </w:r>
          </w:p>
        </w:tc>
      </w:tr>
      <w:tr w:rsidR="00E87F4E" w:rsidRPr="007A66C4" w14:paraId="09A54247" w14:textId="77777777" w:rsidTr="00E0742F">
        <w:tc>
          <w:tcPr>
            <w:tcW w:w="1747" w:type="dxa"/>
            <w:vMerge/>
          </w:tcPr>
          <w:p w14:paraId="4C846C64" w14:textId="77777777" w:rsidR="009B0700" w:rsidRPr="00B3357B" w:rsidRDefault="009B0700" w:rsidP="00E0742F">
            <w:pPr>
              <w:spacing w:line="480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45" w:type="dxa"/>
          </w:tcPr>
          <w:p w14:paraId="0F3F273A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Impact on SHS behaviour change</w:t>
            </w:r>
            <w:r w:rsidRPr="00B3357B">
              <w:rPr>
                <w:rFonts w:cstheme="minorHAnsi"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1641" w:type="dxa"/>
          </w:tcPr>
          <w:p w14:paraId="04D088F5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Minority of men/women spoke of children motivating men to smoke outside, conversely social norms prevented some asking visitors to smoke outside.</w:t>
            </w:r>
          </w:p>
          <w:p w14:paraId="4F22CAE9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04CF376C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Majority of men could identify other places to smoke. A minority could not.</w:t>
            </w:r>
          </w:p>
        </w:tc>
        <w:tc>
          <w:tcPr>
            <w:tcW w:w="1706" w:type="dxa"/>
          </w:tcPr>
          <w:p w14:paraId="1C8DD77E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Some imams advocated a wider societal approach to achieve behaviour change. </w:t>
            </w:r>
          </w:p>
        </w:tc>
        <w:tc>
          <w:tcPr>
            <w:tcW w:w="1654" w:type="dxa"/>
          </w:tcPr>
          <w:p w14:paraId="0890CB87" w14:textId="77777777" w:rsidR="009B0700" w:rsidRPr="00B3357B" w:rsidRDefault="009B0700" w:rsidP="00E0742F">
            <w:pPr>
              <w:spacing w:line="480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687" w:type="dxa"/>
          </w:tcPr>
          <w:p w14:paraId="35DCA9D9" w14:textId="77777777" w:rsidR="009B0700" w:rsidRPr="00B3357B" w:rsidRDefault="009B0700" w:rsidP="00E0742F">
            <w:pPr>
              <w:spacing w:line="480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208" w:type="dxa"/>
          </w:tcPr>
          <w:p w14:paraId="6D6CBF53" w14:textId="77777777" w:rsidR="009B0700" w:rsidRPr="00B3357B" w:rsidRDefault="009B0700" w:rsidP="00E0742F">
            <w:pPr>
              <w:spacing w:line="480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78" w:type="dxa"/>
          </w:tcPr>
          <w:p w14:paraId="7FF4B6A7" w14:textId="77777777" w:rsidR="009B0700" w:rsidRPr="00B3357B" w:rsidRDefault="009B0700" w:rsidP="00E0742F">
            <w:pPr>
              <w:spacing w:line="48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Complementary</w:t>
            </w:r>
          </w:p>
        </w:tc>
        <w:tc>
          <w:tcPr>
            <w:tcW w:w="1394" w:type="dxa"/>
          </w:tcPr>
          <w:p w14:paraId="6A102D43" w14:textId="77777777" w:rsidR="009B0700" w:rsidRPr="00B3357B" w:rsidRDefault="009B0700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Social and physical context barriers and drivers to creating a SFH were evident.</w:t>
            </w:r>
          </w:p>
        </w:tc>
      </w:tr>
    </w:tbl>
    <w:p w14:paraId="38B328B3" w14:textId="17620126" w:rsidR="0015525A" w:rsidRDefault="009B0700">
      <w:r w:rsidRPr="00B3357B">
        <w:rPr>
          <w:rFonts w:cstheme="minorHAnsi"/>
          <w:i/>
          <w:iCs/>
          <w:lang w:val="en-GB"/>
        </w:rPr>
        <w:t>Note.</w:t>
      </w:r>
      <w:r w:rsidRPr="00B3357B">
        <w:rPr>
          <w:rFonts w:cstheme="minorHAnsi"/>
          <w:lang w:val="en-GB"/>
        </w:rPr>
        <w:t xml:space="preserve"> Convergent = in agreement, complementary = partial agreement, contradictory = disagreement, silent = findings do not occur in a dataset but may have been expected to do so</w:t>
      </w:r>
      <w:r>
        <w:rPr>
          <w:rFonts w:cstheme="minorHAnsi"/>
          <w:lang w:val="en-GB"/>
        </w:rPr>
        <w:t xml:space="preserve"> </w:t>
      </w:r>
      <w:r w:rsidRPr="00961BA8">
        <w:rPr>
          <w:rFonts w:cs="Times New Roman"/>
        </w:rPr>
        <w:t>[</w:t>
      </w:r>
      <w:r>
        <w:rPr>
          <w:rFonts w:cs="Times New Roman"/>
        </w:rPr>
        <w:t>29</w:t>
      </w:r>
      <w:r w:rsidRPr="00961BA8">
        <w:rPr>
          <w:rFonts w:cs="Times New Roman"/>
        </w:rPr>
        <w:t>]</w:t>
      </w:r>
      <w:r w:rsidRPr="00B3357B">
        <w:rPr>
          <w:rFonts w:cstheme="minorHAnsi"/>
          <w:lang w:val="en-GB"/>
        </w:rPr>
        <w:t>.</w:t>
      </w:r>
      <w:r>
        <w:rPr>
          <w:rFonts w:cstheme="minorHAnsi"/>
          <w:vertAlign w:val="superscript"/>
          <w:lang w:val="en-GB"/>
        </w:rPr>
        <w:t xml:space="preserve"> </w:t>
      </w:r>
      <w:r w:rsidRPr="00B3357B">
        <w:rPr>
          <w:vertAlign w:val="superscript"/>
          <w:lang w:val="en-GB"/>
        </w:rPr>
        <w:t>a</w:t>
      </w:r>
      <w:r w:rsidRPr="00B3357B">
        <w:rPr>
          <w:lang w:val="en-GB"/>
        </w:rPr>
        <w:t xml:space="preserve">Same </w:t>
      </w:r>
      <w:r w:rsidRPr="00B3357B">
        <w:rPr>
          <w:rFonts w:cstheme="minorHAnsi"/>
          <w:lang w:val="en-GB"/>
        </w:rPr>
        <w:t>self-reported SHS behaviour</w:t>
      </w:r>
      <w:r w:rsidRPr="00B3357B">
        <w:rPr>
          <w:rFonts w:cstheme="minorHAnsi"/>
          <w:vertAlign w:val="superscript"/>
          <w:lang w:val="en-GB"/>
        </w:rPr>
        <w:t xml:space="preserve"> </w:t>
      </w:r>
      <w:r w:rsidRPr="00B3357B">
        <w:rPr>
          <w:lang w:val="en-GB"/>
        </w:rPr>
        <w:t xml:space="preserve">data (mechanisms of impact) and </w:t>
      </w:r>
      <w:r w:rsidRPr="00B3357B">
        <w:rPr>
          <w:vertAlign w:val="superscript"/>
          <w:lang w:val="en-GB"/>
        </w:rPr>
        <w:t>b</w:t>
      </w:r>
      <w:r w:rsidRPr="00B3357B">
        <w:rPr>
          <w:lang w:val="en-GB"/>
        </w:rPr>
        <w:t xml:space="preserve">impact on outcomes (context) reported in </w:t>
      </w:r>
      <w:r w:rsidR="00E87F4E">
        <w:rPr>
          <w:lang w:val="en-GB"/>
        </w:rPr>
        <w:t>Additional Files 1 and 2.</w:t>
      </w:r>
    </w:p>
    <w:sectPr w:rsidR="0015525A" w:rsidSect="009B0700">
      <w:footerReference w:type="default" r:id="rId6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64E98" w14:textId="77777777" w:rsidR="00ED29D3" w:rsidRDefault="00ED29D3" w:rsidP="00140789">
      <w:pPr>
        <w:spacing w:after="0" w:line="240" w:lineRule="auto"/>
      </w:pPr>
      <w:r>
        <w:separator/>
      </w:r>
    </w:p>
  </w:endnote>
  <w:endnote w:type="continuationSeparator" w:id="0">
    <w:p w14:paraId="79DEDDC3" w14:textId="77777777" w:rsidR="00ED29D3" w:rsidRDefault="00ED29D3" w:rsidP="00140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379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2B59E6" w14:textId="6E63CA1F" w:rsidR="00140789" w:rsidRDefault="001407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E9293" w14:textId="77777777" w:rsidR="00ED29D3" w:rsidRDefault="00ED29D3" w:rsidP="00140789">
      <w:pPr>
        <w:spacing w:after="0" w:line="240" w:lineRule="auto"/>
      </w:pPr>
      <w:r>
        <w:separator/>
      </w:r>
    </w:p>
  </w:footnote>
  <w:footnote w:type="continuationSeparator" w:id="0">
    <w:p w14:paraId="77303D0F" w14:textId="77777777" w:rsidR="00ED29D3" w:rsidRDefault="00ED29D3" w:rsidP="00140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5C"/>
    <w:rsid w:val="00140789"/>
    <w:rsid w:val="0015525A"/>
    <w:rsid w:val="002C7C5C"/>
    <w:rsid w:val="004A1270"/>
    <w:rsid w:val="004F1081"/>
    <w:rsid w:val="00924A6C"/>
    <w:rsid w:val="009B0700"/>
    <w:rsid w:val="00B72D92"/>
    <w:rsid w:val="00C72108"/>
    <w:rsid w:val="00E87F4E"/>
    <w:rsid w:val="00ED29D3"/>
    <w:rsid w:val="00FC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9322D"/>
  <w15:chartTrackingRefBased/>
  <w15:docId w15:val="{764970CC-0CE8-4539-8F3F-1FB56FE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700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081"/>
    <w:pPr>
      <w:keepNext/>
      <w:keepLines/>
      <w:spacing w:before="40" w:after="0"/>
      <w:outlineLvl w:val="1"/>
    </w:pPr>
    <w:rPr>
      <w:rFonts w:eastAsiaTheme="majorEastAsia" w:cstheme="majorBidi"/>
      <w:b/>
      <w:caps/>
      <w:color w:val="000000" w:themeColor="text1"/>
      <w:sz w:val="24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1081"/>
    <w:rPr>
      <w:rFonts w:eastAsiaTheme="majorEastAsia" w:cstheme="majorBidi"/>
      <w:b/>
      <w:caps/>
      <w:color w:val="000000" w:themeColor="text1"/>
      <w:sz w:val="24"/>
      <w:szCs w:val="26"/>
    </w:rPr>
  </w:style>
  <w:style w:type="table" w:styleId="TableGrid">
    <w:name w:val="Table Grid"/>
    <w:basedOn w:val="TableNormal"/>
    <w:uiPriority w:val="39"/>
    <w:rsid w:val="009B07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0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78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0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78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Jackson</dc:creator>
  <cp:keywords/>
  <dc:description/>
  <cp:lastModifiedBy>Catherine Jackson</cp:lastModifiedBy>
  <cp:revision>4</cp:revision>
  <cp:lastPrinted>2021-11-09T08:06:00Z</cp:lastPrinted>
  <dcterms:created xsi:type="dcterms:W3CDTF">2021-11-09T08:06:00Z</dcterms:created>
  <dcterms:modified xsi:type="dcterms:W3CDTF">2021-11-09T08:24:00Z</dcterms:modified>
</cp:coreProperties>
</file>