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1025" w14:textId="77777777" w:rsidR="00501373" w:rsidRPr="005D5A8C" w:rsidRDefault="00501373" w:rsidP="0050137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999733"/>
      <w:r w:rsidRPr="00A93577">
        <w:rPr>
          <w:rFonts w:ascii="Times New Roman" w:hAnsi="Times New Roman" w:cs="Times New Roman"/>
          <w:b/>
          <w:bCs/>
          <w:sz w:val="24"/>
          <w:szCs w:val="24"/>
        </w:rPr>
        <w:t xml:space="preserve">Long </w:t>
      </w:r>
      <w:r>
        <w:rPr>
          <w:rFonts w:ascii="Times New Roman" w:hAnsi="Times New Roman" w:cs="Times New Roman"/>
          <w:b/>
          <w:bCs/>
          <w:sz w:val="24"/>
          <w:szCs w:val="24"/>
        </w:rPr>
        <w:t>term</w:t>
      </w:r>
      <w:r w:rsidRPr="00A93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assessment </w:t>
      </w:r>
      <w:r w:rsidRPr="00A93577">
        <w:rPr>
          <w:rFonts w:ascii="Times New Roman" w:hAnsi="Times New Roman" w:cs="Times New Roman"/>
          <w:b/>
          <w:bCs/>
          <w:sz w:val="24"/>
          <w:szCs w:val="24"/>
        </w:rPr>
        <w:t xml:space="preserve">of Saharan Dust Events in the Eastern Mediterranean </w:t>
      </w:r>
      <w:r>
        <w:rPr>
          <w:rFonts w:ascii="Times New Roman" w:hAnsi="Times New Roman" w:cs="Times New Roman"/>
          <w:b/>
          <w:bCs/>
          <w:sz w:val="24"/>
          <w:szCs w:val="24"/>
        </w:rPr>
        <w:t>by</w:t>
      </w:r>
      <w:r w:rsidRPr="00A93577">
        <w:rPr>
          <w:rFonts w:ascii="Times New Roman" w:hAnsi="Times New Roman" w:cs="Times New Roman"/>
          <w:b/>
          <w:bCs/>
          <w:sz w:val="24"/>
          <w:szCs w:val="24"/>
        </w:rPr>
        <w:t xml:space="preserve"> Optical and Microphysical Aerosol Metrics</w:t>
      </w:r>
    </w:p>
    <w:p w14:paraId="6B423A13" w14:textId="77777777" w:rsidR="00501373" w:rsidRPr="005D5A8C" w:rsidRDefault="00501373" w:rsidP="00501373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5D5A8C">
        <w:rPr>
          <w:rFonts w:ascii="Times New Roman" w:hAnsi="Times New Roman" w:cs="Times New Roman"/>
          <w:b/>
          <w:bCs/>
          <w:lang w:val="en-GB"/>
        </w:rPr>
        <w:t>K. Granakis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1,2</w:t>
      </w:r>
      <w:r w:rsidRPr="005D5A8C">
        <w:rPr>
          <w:rFonts w:ascii="Times New Roman" w:hAnsi="Times New Roman" w:cs="Times New Roman"/>
          <w:b/>
          <w:bCs/>
          <w:lang w:val="en-GB"/>
        </w:rPr>
        <w:t xml:space="preserve">, M. </w:t>
      </w:r>
      <w:r>
        <w:rPr>
          <w:rFonts w:ascii="Times New Roman" w:hAnsi="Times New Roman" w:cs="Times New Roman"/>
          <w:b/>
          <w:bCs/>
          <w:lang w:val="en-GB"/>
        </w:rPr>
        <w:t xml:space="preserve">I. </w:t>
      </w:r>
      <w:r w:rsidRPr="005D5A8C">
        <w:rPr>
          <w:rFonts w:ascii="Times New Roman" w:hAnsi="Times New Roman" w:cs="Times New Roman"/>
          <w:b/>
          <w:bCs/>
          <w:lang w:val="en-GB"/>
        </w:rPr>
        <w:t>Gini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b/>
          <w:bCs/>
        </w:rPr>
        <w:t xml:space="preserve">, </w:t>
      </w:r>
      <w:r w:rsidRPr="005D5A8C">
        <w:rPr>
          <w:rFonts w:ascii="Times New Roman" w:hAnsi="Times New Roman" w:cs="Times New Roman"/>
          <w:b/>
          <w:bCs/>
          <w:lang w:val="en-GB"/>
        </w:rPr>
        <w:t>P. Fetfatzis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b/>
          <w:bCs/>
          <w:lang w:val="en-GB"/>
        </w:rPr>
        <w:t>, S. Vratolis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b/>
          <w:bCs/>
          <w:lang w:val="en-GB"/>
        </w:rPr>
        <w:t>, V. Vasilatou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b/>
          <w:bCs/>
          <w:lang w:val="en-GB"/>
        </w:rPr>
        <w:t>, A. Laoutaris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b/>
          <w:bCs/>
          <w:lang w:val="en-GB"/>
        </w:rPr>
        <w:t>, M</w:t>
      </w:r>
      <w:r w:rsidRPr="005D5A8C">
        <w:rPr>
          <w:rFonts w:ascii="Times New Roman" w:hAnsi="Times New Roman" w:cs="Times New Roman"/>
          <w:b/>
          <w:bCs/>
        </w:rPr>
        <w:t>.</w:t>
      </w:r>
      <w:r w:rsidRPr="005D5A8C">
        <w:rPr>
          <w:rFonts w:ascii="Times New Roman" w:hAnsi="Times New Roman" w:cs="Times New Roman"/>
          <w:b/>
          <w:bCs/>
          <w:lang w:val="en-GB"/>
        </w:rPr>
        <w:t>I Manousakas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b/>
          <w:bCs/>
          <w:lang w:val="en-GB"/>
        </w:rPr>
        <w:t>, C.G Tzanis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2</w:t>
      </w:r>
      <w:r w:rsidRPr="005D5A8C">
        <w:rPr>
          <w:rFonts w:ascii="Times New Roman" w:hAnsi="Times New Roman" w:cs="Times New Roman"/>
          <w:b/>
          <w:bCs/>
          <w:lang w:val="en-GB"/>
        </w:rPr>
        <w:t xml:space="preserve"> and K. Eleftheriadis</w:t>
      </w:r>
      <w:r w:rsidRPr="005D5A8C">
        <w:rPr>
          <w:rFonts w:ascii="Times New Roman" w:hAnsi="Times New Roman" w:cs="Times New Roman"/>
          <w:b/>
          <w:bCs/>
          <w:vertAlign w:val="superscript"/>
          <w:lang w:val="en-GB"/>
        </w:rPr>
        <w:t>1</w:t>
      </w:r>
    </w:p>
    <w:p w14:paraId="66BAD48D" w14:textId="77777777" w:rsidR="00501373" w:rsidRPr="005D5A8C" w:rsidRDefault="00501373" w:rsidP="00501373">
      <w:pPr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bookmarkStart w:id="1" w:name="_Hlk212464881"/>
      <w:r w:rsidRPr="005D5A8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5D5A8C">
        <w:rPr>
          <w:rFonts w:ascii="Times New Roman" w:hAnsi="Times New Roman" w:cs="Times New Roman"/>
          <w:sz w:val="20"/>
          <w:szCs w:val="20"/>
          <w:lang w:val="en-GB"/>
        </w:rPr>
        <w:t>ENvironmental Radioactivity &amp; Aerosol Technology for atmospheric &amp; Climate ImpacT Lab, INRASTES, NCSR Demokritos, 15310 Ag. Paraskevi, Attica, Greece</w:t>
      </w:r>
      <w:r w:rsidRPr="005D5A8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</w:p>
    <w:bookmarkEnd w:id="1"/>
    <w:p w14:paraId="2879038F" w14:textId="77777777" w:rsidR="00501373" w:rsidRPr="005D5A8C" w:rsidRDefault="00501373" w:rsidP="0050137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D5A8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5D5A8C">
        <w:rPr>
          <w:rFonts w:ascii="Times New Roman" w:hAnsi="Times New Roman" w:cs="Times New Roman"/>
          <w:sz w:val="20"/>
          <w:szCs w:val="20"/>
          <w:lang w:val="en-GB"/>
        </w:rPr>
        <w:t>Climate and Climatic Change Group, Section of Environmental Physics and Meteorology, Department of Physics, National and Kapodistrian University of Athens, Athens, Greece</w:t>
      </w:r>
    </w:p>
    <w:bookmarkEnd w:id="0"/>
    <w:p w14:paraId="458A52BA" w14:textId="77777777" w:rsidR="00501373" w:rsidRDefault="00501373" w:rsidP="00501373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5D5A8C">
        <w:rPr>
          <w:rFonts w:ascii="Times New Roman" w:hAnsi="Times New Roman" w:cs="Times New Roman"/>
          <w:bCs/>
          <w:sz w:val="20"/>
          <w:szCs w:val="20"/>
        </w:rPr>
        <w:t>Corre</w:t>
      </w:r>
      <w:r>
        <w:rPr>
          <w:rFonts w:ascii="Times New Roman" w:hAnsi="Times New Roman" w:cs="Times New Roman"/>
          <w:bCs/>
          <w:sz w:val="20"/>
          <w:szCs w:val="20"/>
        </w:rPr>
        <w:t>spondence to: K. Granakis and K. Eleftheriadis:</w:t>
      </w:r>
    </w:p>
    <w:p w14:paraId="669471E0" w14:textId="77777777" w:rsidR="00501373" w:rsidRDefault="00501373" w:rsidP="00501373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 xml:space="preserve">    </w:t>
      </w:r>
      <w:hyperlink r:id="rId4" w:history="1">
        <w:r w:rsidRPr="00E51353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k.granakis@ipta.demokritos.gr</w:t>
        </w:r>
      </w:hyperlink>
      <w:r>
        <w:rPr>
          <w:rFonts w:ascii="Times New Roman" w:hAnsi="Times New Roman" w:cs="Times New Roman"/>
          <w:bCs/>
          <w:sz w:val="20"/>
          <w:szCs w:val="20"/>
        </w:rPr>
        <w:t xml:space="preserve"> and </w:t>
      </w:r>
      <w:hyperlink r:id="rId5" w:history="1">
        <w:r w:rsidRPr="00E51353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elefther@ipta.demokritos.gr</w:t>
        </w:r>
      </w:hyperlink>
    </w:p>
    <w:p w14:paraId="67E18314" w14:textId="77777777" w:rsidR="00501373" w:rsidRDefault="00501373" w:rsidP="005013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CDB36C" w14:textId="77777777" w:rsidR="00CA4C99" w:rsidRDefault="00CA4C99" w:rsidP="00CA4C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C26244" w14:textId="77777777" w:rsidR="00610C8D" w:rsidRPr="00501373" w:rsidRDefault="00610C8D" w:rsidP="00BF79B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5F0E9" w14:textId="59D36C3B" w:rsidR="00BF79B1" w:rsidRPr="00834D92" w:rsidRDefault="00BF79B1" w:rsidP="00BF79B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371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834D9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E53CA" w:rsidRPr="000E53CA">
        <w:rPr>
          <w:rFonts w:ascii="Times New Roman" w:hAnsi="Times New Roman" w:cs="Times New Roman"/>
          <w:sz w:val="20"/>
          <w:szCs w:val="20"/>
        </w:rPr>
        <w:t>Comparison of elemental ratios</w:t>
      </w:r>
      <w:r w:rsidR="000E53CA">
        <w:rPr>
          <w:rFonts w:ascii="Times New Roman" w:hAnsi="Times New Roman" w:cs="Times New Roman"/>
          <w:sz w:val="20"/>
          <w:szCs w:val="20"/>
        </w:rPr>
        <w:t xml:space="preserve"> for </w:t>
      </w:r>
      <w:r w:rsidR="000E53CA" w:rsidRPr="000E53CA">
        <w:rPr>
          <w:rFonts w:ascii="Times New Roman" w:hAnsi="Times New Roman" w:cs="Times New Roman"/>
          <w:sz w:val="20"/>
          <w:szCs w:val="20"/>
        </w:rPr>
        <w:t>Saharan (SD) and non-Saharan (nSD) dust transport events</w:t>
      </w:r>
      <w:r w:rsidR="000E53C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328"/>
        <w:gridCol w:w="1412"/>
        <w:gridCol w:w="1520"/>
        <w:gridCol w:w="1458"/>
      </w:tblGrid>
      <w:tr w:rsidR="00BF79B1" w:rsidRPr="002F2146" w14:paraId="5E9F82F7" w14:textId="77777777" w:rsidTr="00F20487">
        <w:trPr>
          <w:jc w:val="center"/>
        </w:trPr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7977E14C" w14:textId="7AB866DB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Metrics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070B2BD4" w14:textId="72BF438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 SDE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6DA5F381" w14:textId="77777777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Std SDE</w:t>
            </w:r>
          </w:p>
          <w:p w14:paraId="529D2A5F" w14:textId="6592DC82" w:rsidR="00BF79B1" w:rsidRPr="00D44DE5" w:rsidRDefault="00BF79B1" w:rsidP="00EE5C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14:paraId="0CC411B7" w14:textId="77777777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 nSDE</w:t>
            </w:r>
          </w:p>
          <w:p w14:paraId="726F6DDA" w14:textId="533806DB" w:rsidR="00BF79B1" w:rsidRPr="00D44DE5" w:rsidRDefault="00BF79B1" w:rsidP="00EE5C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2A2C435C" w14:textId="77777777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Std nSDE</w:t>
            </w:r>
          </w:p>
          <w:p w14:paraId="37D64140" w14:textId="029B498C" w:rsidR="00BF79B1" w:rsidRPr="00D44DE5" w:rsidRDefault="00BF79B1" w:rsidP="00EE5C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F79B1" w:rsidRPr="002F2146" w14:paraId="320569C6" w14:textId="77777777" w:rsidTr="00F20487">
        <w:trPr>
          <w:jc w:val="center"/>
        </w:trPr>
        <w:tc>
          <w:tcPr>
            <w:tcW w:w="1394" w:type="dxa"/>
            <w:tcBorders>
              <w:top w:val="single" w:sz="4" w:space="0" w:color="auto"/>
            </w:tcBorders>
          </w:tcPr>
          <w:p w14:paraId="28702AAE" w14:textId="25BB29EB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Ca/Al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72220CBB" w14:textId="4BBA4011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F4F52A1" w14:textId="28DFEE7B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12.46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14:paraId="4121A528" w14:textId="1407CD9C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9.26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42C9D1FD" w14:textId="6C7483AE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23.11</w:t>
            </w:r>
          </w:p>
        </w:tc>
      </w:tr>
      <w:tr w:rsidR="00BF79B1" w:rsidRPr="002F2146" w14:paraId="19975292" w14:textId="77777777" w:rsidTr="00F20487">
        <w:trPr>
          <w:jc w:val="center"/>
        </w:trPr>
        <w:tc>
          <w:tcPr>
            <w:tcW w:w="1394" w:type="dxa"/>
          </w:tcPr>
          <w:p w14:paraId="14B7ADB2" w14:textId="521E3196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(Ca+Mg)/Fe </w:t>
            </w:r>
          </w:p>
        </w:tc>
        <w:tc>
          <w:tcPr>
            <w:tcW w:w="1328" w:type="dxa"/>
          </w:tcPr>
          <w:p w14:paraId="658F3431" w14:textId="528944B7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1412" w:type="dxa"/>
          </w:tcPr>
          <w:p w14:paraId="41D23449" w14:textId="5B26E647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520" w:type="dxa"/>
          </w:tcPr>
          <w:p w14:paraId="382CB15B" w14:textId="47F15DB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1458" w:type="dxa"/>
          </w:tcPr>
          <w:p w14:paraId="259CCBEC" w14:textId="2BCC31E1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</w:tr>
      <w:tr w:rsidR="00BF79B1" w:rsidRPr="002F2146" w14:paraId="16CEE708" w14:textId="77777777" w:rsidTr="00F20487">
        <w:trPr>
          <w:jc w:val="center"/>
        </w:trPr>
        <w:tc>
          <w:tcPr>
            <w:tcW w:w="1394" w:type="dxa"/>
          </w:tcPr>
          <w:p w14:paraId="5D47646F" w14:textId="0515316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Zn/Al</w:t>
            </w:r>
          </w:p>
        </w:tc>
        <w:tc>
          <w:tcPr>
            <w:tcW w:w="1328" w:type="dxa"/>
          </w:tcPr>
          <w:p w14:paraId="16E4D569" w14:textId="2A25748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412" w:type="dxa"/>
          </w:tcPr>
          <w:p w14:paraId="63DBE3E0" w14:textId="426A63D9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520" w:type="dxa"/>
          </w:tcPr>
          <w:p w14:paraId="05C1F433" w14:textId="2DD22346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458" w:type="dxa"/>
          </w:tcPr>
          <w:p w14:paraId="7CC20A9C" w14:textId="4B2B412D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</w:tr>
      <w:tr w:rsidR="00BF79B1" w:rsidRPr="002F2146" w14:paraId="4CCBBFEA" w14:textId="77777777" w:rsidTr="00F20487">
        <w:trPr>
          <w:jc w:val="center"/>
        </w:trPr>
        <w:tc>
          <w:tcPr>
            <w:tcW w:w="1394" w:type="dxa"/>
          </w:tcPr>
          <w:p w14:paraId="1A81E95D" w14:textId="5A42C54B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Fe/Al</w:t>
            </w:r>
          </w:p>
        </w:tc>
        <w:tc>
          <w:tcPr>
            <w:tcW w:w="1328" w:type="dxa"/>
          </w:tcPr>
          <w:p w14:paraId="04E244E5" w14:textId="6E2654B0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1412" w:type="dxa"/>
          </w:tcPr>
          <w:p w14:paraId="7779A9D4" w14:textId="674C776E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8.98</w:t>
            </w:r>
          </w:p>
        </w:tc>
        <w:tc>
          <w:tcPr>
            <w:tcW w:w="1520" w:type="dxa"/>
          </w:tcPr>
          <w:p w14:paraId="11752367" w14:textId="56171B33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5.12</w:t>
            </w:r>
          </w:p>
        </w:tc>
        <w:tc>
          <w:tcPr>
            <w:tcW w:w="1458" w:type="dxa"/>
          </w:tcPr>
          <w:p w14:paraId="55DBE3C9" w14:textId="36FB9F0F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12.57</w:t>
            </w:r>
          </w:p>
        </w:tc>
      </w:tr>
      <w:tr w:rsidR="00BF79B1" w:rsidRPr="002F2146" w14:paraId="2C580005" w14:textId="77777777" w:rsidTr="00F20487">
        <w:trPr>
          <w:jc w:val="center"/>
        </w:trPr>
        <w:tc>
          <w:tcPr>
            <w:tcW w:w="1394" w:type="dxa"/>
          </w:tcPr>
          <w:p w14:paraId="0E47BD6E" w14:textId="2B770166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Al/Si</w:t>
            </w:r>
          </w:p>
        </w:tc>
        <w:tc>
          <w:tcPr>
            <w:tcW w:w="1328" w:type="dxa"/>
          </w:tcPr>
          <w:p w14:paraId="713ADAAF" w14:textId="0378A782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412" w:type="dxa"/>
          </w:tcPr>
          <w:p w14:paraId="79E44E7A" w14:textId="612C2A65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520" w:type="dxa"/>
          </w:tcPr>
          <w:p w14:paraId="46A39588" w14:textId="3AF66446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1458" w:type="dxa"/>
          </w:tcPr>
          <w:p w14:paraId="0CAC5BF3" w14:textId="13EFB7C2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7.20</w:t>
            </w:r>
          </w:p>
        </w:tc>
      </w:tr>
      <w:tr w:rsidR="00BF79B1" w:rsidRPr="002F2146" w14:paraId="3C1834A7" w14:textId="77777777" w:rsidTr="00F20487">
        <w:trPr>
          <w:jc w:val="center"/>
        </w:trPr>
        <w:tc>
          <w:tcPr>
            <w:tcW w:w="1394" w:type="dxa"/>
          </w:tcPr>
          <w:p w14:paraId="36A122A8" w14:textId="596D0AB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Ti/Fe</w:t>
            </w:r>
          </w:p>
        </w:tc>
        <w:tc>
          <w:tcPr>
            <w:tcW w:w="1328" w:type="dxa"/>
          </w:tcPr>
          <w:p w14:paraId="5EBB58ED" w14:textId="4F70806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412" w:type="dxa"/>
          </w:tcPr>
          <w:p w14:paraId="544F6A64" w14:textId="391C16EE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520" w:type="dxa"/>
          </w:tcPr>
          <w:p w14:paraId="05B1668F" w14:textId="6FEF7237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458" w:type="dxa"/>
          </w:tcPr>
          <w:p w14:paraId="01B82277" w14:textId="4960F1F0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BF79B1" w:rsidRPr="002F2146" w14:paraId="6FB67AEC" w14:textId="77777777" w:rsidTr="00F20487">
        <w:trPr>
          <w:jc w:val="center"/>
        </w:trPr>
        <w:tc>
          <w:tcPr>
            <w:tcW w:w="1394" w:type="dxa"/>
          </w:tcPr>
          <w:p w14:paraId="693DF761" w14:textId="29555949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4D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Fe/Si</w:t>
            </w:r>
          </w:p>
        </w:tc>
        <w:tc>
          <w:tcPr>
            <w:tcW w:w="1328" w:type="dxa"/>
          </w:tcPr>
          <w:p w14:paraId="09483E73" w14:textId="4450C405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1412" w:type="dxa"/>
          </w:tcPr>
          <w:p w14:paraId="33907F12" w14:textId="585D743F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520" w:type="dxa"/>
          </w:tcPr>
          <w:p w14:paraId="49679F58" w14:textId="41B056D0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1458" w:type="dxa"/>
          </w:tcPr>
          <w:p w14:paraId="2758C996" w14:textId="72F80DE8" w:rsidR="00BF79B1" w:rsidRPr="00D44DE5" w:rsidRDefault="00BF79B1" w:rsidP="00BF79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/>
              </w:rPr>
            </w:pPr>
            <w:r w:rsidRPr="00D44D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5.38</w:t>
            </w:r>
          </w:p>
        </w:tc>
      </w:tr>
    </w:tbl>
    <w:p w14:paraId="72DE507B" w14:textId="7A56C3F3" w:rsidR="00610C8D" w:rsidRPr="006A28A9" w:rsidRDefault="00610C8D" w:rsidP="00BF79B1">
      <w:pPr>
        <w:jc w:val="both"/>
      </w:pPr>
    </w:p>
    <w:p w14:paraId="05F76394" w14:textId="77777777" w:rsidR="00105EAE" w:rsidRPr="00F44027" w:rsidRDefault="00105EAE" w:rsidP="00F4402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732175" w14:textId="22B6FF6C" w:rsidR="006A28A9" w:rsidRPr="006A28A9" w:rsidRDefault="00D32BCF" w:rsidP="006A28A9">
      <w:pPr>
        <w:jc w:val="both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CA828" wp14:editId="44ACAD26">
                <wp:simplePos x="0" y="0"/>
                <wp:positionH relativeFrom="column">
                  <wp:posOffset>3228975</wp:posOffset>
                </wp:positionH>
                <wp:positionV relativeFrom="paragraph">
                  <wp:posOffset>148590</wp:posOffset>
                </wp:positionV>
                <wp:extent cx="409575" cy="266700"/>
                <wp:effectExtent l="0" t="0" r="0" b="0"/>
                <wp:wrapNone/>
                <wp:docPr id="133228190" name="Text Box 133228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3B02E" w14:textId="3768912B" w:rsidR="00D32BCF" w:rsidRPr="00D32BCF" w:rsidRDefault="00D32BCF" w:rsidP="00D32BC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32BC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D32BC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CA828" id="_x0000_t202" coordsize="21600,21600" o:spt="202" path="m,l,21600r21600,l21600,xe">
                <v:stroke joinstyle="miter"/>
                <v:path gradientshapeok="t" o:connecttype="rect"/>
              </v:shapetype>
              <v:shape id="Text Box 133228190" o:spid="_x0000_s1026" type="#_x0000_t202" style="position:absolute;left:0;text-align:left;margin-left:254.25pt;margin-top:11.7pt;width:32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" filled="f" stroked="f" strokeweight=".5pt">
                <v:textbox>
                  <w:txbxContent>
                    <w:p w14:paraId="3A03B02E" w14:textId="3768912B" w:rsidR="00D32BCF" w:rsidRPr="00D32BCF" w:rsidRDefault="00D32BCF" w:rsidP="00D32BC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32BCF"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D32BCF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606AA" wp14:editId="7904A911">
                <wp:simplePos x="0" y="0"/>
                <wp:positionH relativeFrom="column">
                  <wp:posOffset>361950</wp:posOffset>
                </wp:positionH>
                <wp:positionV relativeFrom="paragraph">
                  <wp:posOffset>205740</wp:posOffset>
                </wp:positionV>
                <wp:extent cx="409575" cy="2667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52518" w14:textId="77777777" w:rsidR="00D32BCF" w:rsidRPr="00D32BCF" w:rsidRDefault="00D32BCF" w:rsidP="00D32BC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32BC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606AA" id="Text Box 30" o:spid="_x0000_s1027" type="#_x0000_t202" style="position:absolute;left:0;text-align:left;margin-left:28.5pt;margin-top:16.2pt;width:32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4dGQIAADI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" filled="f" stroked="f" strokeweight=".5pt">
                <v:textbox>
                  <w:txbxContent>
                    <w:p w14:paraId="1F252518" w14:textId="77777777" w:rsidR="00D32BCF" w:rsidRPr="00D32BCF" w:rsidRDefault="00D32BCF" w:rsidP="00D32BC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32BCF">
                        <w:rPr>
                          <w:rFonts w:ascii="Times New Roman" w:hAnsi="Times New Roman" w:cs="Times New Roman"/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AD29E1">
        <w:rPr>
          <w:noProof/>
        </w:rPr>
        <w:drawing>
          <wp:inline distT="0" distB="0" distL="0" distR="0" wp14:anchorId="3ABF8BF5" wp14:editId="3E5FA96A">
            <wp:extent cx="2804160" cy="2103120"/>
            <wp:effectExtent l="0" t="0" r="0" b="0"/>
            <wp:docPr id="1197271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9E1" w:rsidRPr="00AD29E1">
        <w:t xml:space="preserve"> </w:t>
      </w:r>
      <w:r w:rsidR="00C9314D">
        <w:rPr>
          <w:noProof/>
        </w:rPr>
        <w:drawing>
          <wp:inline distT="0" distB="0" distL="0" distR="0" wp14:anchorId="40940AB5" wp14:editId="0A6B8CE9">
            <wp:extent cx="2804160" cy="2103120"/>
            <wp:effectExtent l="0" t="0" r="0" b="0"/>
            <wp:docPr id="9351863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233630061"/>
    </w:p>
    <w:p w14:paraId="3D27F95A" w14:textId="7BA8A856" w:rsidR="006A28A9" w:rsidRPr="00D32BCF" w:rsidRDefault="006A28A9" w:rsidP="006A28A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366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A1366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BCF">
        <w:rPr>
          <w:rFonts w:ascii="Times New Roman" w:hAnsi="Times New Roman" w:cs="Times New Roman"/>
          <w:sz w:val="20"/>
          <w:szCs w:val="20"/>
        </w:rPr>
        <w:t>Number and volume size distributions of aerosols measured by the OPC.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32BCF">
        <w:rPr>
          <w:rFonts w:ascii="Times New Roman" w:hAnsi="Times New Roman" w:cs="Times New Roman"/>
          <w:sz w:val="20"/>
          <w:szCs w:val="20"/>
        </w:rPr>
        <w:t>(a) Number size distribution (dN/dlogDp). (b) Volume size distribution (dV/dlogDp). Data are shown for all size bins measured; coarse mode defined as particles &gt;1 μm.</w:t>
      </w:r>
    </w:p>
    <w:p w14:paraId="70FCC07E" w14:textId="77777777" w:rsidR="006A28A9" w:rsidRDefault="006A28A9" w:rsidP="00D32BC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2107F" w14:textId="6DF75702" w:rsidR="00AD29E1" w:rsidRDefault="006A28A9" w:rsidP="00D32BC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B555966" wp14:editId="29D3ED55">
            <wp:extent cx="5943600" cy="4258310"/>
            <wp:effectExtent l="0" t="0" r="0" b="8890"/>
            <wp:docPr id="1427145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C5FD" w14:textId="711AFB02" w:rsidR="006A28A9" w:rsidRDefault="006A28A9" w:rsidP="006A28A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366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A1366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027">
        <w:rPr>
          <w:rFonts w:ascii="Times New Roman" w:hAnsi="Times New Roman" w:cs="Times New Roman"/>
          <w:sz w:val="20"/>
          <w:szCs w:val="20"/>
        </w:rPr>
        <w:t xml:space="preserve">Monthly variation of the hourly mean values of scattering coefficient, </w:t>
      </w:r>
      <w:r>
        <w:rPr>
          <w:rFonts w:ascii="Times New Roman" w:hAnsi="Times New Roman" w:cs="Times New Roman"/>
          <w:sz w:val="20"/>
          <w:szCs w:val="20"/>
        </w:rPr>
        <w:t xml:space="preserve">absorption coefficient, </w:t>
      </w:r>
      <w:r w:rsidRPr="00F44027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SA</w:t>
      </w:r>
      <w:r w:rsidRPr="00F44027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SAE</w:t>
      </w:r>
      <w:r w:rsidRPr="00F44027">
        <w:rPr>
          <w:rFonts w:ascii="Times New Roman" w:hAnsi="Times New Roman" w:cs="Times New Roman"/>
          <w:sz w:val="20"/>
          <w:szCs w:val="20"/>
        </w:rPr>
        <w:t>. The boxplot presents the median (red straight line), the 25th-75th (boxes) and 10th-90th percentiles (whiskers) of scattering coefficient at the central wavelength. The black diamond corresponds to the mean value.</w:t>
      </w:r>
    </w:p>
    <w:p w14:paraId="143F3BDF" w14:textId="77777777" w:rsidR="006A28A9" w:rsidRPr="00D32BCF" w:rsidRDefault="006A28A9" w:rsidP="00D32BC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469B3000" w14:textId="4ACCEBEE" w:rsidR="00AD29E1" w:rsidRDefault="000807A9" w:rsidP="000807A9">
      <w:pPr>
        <w:jc w:val="center"/>
      </w:pPr>
      <w:r>
        <w:rPr>
          <w:noProof/>
        </w:rPr>
        <w:lastRenderedPageBreak/>
        <w:drawing>
          <wp:inline distT="0" distB="0" distL="0" distR="0" wp14:anchorId="1B523504" wp14:editId="658033FB">
            <wp:extent cx="3667001" cy="4114800"/>
            <wp:effectExtent l="0" t="0" r="0" b="0"/>
            <wp:docPr id="17918637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01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451C2" w14:textId="0232F24D" w:rsidR="000807A9" w:rsidRDefault="000807A9" w:rsidP="000807A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541C0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 w:rsidR="00610C8D" w:rsidRPr="0008456E"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541C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F15BC">
        <w:rPr>
          <w:rFonts w:ascii="Times New Roman" w:eastAsiaTheme="minorEastAsia" w:hAnsi="Times New Roman" w:cs="Times New Roman"/>
          <w:sz w:val="20"/>
          <w:szCs w:val="20"/>
        </w:rPr>
        <w:t xml:space="preserve">The 96-h backward trajectories for air masses reaching over Athens in the </w:t>
      </w:r>
      <w:r>
        <w:rPr>
          <w:rFonts w:ascii="Times New Roman" w:eastAsiaTheme="minorEastAsia" w:hAnsi="Times New Roman" w:cs="Times New Roman"/>
          <w:sz w:val="20"/>
          <w:szCs w:val="20"/>
        </w:rPr>
        <w:t>14</w:t>
      </w:r>
      <w:r w:rsidRPr="00DF15BC">
        <w:rPr>
          <w:rFonts w:ascii="Times New Roman" w:eastAsiaTheme="minorEastAsia" w:hAnsi="Times New Roman" w:cs="Times New Roman"/>
          <w:sz w:val="20"/>
          <w:szCs w:val="20"/>
        </w:rPr>
        <w:t>.0</w:t>
      </w:r>
      <w:r>
        <w:rPr>
          <w:rFonts w:ascii="Times New Roman" w:eastAsiaTheme="minorEastAsia" w:hAnsi="Times New Roman" w:cs="Times New Roman"/>
          <w:sz w:val="20"/>
          <w:szCs w:val="20"/>
        </w:rPr>
        <w:t>5</w:t>
      </w:r>
      <w:r w:rsidRPr="00DF15BC">
        <w:rPr>
          <w:rFonts w:ascii="Times New Roman" w:eastAsiaTheme="minorEastAsia" w:hAnsi="Times New Roman" w:cs="Times New Roman"/>
          <w:sz w:val="20"/>
          <w:szCs w:val="20"/>
        </w:rPr>
        <w:t>.201</w:t>
      </w:r>
      <w:r>
        <w:rPr>
          <w:rFonts w:ascii="Times New Roman" w:eastAsiaTheme="minorEastAsia" w:hAnsi="Times New Roman" w:cs="Times New Roman"/>
          <w:sz w:val="20"/>
          <w:szCs w:val="20"/>
        </w:rPr>
        <w:t>7</w:t>
      </w:r>
      <w:r w:rsidRPr="00DF15BC">
        <w:rPr>
          <w:rFonts w:ascii="Times New Roman" w:eastAsiaTheme="minorEastAsia" w:hAnsi="Times New Roman" w:cs="Times New Roman"/>
          <w:sz w:val="20"/>
          <w:szCs w:val="20"/>
        </w:rPr>
        <w:t xml:space="preserve"> that took place the peak of SDE </w:t>
      </w:r>
      <w:r w:rsidRPr="00DF15B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13</w:t>
      </w:r>
      <w:r w:rsidRPr="00DF15BC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F15BC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F15BC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>15</w:t>
      </w:r>
      <w:r w:rsidRPr="00DF15BC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F15BC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F15BC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145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14:paraId="7E1A0A14" w14:textId="77777777" w:rsidR="000807A9" w:rsidRDefault="000807A9" w:rsidP="000807A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1D330204" w14:textId="77777777" w:rsidR="000807A9" w:rsidRDefault="000807A9" w:rsidP="000807A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1D3F0607" w14:textId="77777777" w:rsidR="000807A9" w:rsidRDefault="000807A9" w:rsidP="000807A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6C0753E1" w14:textId="77777777" w:rsidR="000807A9" w:rsidRDefault="000807A9" w:rsidP="000807A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14FE72EE" w14:textId="0A2E68BA" w:rsidR="000807A9" w:rsidRDefault="000807A9" w:rsidP="000807A9">
      <w:pPr>
        <w:spacing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830B63" wp14:editId="15077134">
            <wp:extent cx="4897456" cy="2743200"/>
            <wp:effectExtent l="0" t="0" r="0" b="0"/>
            <wp:docPr id="49268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456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A6990" w14:textId="6E4DEF94" w:rsidR="000807A9" w:rsidRDefault="000807A9" w:rsidP="000807A9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576B0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 w:rsidR="00610C8D" w:rsidRPr="0008456E">
        <w:rPr>
          <w:rFonts w:ascii="Times New Roman" w:eastAsiaTheme="minorEastAsia" w:hAnsi="Times New Roman" w:cs="Times New Roman"/>
          <w:b/>
          <w:bCs/>
          <w:sz w:val="24"/>
          <w:szCs w:val="24"/>
        </w:rPr>
        <w:t>4</w:t>
      </w:r>
      <w:r w:rsidRPr="00576B06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The average volume size distribution during SDE and nSDE, derived from OPC data and modal analysis of corresponding distribution.</w:t>
      </w:r>
    </w:p>
    <w:p w14:paraId="7681D702" w14:textId="77777777" w:rsidR="000807A9" w:rsidRPr="000807A9" w:rsidRDefault="000807A9" w:rsidP="00194E30">
      <w:pPr>
        <w:spacing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14:paraId="57450BAC" w14:textId="6D767EE4" w:rsidR="00BF79B1" w:rsidRDefault="00BF79B1" w:rsidP="00BF79B1">
      <w:pPr>
        <w:jc w:val="center"/>
      </w:pPr>
    </w:p>
    <w:p w14:paraId="68BFD31B" w14:textId="2E71CB7B" w:rsidR="00BF79B1" w:rsidRDefault="00BF79B1" w:rsidP="009216CA">
      <w:pPr>
        <w:jc w:val="center"/>
      </w:pPr>
    </w:p>
    <w:p w14:paraId="5E65449E" w14:textId="5599A2BE" w:rsidR="00194E30" w:rsidRDefault="00194E30" w:rsidP="009216CA">
      <w:pPr>
        <w:jc w:val="center"/>
      </w:pPr>
      <w:r>
        <w:rPr>
          <w:noProof/>
        </w:rPr>
        <w:drawing>
          <wp:inline distT="0" distB="0" distL="0" distR="0" wp14:anchorId="020538A1" wp14:editId="1D5A37A8">
            <wp:extent cx="4267126" cy="3657600"/>
            <wp:effectExtent l="0" t="0" r="635" b="0"/>
            <wp:docPr id="1028127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2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F14B3" w14:textId="5F26A709" w:rsidR="00194E30" w:rsidRDefault="00194E30" w:rsidP="00194E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4367237"/>
      <w:r w:rsidRPr="00A1366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8456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1366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9B1">
        <w:rPr>
          <w:rFonts w:ascii="Times New Roman" w:hAnsi="Times New Roman" w:cs="Times New Roman"/>
          <w:sz w:val="20"/>
          <w:szCs w:val="20"/>
        </w:rPr>
        <w:t xml:space="preserve">ROC-style performance curve for different CV/TV threshold values based on LAS data (2024). Each point corresponds to a distinct threshold level, showing the trade-off between the true detection rate and false positive </w:t>
      </w:r>
      <w:r w:rsidRPr="00BF79B1">
        <w:rPr>
          <w:rFonts w:ascii="Times New Roman" w:hAnsi="Times New Roman" w:cs="Times New Roman"/>
          <w:sz w:val="20"/>
          <w:szCs w:val="20"/>
        </w:rPr>
        <w:lastRenderedPageBreak/>
        <w:t>rate of Saharan Dust Event (SDE) identification. The optimal performance is achieved near a CV/TV value of 0.70, which provides a high detection efficiency with minimal false positives.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3"/>
    <w:p w14:paraId="3DCF4394" w14:textId="77777777" w:rsidR="00194E30" w:rsidRPr="00194E30" w:rsidRDefault="00194E30" w:rsidP="009216CA">
      <w:pPr>
        <w:jc w:val="center"/>
      </w:pPr>
    </w:p>
    <w:p w14:paraId="1DDD47A7" w14:textId="38567C5E" w:rsidR="009216CA" w:rsidRPr="0008456E" w:rsidRDefault="009216CA" w:rsidP="009216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50F1C" w14:textId="77777777" w:rsidR="009216CA" w:rsidRPr="00031F08" w:rsidRDefault="009216CA" w:rsidP="00BF79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33A5A" w14:textId="77777777" w:rsidR="009216CA" w:rsidRPr="00031F08" w:rsidRDefault="009216CA" w:rsidP="00BF79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F53B1" w14:textId="77777777" w:rsidR="009216CA" w:rsidRPr="00031F08" w:rsidRDefault="009216CA" w:rsidP="00BF79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AF187" w14:textId="39780C00" w:rsidR="009216CA" w:rsidRPr="00031F08" w:rsidRDefault="009216CA" w:rsidP="00BF79B1">
      <w:pPr>
        <w:jc w:val="both"/>
      </w:pPr>
    </w:p>
    <w:sectPr w:rsidR="009216CA" w:rsidRPr="00031F08" w:rsidSect="00CA4C9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B1"/>
    <w:rsid w:val="00031F08"/>
    <w:rsid w:val="000807A9"/>
    <w:rsid w:val="0008456E"/>
    <w:rsid w:val="000E53CA"/>
    <w:rsid w:val="00105EAE"/>
    <w:rsid w:val="0012130D"/>
    <w:rsid w:val="001737B0"/>
    <w:rsid w:val="00194E30"/>
    <w:rsid w:val="001B7C26"/>
    <w:rsid w:val="0030787F"/>
    <w:rsid w:val="0033143A"/>
    <w:rsid w:val="00357AF4"/>
    <w:rsid w:val="00425D56"/>
    <w:rsid w:val="00501373"/>
    <w:rsid w:val="00610C8D"/>
    <w:rsid w:val="006811B0"/>
    <w:rsid w:val="006A28A9"/>
    <w:rsid w:val="00910611"/>
    <w:rsid w:val="009216CA"/>
    <w:rsid w:val="009561D6"/>
    <w:rsid w:val="00A06131"/>
    <w:rsid w:val="00AD29E1"/>
    <w:rsid w:val="00B11787"/>
    <w:rsid w:val="00BF79B1"/>
    <w:rsid w:val="00C01173"/>
    <w:rsid w:val="00C05EDD"/>
    <w:rsid w:val="00C9314D"/>
    <w:rsid w:val="00CA4C99"/>
    <w:rsid w:val="00CB0C0E"/>
    <w:rsid w:val="00D32BCF"/>
    <w:rsid w:val="00D44DE5"/>
    <w:rsid w:val="00F0298D"/>
    <w:rsid w:val="00F17655"/>
    <w:rsid w:val="00F20487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2EC2"/>
  <w15:chartTrackingRefBased/>
  <w15:docId w15:val="{1AEA14CF-188B-490D-BF4A-34AEA42E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8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9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9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9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9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9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9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9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9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9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9B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9B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7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9B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7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9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F79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C99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A4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elefther@ipta.demokritos.gr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k.granakis@ipta.demokritos.gr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Granakis</dc:creator>
  <cp:keywords/>
  <dc:description/>
  <cp:lastModifiedBy>Konstantinos Granakis</cp:lastModifiedBy>
  <cp:revision>2</cp:revision>
  <dcterms:created xsi:type="dcterms:W3CDTF">2026-07-21T11:57:00Z</dcterms:created>
  <dcterms:modified xsi:type="dcterms:W3CDTF">2026-07-21T11:57:00Z</dcterms:modified>
</cp:coreProperties>
</file>