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5395E">
      <w:pPr>
        <w:rPr>
          <w:rFonts w:hint="eastAsia" w:eastAsiaTheme="minorEastAsia"/>
          <w:lang w:eastAsia="zh-CN"/>
        </w:rPr>
      </w:pPr>
      <w:r>
        <w:rPr>
          <w:rFonts w:hint="eastAsia" w:eastAsiaTheme="minorEastAsia"/>
          <w:lang w:eastAsia="zh-CN"/>
        </w:rPr>
        <w:drawing>
          <wp:inline distT="0" distB="0" distL="114300" distR="114300">
            <wp:extent cx="5267960" cy="3371850"/>
            <wp:effectExtent l="0" t="0" r="8890" b="0"/>
            <wp:docPr id="1" name="图片 1" descr="sFig1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Fig1_画板 1"/>
                    <pic:cNvPicPr>
                      <a:picLocks noChangeAspect="1"/>
                    </pic:cNvPicPr>
                  </pic:nvPicPr>
                  <pic:blipFill>
                    <a:blip r:embed="rId4"/>
                    <a:stretch>
                      <a:fillRect/>
                    </a:stretch>
                  </pic:blipFill>
                  <pic:spPr>
                    <a:xfrm>
                      <a:off x="0" y="0"/>
                      <a:ext cx="5267960" cy="3371850"/>
                    </a:xfrm>
                    <a:prstGeom prst="rect">
                      <a:avLst/>
                    </a:prstGeom>
                  </pic:spPr>
                </pic:pic>
              </a:graphicData>
            </a:graphic>
          </wp:inline>
        </w:drawing>
      </w:r>
    </w:p>
    <w:p w14:paraId="736FE20F">
      <w:pPr>
        <w:rPr>
          <w:rFonts w:hint="eastAsia" w:eastAsiaTheme="minorEastAsia"/>
          <w:lang w:eastAsia="zh-CN"/>
        </w:rPr>
      </w:pPr>
      <w:r>
        <w:rPr>
          <w:rFonts w:hint="eastAsia" w:eastAsiaTheme="minorEastAsia"/>
          <w:lang w:eastAsia="zh-CN"/>
        </w:rPr>
        <w:t>sFigure 1. Principal component analysis and gene set enrichment analysis of bulk RNA‑seq data, related to Figure 1. (A) Principal component analysis (PCA) plot of transcriptomic profiles from all samples, with each dot representing an individual sample colored by post‑stroke time point. (B–E) Gene set enrichment analysis (GSEA) plots validating metabolic pathway regulation at critical time windows: (B) Glycolysis at 24 h; (C) Glycolysis at 3 d; (D) Oxidative phosphorylation at 12 h, showing a negative enrichment profile; (E) Fatty acid metabolism at 24 h. Normalized enrichment score (NES) and nominal P value are displayed on each plot.</w:t>
      </w:r>
    </w:p>
    <w:p w14:paraId="107D2B8B">
      <w:pPr>
        <w:rPr>
          <w:rFonts w:hint="eastAsia" w:eastAsiaTheme="minorEastAsia"/>
          <w:lang w:eastAsia="zh-CN"/>
        </w:rPr>
      </w:pPr>
      <w:r>
        <w:rPr>
          <w:rFonts w:hint="eastAsia" w:eastAsiaTheme="minorEastAsia"/>
          <w:lang w:eastAsia="zh-CN"/>
        </w:rPr>
        <w:drawing>
          <wp:inline distT="0" distB="0" distL="114300" distR="114300">
            <wp:extent cx="5268595" cy="5135880"/>
            <wp:effectExtent l="0" t="0" r="8255" b="7620"/>
            <wp:docPr id="7" name="图片 7" descr="sFig2_画板 1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Fig2_画板 1_画板 1"/>
                    <pic:cNvPicPr>
                      <a:picLocks noChangeAspect="1"/>
                    </pic:cNvPicPr>
                  </pic:nvPicPr>
                  <pic:blipFill>
                    <a:blip r:embed="rId5"/>
                    <a:stretch>
                      <a:fillRect/>
                    </a:stretch>
                  </pic:blipFill>
                  <pic:spPr>
                    <a:xfrm>
                      <a:off x="0" y="0"/>
                      <a:ext cx="5268595" cy="5135880"/>
                    </a:xfrm>
                    <a:prstGeom prst="rect">
                      <a:avLst/>
                    </a:prstGeom>
                  </pic:spPr>
                </pic:pic>
              </a:graphicData>
            </a:graphic>
          </wp:inline>
        </w:drawing>
      </w:r>
    </w:p>
    <w:p w14:paraId="45A4071D">
      <w:pPr>
        <w:rPr>
          <w:rFonts w:hint="eastAsia" w:eastAsiaTheme="minorEastAsia"/>
          <w:lang w:eastAsia="zh-CN"/>
        </w:rPr>
      </w:pPr>
    </w:p>
    <w:p w14:paraId="186B94C3">
      <w:pPr>
        <w:rPr>
          <w:rFonts w:hint="eastAsia"/>
          <w:lang w:eastAsia="zh-CN"/>
        </w:rPr>
      </w:pPr>
      <w:r>
        <w:rPr>
          <w:rFonts w:hint="eastAsia" w:eastAsiaTheme="minorEastAsia"/>
          <w:lang w:eastAsia="zh-CN"/>
        </w:rPr>
        <w:t>sFigure 2. Mendelian randomization analysis of glycemic/lipid</w:t>
      </w:r>
      <w:r>
        <w:rPr>
          <w:rFonts w:hint="eastAsia"/>
          <w:lang w:val="en-US" w:eastAsia="zh-CN"/>
        </w:rPr>
        <w:t>-</w:t>
      </w:r>
      <w:r>
        <w:rPr>
          <w:rFonts w:hint="eastAsia" w:eastAsiaTheme="minorEastAsia"/>
          <w:lang w:eastAsia="zh-CN"/>
        </w:rPr>
        <w:t>related disorders and stroke, and quality control metrics of single</w:t>
      </w:r>
      <w:r>
        <w:rPr>
          <w:rFonts w:hint="eastAsia"/>
          <w:lang w:val="en-US" w:eastAsia="zh-CN"/>
        </w:rPr>
        <w:t>-</w:t>
      </w:r>
      <w:r>
        <w:rPr>
          <w:rFonts w:hint="eastAsia" w:eastAsiaTheme="minorEastAsia"/>
          <w:lang w:eastAsia="zh-CN"/>
        </w:rPr>
        <w:t>nucleus RNA</w:t>
      </w:r>
      <w:r>
        <w:rPr>
          <w:rFonts w:hint="eastAsia"/>
          <w:lang w:val="en-US" w:eastAsia="zh-CN"/>
        </w:rPr>
        <w:t>-</w:t>
      </w:r>
      <w:r>
        <w:rPr>
          <w:rFonts w:hint="eastAsia" w:eastAsiaTheme="minorEastAsia"/>
          <w:lang w:eastAsia="zh-CN"/>
        </w:rPr>
        <w:t>seq. (A) Leave</w:t>
      </w:r>
      <w:r>
        <w:rPr>
          <w:rFonts w:hint="eastAsia"/>
          <w:lang w:val="en-US" w:eastAsia="zh-CN"/>
        </w:rPr>
        <w:t>-</w:t>
      </w:r>
      <w:r>
        <w:rPr>
          <w:rFonts w:hint="eastAsia" w:eastAsiaTheme="minorEastAsia"/>
          <w:lang w:eastAsia="zh-CN"/>
        </w:rPr>
        <w:t>one</w:t>
      </w:r>
      <w:r>
        <w:rPr>
          <w:rFonts w:hint="eastAsia"/>
          <w:lang w:val="en-US" w:eastAsia="zh-CN"/>
        </w:rPr>
        <w:t>-</w:t>
      </w:r>
      <w:r>
        <w:rPr>
          <w:rFonts w:hint="eastAsia" w:eastAsiaTheme="minorEastAsia"/>
          <w:lang w:eastAsia="zh-CN"/>
        </w:rPr>
        <w:t>out sensitivity analysis for diabetes/hyperlipidemia, displaying the IVW estimate after sequential removal of each SNP. (B) Forest plot of causal effect estimates (MR</w:t>
      </w:r>
      <w:r>
        <w:rPr>
          <w:rFonts w:hint="eastAsia"/>
          <w:lang w:val="en-US" w:eastAsia="zh-CN"/>
        </w:rPr>
        <w:t>-</w:t>
      </w:r>
      <w:r>
        <w:rPr>
          <w:rFonts w:hint="eastAsia" w:eastAsiaTheme="minorEastAsia"/>
          <w:lang w:eastAsia="zh-CN"/>
        </w:rPr>
        <w:t>Egger and IVW) for diabetes/hyperlipidemia on ischemic stroke. (C) Funnel plot evaluating directional pleiotropy for diabetes/hyperlipidemia. (D) Scatter plot of SNP</w:t>
      </w:r>
      <w:r>
        <w:rPr>
          <w:rFonts w:hint="eastAsia"/>
          <w:lang w:val="en-US" w:eastAsia="zh-CN"/>
        </w:rPr>
        <w:t>-</w:t>
      </w:r>
      <w:r>
        <w:rPr>
          <w:rFonts w:hint="eastAsia" w:eastAsiaTheme="minorEastAsia"/>
          <w:lang w:eastAsia="zh-CN"/>
        </w:rPr>
        <w:t>exposure and SNP</w:t>
      </w:r>
      <w:r>
        <w:rPr>
          <w:rFonts w:hint="eastAsia"/>
          <w:lang w:val="en-US" w:eastAsia="zh-CN"/>
        </w:rPr>
        <w:t>-</w:t>
      </w:r>
      <w:r>
        <w:rPr>
          <w:rFonts w:hint="eastAsia" w:eastAsiaTheme="minorEastAsia"/>
          <w:lang w:eastAsia="zh-CN"/>
        </w:rPr>
        <w:t>outcome associations with IVW and MR</w:t>
      </w:r>
      <w:r>
        <w:rPr>
          <w:rFonts w:hint="eastAsia"/>
          <w:lang w:val="en-US" w:eastAsia="zh-CN"/>
        </w:rPr>
        <w:t>-</w:t>
      </w:r>
      <w:r>
        <w:rPr>
          <w:rFonts w:hint="eastAsia" w:eastAsiaTheme="minorEastAsia"/>
          <w:lang w:eastAsia="zh-CN"/>
        </w:rPr>
        <w:t>Egger regression lines for diabetes/hyperlipidemia. (E</w:t>
      </w:r>
      <w:r>
        <w:rPr>
          <w:rFonts w:hint="eastAsia"/>
          <w:lang w:val="en-US" w:eastAsia="zh-CN"/>
        </w:rPr>
        <w:t>-</w:t>
      </w:r>
      <w:r>
        <w:rPr>
          <w:rFonts w:hint="eastAsia" w:eastAsiaTheme="minorEastAsia"/>
          <w:lang w:eastAsia="zh-CN"/>
        </w:rPr>
        <w:t>H) Corresponding analyses for lipoprotein metabolism disorder as the exposure: (E) Leave</w:t>
      </w:r>
      <w:r>
        <w:rPr>
          <w:rFonts w:hint="eastAsia"/>
          <w:lang w:val="en-US" w:eastAsia="zh-CN"/>
        </w:rPr>
        <w:t>-</w:t>
      </w:r>
      <w:r>
        <w:rPr>
          <w:rFonts w:hint="eastAsia" w:eastAsiaTheme="minorEastAsia"/>
          <w:lang w:eastAsia="zh-CN"/>
        </w:rPr>
        <w:t>one</w:t>
      </w:r>
      <w:r>
        <w:rPr>
          <w:rFonts w:hint="eastAsia"/>
          <w:lang w:val="en-US" w:eastAsia="zh-CN"/>
        </w:rPr>
        <w:t>-</w:t>
      </w:r>
      <w:r>
        <w:rPr>
          <w:rFonts w:hint="eastAsia" w:eastAsiaTheme="minorEastAsia"/>
          <w:lang w:eastAsia="zh-CN"/>
        </w:rPr>
        <w:t>out plot; (F) Forest plot; (G) Funnel plot; (H) Scatter plot. For MR analyses, error bars represent 95% confidence intervals and IVW</w:t>
      </w:r>
      <w:r>
        <w:rPr>
          <w:rFonts w:hint="eastAsia"/>
          <w:lang w:val="en-US" w:eastAsia="zh-CN"/>
        </w:rPr>
        <w:t>-</w:t>
      </w:r>
      <w:r>
        <w:rPr>
          <w:rFonts w:hint="eastAsia" w:eastAsiaTheme="minorEastAsia"/>
          <w:lang w:eastAsia="zh-CN"/>
        </w:rPr>
        <w:t>derived P values are shown. (I) PCA of single</w:t>
      </w:r>
      <w:r>
        <w:rPr>
          <w:rFonts w:hint="eastAsia"/>
          <w:lang w:val="en-US" w:eastAsia="zh-CN"/>
        </w:rPr>
        <w:t>-</w:t>
      </w:r>
      <w:r>
        <w:rPr>
          <w:rFonts w:hint="eastAsia" w:eastAsiaTheme="minorEastAsia"/>
          <w:lang w:eastAsia="zh-CN"/>
        </w:rPr>
        <w:t>nucleus RNA‑seq samples based on highly variable genes, colored by experimental condition. (J) UMAP embedding colored by seven major cell types. (K) Dot plot validating the expression of canonical marker genes used for cell</w:t>
      </w:r>
      <w:r>
        <w:rPr>
          <w:rFonts w:hint="eastAsia"/>
          <w:lang w:val="en-US" w:eastAsia="zh-CN"/>
        </w:rPr>
        <w:t>-</w:t>
      </w:r>
      <w:r>
        <w:rPr>
          <w:rFonts w:hint="eastAsia" w:eastAsiaTheme="minorEastAsia"/>
          <w:lang w:eastAsia="zh-CN"/>
        </w:rPr>
        <w:t>type annotation.</w:t>
      </w:r>
      <w:r>
        <w:rPr>
          <w:rFonts w:hint="eastAsia"/>
          <w:lang w:eastAsia="zh-CN"/>
        </w:rPr>
        <w:t>、</w:t>
      </w:r>
    </w:p>
    <w:p w14:paraId="07DED79B">
      <w:pPr>
        <w:rPr>
          <w:rFonts w:hint="eastAsia"/>
          <w:lang w:eastAsia="zh-CN"/>
        </w:rPr>
      </w:pPr>
      <w:r>
        <w:rPr>
          <w:rFonts w:hint="eastAsia"/>
          <w:lang w:eastAsia="zh-CN"/>
        </w:rPr>
        <w:drawing>
          <wp:inline distT="0" distB="0" distL="114300" distR="114300">
            <wp:extent cx="5267960" cy="7183755"/>
            <wp:effectExtent l="0" t="0" r="8890" b="17145"/>
            <wp:docPr id="8" name="图片 8" descr="sFig3_画板 1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Fig3_画板 1_画板 1"/>
                    <pic:cNvPicPr>
                      <a:picLocks noChangeAspect="1"/>
                    </pic:cNvPicPr>
                  </pic:nvPicPr>
                  <pic:blipFill>
                    <a:blip r:embed="rId6"/>
                    <a:stretch>
                      <a:fillRect/>
                    </a:stretch>
                  </pic:blipFill>
                  <pic:spPr>
                    <a:xfrm>
                      <a:off x="0" y="0"/>
                      <a:ext cx="5267960" cy="7183755"/>
                    </a:xfrm>
                    <a:prstGeom prst="rect">
                      <a:avLst/>
                    </a:prstGeom>
                  </pic:spPr>
                </pic:pic>
              </a:graphicData>
            </a:graphic>
          </wp:inline>
        </w:drawing>
      </w:r>
    </w:p>
    <w:p w14:paraId="2C066F25">
      <w:pPr>
        <w:rPr>
          <w:rFonts w:hint="eastAsia"/>
          <w:lang w:eastAsia="zh-CN"/>
        </w:rPr>
      </w:pPr>
    </w:p>
    <w:p w14:paraId="489EFFA8">
      <w:pPr>
        <w:rPr>
          <w:rFonts w:hint="eastAsia"/>
          <w:lang w:eastAsia="zh-CN"/>
        </w:rPr>
      </w:pPr>
      <w:r>
        <w:rPr>
          <w:rFonts w:hint="eastAsia"/>
          <w:lang w:eastAsia="zh-CN"/>
        </w:rPr>
        <w:t xml:space="preserve">sFigure 3. </w:t>
      </w:r>
      <w:r>
        <w:rPr>
          <w:rFonts w:hint="eastAsia"/>
          <w:lang w:val="en-US" w:eastAsia="zh-CN"/>
        </w:rPr>
        <w:t xml:space="preserve">(A) </w:t>
      </w:r>
      <w:r>
        <w:rPr>
          <w:rFonts w:hint="eastAsia"/>
          <w:lang w:eastAsia="zh-CN"/>
        </w:rPr>
        <w:t>Total daily food consumption in A/L and eTRF mice, showing no significant difference. ns, not significant, (n=</w:t>
      </w:r>
      <w:r>
        <w:rPr>
          <w:rFonts w:hint="eastAsia"/>
          <w:lang w:val="en-US" w:eastAsia="zh-CN"/>
        </w:rPr>
        <w:t>5</w:t>
      </w:r>
      <w:r>
        <w:rPr>
          <w:rFonts w:hint="eastAsia"/>
          <w:lang w:eastAsia="zh-CN"/>
        </w:rPr>
        <w:t>). (B) qPCR analysis of glucose and lipid transport</w:t>
      </w:r>
      <w:r>
        <w:rPr>
          <w:rFonts w:hint="eastAsia"/>
          <w:lang w:val="en-US" w:eastAsia="zh-CN"/>
        </w:rPr>
        <w:t>-</w:t>
      </w:r>
      <w:r>
        <w:rPr>
          <w:rFonts w:hint="eastAsia"/>
          <w:lang w:eastAsia="zh-CN"/>
        </w:rPr>
        <w:t>related genes (C</w:t>
      </w:r>
      <w:r>
        <w:rPr>
          <w:rFonts w:hint="eastAsia"/>
          <w:lang w:val="en-US" w:eastAsia="zh-CN"/>
        </w:rPr>
        <w:t>pt</w:t>
      </w:r>
      <w:r>
        <w:rPr>
          <w:rFonts w:hint="eastAsia"/>
          <w:lang w:eastAsia="zh-CN"/>
        </w:rPr>
        <w:t>1</w:t>
      </w:r>
      <w:r>
        <w:rPr>
          <w:rFonts w:hint="eastAsia"/>
          <w:lang w:val="en-US" w:eastAsia="zh-CN"/>
        </w:rPr>
        <w:t>a</w:t>
      </w:r>
      <w:r>
        <w:rPr>
          <w:rFonts w:hint="eastAsia"/>
          <w:lang w:eastAsia="zh-CN"/>
        </w:rPr>
        <w:t>, C</w:t>
      </w:r>
      <w:r>
        <w:rPr>
          <w:rFonts w:hint="eastAsia"/>
          <w:lang w:val="en-US" w:eastAsia="zh-CN"/>
        </w:rPr>
        <w:t>pt</w:t>
      </w:r>
      <w:r>
        <w:rPr>
          <w:rFonts w:hint="eastAsia"/>
          <w:lang w:eastAsia="zh-CN"/>
        </w:rPr>
        <w:t>2, P</w:t>
      </w:r>
      <w:r>
        <w:rPr>
          <w:rFonts w:hint="eastAsia"/>
          <w:lang w:val="en-US" w:eastAsia="zh-CN"/>
        </w:rPr>
        <w:t>gc</w:t>
      </w:r>
      <w:r>
        <w:rPr>
          <w:rFonts w:hint="eastAsia"/>
          <w:lang w:eastAsia="zh-CN"/>
        </w:rPr>
        <w:t>1</w:t>
      </w:r>
      <w:r>
        <w:rPr>
          <w:rFonts w:hint="default" w:ascii="Times New Roman" w:hAnsi="Times New Roman" w:cs="Times New Roman"/>
          <w:lang w:eastAsia="zh-CN"/>
        </w:rPr>
        <w:t>α</w:t>
      </w:r>
      <w:r>
        <w:rPr>
          <w:rFonts w:hint="eastAsia"/>
          <w:lang w:eastAsia="zh-CN"/>
        </w:rPr>
        <w:t>, G</w:t>
      </w:r>
      <w:r>
        <w:rPr>
          <w:rFonts w:hint="eastAsia"/>
          <w:lang w:val="en-US" w:eastAsia="zh-CN"/>
        </w:rPr>
        <w:t>lut</w:t>
      </w:r>
      <w:r>
        <w:rPr>
          <w:rFonts w:hint="eastAsia"/>
          <w:lang w:eastAsia="zh-CN"/>
        </w:rPr>
        <w:t>1, G</w:t>
      </w:r>
      <w:r>
        <w:rPr>
          <w:rFonts w:hint="eastAsia"/>
          <w:lang w:val="en-US" w:eastAsia="zh-CN"/>
        </w:rPr>
        <w:t>lut</w:t>
      </w:r>
      <w:r>
        <w:rPr>
          <w:rFonts w:hint="eastAsia"/>
          <w:lang w:eastAsia="zh-CN"/>
        </w:rPr>
        <w:t>3)</w:t>
      </w:r>
      <w:r>
        <w:rPr>
          <w:rFonts w:hint="eastAsia"/>
          <w:lang w:val="en-US" w:eastAsia="zh-CN"/>
        </w:rPr>
        <w:t>.</w:t>
      </w:r>
      <w:r>
        <w:rPr>
          <w:rFonts w:hint="eastAsia"/>
          <w:lang w:eastAsia="zh-CN"/>
        </w:rPr>
        <w:t xml:space="preserve"> (n=5)</w:t>
      </w:r>
      <w:r>
        <w:rPr>
          <w:rFonts w:hint="eastAsia"/>
          <w:lang w:val="en-US" w:eastAsia="zh-CN"/>
        </w:rPr>
        <w:t xml:space="preserve">; </w:t>
      </w:r>
      <w:r>
        <w:rPr>
          <w:rFonts w:hint="eastAsia"/>
          <w:lang w:eastAsia="zh-CN"/>
        </w:rPr>
        <w:t>(C) Principal component analysis (PCA) of the cortical metabolome . (D</w:t>
      </w:r>
      <w:r>
        <w:rPr>
          <w:rFonts w:hint="eastAsia"/>
          <w:lang w:val="en-US" w:eastAsia="zh-CN"/>
        </w:rPr>
        <w:t>-</w:t>
      </w:r>
      <w:r>
        <w:rPr>
          <w:rFonts w:hint="eastAsia"/>
          <w:lang w:eastAsia="zh-CN"/>
        </w:rPr>
        <w:t>H) Box plots or bar graphs showing individual levels of key differential metabolites, including 2</w:t>
      </w:r>
      <w:r>
        <w:rPr>
          <w:rFonts w:hint="eastAsia"/>
          <w:lang w:val="en-US" w:eastAsia="zh-CN"/>
        </w:rPr>
        <w:t>-</w:t>
      </w:r>
      <w:r>
        <w:rPr>
          <w:rFonts w:hint="eastAsia"/>
          <w:lang w:eastAsia="zh-CN"/>
        </w:rPr>
        <w:t>hydroxypalmitic acid, 16</w:t>
      </w:r>
      <w:r>
        <w:rPr>
          <w:rFonts w:hint="eastAsia"/>
          <w:lang w:val="en-US" w:eastAsia="zh-CN"/>
        </w:rPr>
        <w:t>-</w:t>
      </w:r>
      <w:r>
        <w:rPr>
          <w:rFonts w:hint="eastAsia"/>
          <w:lang w:eastAsia="zh-CN"/>
        </w:rPr>
        <w:t>hydroxypalmitic acid, and representative acylcarnitines. (I) Lactate levels in the brain (n=</w:t>
      </w:r>
      <w:r>
        <w:rPr>
          <w:rFonts w:hint="eastAsia"/>
          <w:lang w:val="en-US" w:eastAsia="zh-CN"/>
        </w:rPr>
        <w:t>3</w:t>
      </w:r>
      <w:r>
        <w:rPr>
          <w:rFonts w:hint="eastAsia"/>
          <w:lang w:eastAsia="zh-CN"/>
        </w:rPr>
        <w:t>) (J, K) Relative abundance of citrate and isocitrate in the ischemic cortex. (L) Metabolite set enrichment analysis indicating no significant alteration in the TCA cycle pathway</w:t>
      </w:r>
      <w:r>
        <w:rPr>
          <w:rFonts w:hint="eastAsia"/>
          <w:lang w:val="en-US" w:eastAsia="zh-CN"/>
        </w:rPr>
        <w:t>.</w:t>
      </w:r>
      <w:r>
        <w:rPr>
          <w:rFonts w:hint="eastAsia"/>
          <w:lang w:eastAsia="zh-CN"/>
        </w:rPr>
        <w:t xml:space="preserve"> </w:t>
      </w:r>
    </w:p>
    <w:p w14:paraId="68FDC023">
      <w:pPr>
        <w:widowControl w:val="0"/>
        <w:numPr>
          <w:ilvl w:val="0"/>
          <w:numId w:val="0"/>
        </w:numPr>
        <w:jc w:val="both"/>
        <w:rPr>
          <w:rFonts w:hint="eastAsia"/>
          <w:lang w:eastAsia="zh-CN"/>
        </w:rPr>
      </w:pPr>
    </w:p>
    <w:p w14:paraId="0C9E3CC0">
      <w:pPr>
        <w:widowControl w:val="0"/>
        <w:numPr>
          <w:ilvl w:val="0"/>
          <w:numId w:val="0"/>
        </w:numPr>
        <w:jc w:val="both"/>
        <w:rPr>
          <w:rFonts w:hint="eastAsia"/>
          <w:lang w:eastAsia="zh-CN"/>
        </w:rPr>
      </w:pPr>
    </w:p>
    <w:p w14:paraId="50D81DB6">
      <w:pPr>
        <w:widowControl w:val="0"/>
        <w:numPr>
          <w:ilvl w:val="0"/>
          <w:numId w:val="0"/>
        </w:numPr>
        <w:jc w:val="both"/>
        <w:rPr>
          <w:rFonts w:hint="eastAsia"/>
          <w:lang w:eastAsia="zh-CN"/>
        </w:rPr>
      </w:pPr>
      <w:r>
        <w:rPr>
          <w:rFonts w:hint="eastAsia"/>
          <w:lang w:eastAsia="zh-CN"/>
        </w:rPr>
        <w:drawing>
          <wp:inline distT="0" distB="0" distL="114300" distR="114300">
            <wp:extent cx="5259705" cy="2961005"/>
            <wp:effectExtent l="0" t="0" r="17145" b="10795"/>
            <wp:docPr id="4" name="图片 4" descr="sFig4_画板 1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Fig4_画板 1_画板 1"/>
                    <pic:cNvPicPr>
                      <a:picLocks noChangeAspect="1"/>
                    </pic:cNvPicPr>
                  </pic:nvPicPr>
                  <pic:blipFill>
                    <a:blip r:embed="rId7"/>
                    <a:stretch>
                      <a:fillRect/>
                    </a:stretch>
                  </pic:blipFill>
                  <pic:spPr>
                    <a:xfrm>
                      <a:off x="0" y="0"/>
                      <a:ext cx="5259705" cy="2961005"/>
                    </a:xfrm>
                    <a:prstGeom prst="rect">
                      <a:avLst/>
                    </a:prstGeom>
                  </pic:spPr>
                </pic:pic>
              </a:graphicData>
            </a:graphic>
          </wp:inline>
        </w:drawing>
      </w:r>
    </w:p>
    <w:p w14:paraId="42497CED">
      <w:pPr>
        <w:widowControl w:val="0"/>
        <w:numPr>
          <w:ilvl w:val="0"/>
          <w:numId w:val="0"/>
        </w:numPr>
        <w:jc w:val="both"/>
        <w:rPr>
          <w:rFonts w:hint="eastAsia"/>
          <w:lang w:eastAsia="zh-CN"/>
        </w:rPr>
      </w:pPr>
      <w:r>
        <w:rPr>
          <w:rFonts w:hint="eastAsia"/>
          <w:lang w:eastAsia="zh-CN"/>
        </w:rPr>
        <w:t>sFigure 4. Validation of ketogenic gene regulation and BDH1 expression dynamics</w:t>
      </w:r>
      <w:r>
        <w:rPr>
          <w:rFonts w:hint="eastAsia"/>
          <w:lang w:val="en-US" w:eastAsia="zh-CN"/>
        </w:rPr>
        <w:t>.</w:t>
      </w:r>
      <w:r>
        <w:rPr>
          <w:rFonts w:hint="eastAsia"/>
          <w:lang w:eastAsia="zh-CN"/>
        </w:rPr>
        <w:t xml:space="preserve"> </w:t>
      </w:r>
    </w:p>
    <w:p w14:paraId="659A6529">
      <w:pPr>
        <w:widowControl w:val="0"/>
        <w:numPr>
          <w:ilvl w:val="0"/>
          <w:numId w:val="0"/>
        </w:numPr>
        <w:jc w:val="both"/>
        <w:rPr>
          <w:rFonts w:hint="default"/>
          <w:lang w:val="en-US" w:eastAsia="zh-CN"/>
        </w:rPr>
      </w:pPr>
      <w:r>
        <w:rPr>
          <w:rFonts w:hint="eastAsia"/>
          <w:lang w:eastAsia="zh-CN"/>
        </w:rPr>
        <w:t>Relative mRNA expression of A</w:t>
      </w:r>
      <w:r>
        <w:rPr>
          <w:rFonts w:hint="eastAsia"/>
          <w:lang w:val="en-US" w:eastAsia="zh-CN"/>
        </w:rPr>
        <w:t>cat</w:t>
      </w:r>
      <w:r>
        <w:rPr>
          <w:rFonts w:hint="eastAsia"/>
          <w:lang w:eastAsia="zh-CN"/>
        </w:rPr>
        <w:t>1 and S</w:t>
      </w:r>
      <w:r>
        <w:rPr>
          <w:rFonts w:hint="eastAsia"/>
          <w:lang w:val="en-US" w:eastAsia="zh-CN"/>
        </w:rPr>
        <w:t>cot</w:t>
      </w:r>
      <w:r>
        <w:rPr>
          <w:rFonts w:hint="eastAsia"/>
          <w:lang w:eastAsia="zh-CN"/>
        </w:rPr>
        <w:t xml:space="preserve"> </w:t>
      </w:r>
      <w:r>
        <w:rPr>
          <w:rFonts w:hint="eastAsia"/>
          <w:lang w:val="en-US" w:eastAsia="zh-CN"/>
        </w:rPr>
        <w:t xml:space="preserve">and Bdh1 </w:t>
      </w:r>
      <w:r>
        <w:rPr>
          <w:rFonts w:hint="eastAsia"/>
          <w:lang w:eastAsia="zh-CN"/>
        </w:rPr>
        <w:t xml:space="preserve">in the brain </w:t>
      </w:r>
      <w:r>
        <w:rPr>
          <w:rFonts w:hint="eastAsia"/>
          <w:lang w:val="en-US" w:eastAsia="zh-CN"/>
        </w:rPr>
        <w:t>.</w:t>
      </w:r>
      <w:r>
        <w:rPr>
          <w:rFonts w:hint="eastAsia"/>
          <w:lang w:eastAsia="zh-CN"/>
        </w:rPr>
        <w:t xml:space="preserve"> (B) Western blot analysis of BDH1 protein levels in the ischemic brain at 1, 2, </w:t>
      </w:r>
      <w:r>
        <w:rPr>
          <w:rFonts w:hint="eastAsia"/>
          <w:lang w:val="en-US" w:eastAsia="zh-CN"/>
        </w:rPr>
        <w:t xml:space="preserve">and </w:t>
      </w:r>
      <w:r>
        <w:rPr>
          <w:rFonts w:hint="eastAsia"/>
          <w:lang w:eastAsia="zh-CN"/>
        </w:rPr>
        <w:t>4</w:t>
      </w:r>
      <w:r>
        <w:rPr>
          <w:rFonts w:hint="eastAsia"/>
          <w:lang w:val="en-US" w:eastAsia="zh-CN"/>
        </w:rPr>
        <w:t xml:space="preserve"> </w:t>
      </w:r>
      <w:r>
        <w:rPr>
          <w:rFonts w:hint="eastAsia"/>
          <w:lang w:eastAsia="zh-CN"/>
        </w:rPr>
        <w:t>days post</w:t>
      </w:r>
      <w:r>
        <w:rPr>
          <w:rFonts w:hint="eastAsia"/>
          <w:lang w:val="en-US" w:eastAsia="zh-CN"/>
        </w:rPr>
        <w:t>-</w:t>
      </w:r>
      <w:r>
        <w:rPr>
          <w:rFonts w:hint="eastAsia"/>
          <w:lang w:eastAsia="zh-CN"/>
        </w:rPr>
        <w:t>I/R, illustrating the acute suppression and gradual recovery of BDH1. (C) Cell viability of astrocytes cultured in 5.25, 3.5, and 1.75 mM low</w:t>
      </w:r>
      <w:r>
        <w:rPr>
          <w:rFonts w:hint="eastAsia"/>
          <w:lang w:val="en-US" w:eastAsia="zh-CN"/>
        </w:rPr>
        <w:t>-</w:t>
      </w:r>
      <w:r>
        <w:rPr>
          <w:rFonts w:hint="eastAsia"/>
          <w:lang w:eastAsia="zh-CN"/>
        </w:rPr>
        <w:t>glucose serum</w:t>
      </w:r>
      <w:r>
        <w:rPr>
          <w:rFonts w:hint="eastAsia"/>
          <w:lang w:val="en-US" w:eastAsia="zh-CN"/>
        </w:rPr>
        <w:t>-</w:t>
      </w:r>
      <w:r>
        <w:rPr>
          <w:rFonts w:hint="eastAsia"/>
          <w:lang w:eastAsia="zh-CN"/>
        </w:rPr>
        <w:t>free medium for 12 h, and at 12, 24, and 48 h (n = 5). (D) qPCR analysis of glucose and lipid transport‑related genes (C</w:t>
      </w:r>
      <w:r>
        <w:rPr>
          <w:rFonts w:hint="eastAsia"/>
          <w:lang w:val="en-US" w:eastAsia="zh-CN"/>
        </w:rPr>
        <w:t>pt</w:t>
      </w:r>
      <w:r>
        <w:rPr>
          <w:rFonts w:hint="eastAsia"/>
          <w:lang w:eastAsia="zh-CN"/>
        </w:rPr>
        <w:t>1, C</w:t>
      </w:r>
      <w:r>
        <w:rPr>
          <w:rFonts w:hint="eastAsia"/>
          <w:lang w:val="en-US" w:eastAsia="zh-CN"/>
        </w:rPr>
        <w:t>pt</w:t>
      </w:r>
      <w:r>
        <w:rPr>
          <w:rFonts w:hint="eastAsia"/>
          <w:lang w:eastAsia="zh-CN"/>
        </w:rPr>
        <w:t>2, P</w:t>
      </w:r>
      <w:r>
        <w:rPr>
          <w:rFonts w:hint="eastAsia"/>
          <w:lang w:val="en-US" w:eastAsia="zh-CN"/>
        </w:rPr>
        <w:t>gc-</w:t>
      </w:r>
      <w:r>
        <w:rPr>
          <w:rFonts w:hint="eastAsia"/>
          <w:lang w:eastAsia="zh-CN"/>
        </w:rPr>
        <w:t>1</w:t>
      </w:r>
      <w:r>
        <w:rPr>
          <w:rFonts w:hint="default" w:ascii="Times New Roman" w:hAnsi="Times New Roman" w:cs="Times New Roman"/>
          <w:lang w:eastAsia="zh-CN"/>
        </w:rPr>
        <w:t>α</w:t>
      </w:r>
      <w:r>
        <w:rPr>
          <w:rFonts w:hint="eastAsia"/>
          <w:lang w:eastAsia="zh-CN"/>
        </w:rPr>
        <w:t>, G</w:t>
      </w:r>
      <w:r>
        <w:rPr>
          <w:rFonts w:hint="eastAsia"/>
          <w:lang w:val="en-US" w:eastAsia="zh-CN"/>
        </w:rPr>
        <w:t>lut</w:t>
      </w:r>
      <w:r>
        <w:rPr>
          <w:rFonts w:hint="eastAsia"/>
          <w:lang w:eastAsia="zh-CN"/>
        </w:rPr>
        <w:t>3) in astrocytes (n = 5). (E) Relative mRNA expression of ketone body</w:t>
      </w:r>
      <w:r>
        <w:rPr>
          <w:rFonts w:hint="eastAsia"/>
          <w:lang w:val="en-US" w:eastAsia="zh-CN"/>
        </w:rPr>
        <w:t>-</w:t>
      </w:r>
      <w:r>
        <w:rPr>
          <w:rFonts w:hint="eastAsia"/>
          <w:lang w:eastAsia="zh-CN"/>
        </w:rPr>
        <w:t>related genes (A</w:t>
      </w:r>
      <w:r>
        <w:rPr>
          <w:rFonts w:hint="eastAsia"/>
          <w:lang w:val="en-US" w:eastAsia="zh-CN"/>
        </w:rPr>
        <w:t>cat</w:t>
      </w:r>
      <w:r>
        <w:rPr>
          <w:rFonts w:hint="eastAsia"/>
          <w:lang w:eastAsia="zh-CN"/>
        </w:rPr>
        <w:t>1, S</w:t>
      </w:r>
      <w:r>
        <w:rPr>
          <w:rFonts w:hint="eastAsia"/>
          <w:lang w:val="en-US" w:eastAsia="zh-CN"/>
        </w:rPr>
        <w:t>cot</w:t>
      </w:r>
      <w:r>
        <w:rPr>
          <w:rFonts w:hint="eastAsia"/>
          <w:lang w:eastAsia="zh-CN"/>
        </w:rPr>
        <w:t>, B</w:t>
      </w:r>
      <w:r>
        <w:rPr>
          <w:rFonts w:hint="eastAsia"/>
          <w:lang w:val="en-US" w:eastAsia="zh-CN"/>
        </w:rPr>
        <w:t>dh</w:t>
      </w:r>
      <w:r>
        <w:rPr>
          <w:rFonts w:hint="eastAsia"/>
          <w:lang w:eastAsia="zh-CN"/>
        </w:rPr>
        <w:t>1) in astrocytes</w:t>
      </w:r>
      <w:r>
        <w:rPr>
          <w:rFonts w:hint="eastAsia"/>
          <w:lang w:val="en-US" w:eastAsia="zh-CN"/>
        </w:rPr>
        <w:t>.</w:t>
      </w:r>
      <w:r>
        <w:rPr>
          <w:rFonts w:hint="eastAsia"/>
          <w:lang w:eastAsia="zh-CN"/>
        </w:rPr>
        <w:t>(n = 5). (F) Representative western blot densitometric quantification of BDH1 protein levels in primary astrocytes</w:t>
      </w:r>
      <w:r>
        <w:rPr>
          <w:rFonts w:hint="eastAsia"/>
          <w:lang w:val="en-US" w:eastAsia="zh-CN"/>
        </w:rPr>
        <w:t>.</w:t>
      </w:r>
      <w:r>
        <w:rPr>
          <w:rFonts w:hint="eastAsia"/>
          <w:lang w:eastAsia="zh-CN"/>
        </w:rPr>
        <w:t xml:space="preserve"> (G) Immunofluorescence co</w:t>
      </w:r>
      <w:r>
        <w:rPr>
          <w:rFonts w:hint="eastAsia"/>
          <w:lang w:val="en-US" w:eastAsia="zh-CN"/>
        </w:rPr>
        <w:t>-</w:t>
      </w:r>
      <w:r>
        <w:rPr>
          <w:rFonts w:hint="eastAsia"/>
          <w:lang w:eastAsia="zh-CN"/>
        </w:rPr>
        <w:t xml:space="preserve">staining for BDH1 (red) and GFAP (green) in astrocytes with quantification of BDH1 fluorescence intensity in GFAP⁺ cells. Scale bar, 50 </w:t>
      </w:r>
      <w:r>
        <w:rPr>
          <w:rFonts w:hint="default" w:ascii="Times New Roman" w:hAnsi="Times New Roman" w:cs="Times New Roman"/>
          <w:lang w:eastAsia="zh-CN"/>
        </w:rPr>
        <w:t>μ</w:t>
      </w:r>
      <w:r>
        <w:rPr>
          <w:rFonts w:hint="eastAsia"/>
          <w:lang w:eastAsia="zh-CN"/>
        </w:rPr>
        <w:t>m.(n=5)</w:t>
      </w:r>
      <w:r>
        <w:rPr>
          <w:rFonts w:hint="eastAsia"/>
          <w:lang w:val="en-US" w:eastAsia="zh-CN"/>
        </w:rPr>
        <w:t>.</w:t>
      </w:r>
      <w:r>
        <w:rPr>
          <w:rFonts w:hint="default" w:ascii="Times New Roman" w:hAnsi="Times New Roman" w:eastAsia="宋体" w:cs="Times New Roman"/>
          <w:i/>
          <w:iCs/>
          <w:kern w:val="2"/>
          <w:sz w:val="24"/>
          <w:szCs w:val="24"/>
          <w:lang w:val="en-US" w:eastAsia="zh-CN" w:bidi="ar"/>
        </w:rPr>
        <w:t xml:space="preserve"> </w:t>
      </w:r>
      <w:r>
        <w:rPr>
          <w:rFonts w:hint="default" w:ascii="Times New Roman" w:hAnsi="Times New Roman" w:eastAsia="宋体" w:cs="Times New Roman"/>
          <w:i/>
          <w:iCs/>
          <w:kern w:val="2"/>
          <w:sz w:val="24"/>
          <w:szCs w:val="24"/>
          <w:vertAlign w:val="superscript"/>
          <w:lang w:val="en-US" w:eastAsia="zh-CN" w:bidi="ar"/>
        </w:rPr>
        <w:t>**</w:t>
      </w:r>
      <w:r>
        <w:rPr>
          <w:rFonts w:hint="default" w:ascii="Times New Roman" w:hAnsi="Times New Roman" w:eastAsia="宋体" w:cs="Times New Roman"/>
          <w:i/>
          <w:iCs/>
          <w:kern w:val="2"/>
          <w:sz w:val="24"/>
          <w:szCs w:val="24"/>
          <w:lang w:val="en-US" w:eastAsia="zh-CN" w:bidi="ar"/>
        </w:rPr>
        <w:t xml:space="preserve">P&lt;0.01; </w:t>
      </w:r>
      <w:r>
        <w:rPr>
          <w:rFonts w:hint="default" w:ascii="Times New Roman" w:hAnsi="Times New Roman" w:eastAsia="宋体" w:cs="Times New Roman"/>
          <w:i/>
          <w:iCs/>
          <w:kern w:val="2"/>
          <w:sz w:val="24"/>
          <w:szCs w:val="24"/>
          <w:vertAlign w:val="superscript"/>
          <w:lang w:val="en-US" w:eastAsia="zh-CN" w:bidi="ar"/>
        </w:rPr>
        <w:t>***</w:t>
      </w:r>
      <w:r>
        <w:rPr>
          <w:rFonts w:hint="default" w:ascii="Times New Roman" w:hAnsi="Times New Roman" w:eastAsia="宋体" w:cs="Times New Roman"/>
          <w:i/>
          <w:iCs/>
          <w:kern w:val="2"/>
          <w:sz w:val="24"/>
          <w:szCs w:val="24"/>
          <w:lang w:val="en-US" w:eastAsia="zh-CN" w:bidi="ar"/>
        </w:rPr>
        <w:t>P&lt;0.001</w:t>
      </w:r>
      <w:r>
        <w:rPr>
          <w:rFonts w:hint="default" w:ascii="Times New Roman" w:hAnsi="Times New Roman" w:eastAsia="宋体" w:cs="Times New Roman"/>
          <w:kern w:val="2"/>
          <w:sz w:val="24"/>
          <w:szCs w:val="24"/>
          <w:lang w:val="en-US" w:eastAsia="zh-CN" w:bidi="ar"/>
        </w:rPr>
        <w:t>;</w:t>
      </w:r>
      <w:r>
        <w:rPr>
          <w:rFonts w:hint="default" w:ascii="Times New Roman" w:hAnsi="Times New Roman" w:eastAsia="宋体" w:cs="Times New Roman"/>
          <w:kern w:val="2"/>
          <w:sz w:val="24"/>
          <w:szCs w:val="24"/>
          <w:vertAlign w:val="superscript"/>
          <w:lang w:val="en-US" w:eastAsia="zh-CN" w:bidi="ar"/>
        </w:rPr>
        <w:t>##</w:t>
      </w:r>
      <w:r>
        <w:rPr>
          <w:rFonts w:hint="default" w:ascii="Times New Roman" w:hAnsi="Times New Roman" w:eastAsia="宋体" w:cs="Times New Roman"/>
          <w:i/>
          <w:iCs/>
          <w:kern w:val="2"/>
          <w:sz w:val="24"/>
          <w:szCs w:val="24"/>
          <w:lang w:val="en-US" w:eastAsia="zh-CN" w:bidi="ar"/>
        </w:rPr>
        <w:t xml:space="preserve">P&lt;0.01; </w:t>
      </w:r>
      <w:r>
        <w:rPr>
          <w:rFonts w:hint="default" w:ascii="Times New Roman" w:hAnsi="Times New Roman" w:eastAsia="宋体" w:cs="Times New Roman"/>
          <w:i/>
          <w:iCs/>
          <w:kern w:val="2"/>
          <w:sz w:val="24"/>
          <w:szCs w:val="24"/>
          <w:vertAlign w:val="superscript"/>
          <w:lang w:val="en-US" w:eastAsia="zh-CN" w:bidi="ar"/>
        </w:rPr>
        <w:t>###</w:t>
      </w:r>
      <w:r>
        <w:rPr>
          <w:rFonts w:hint="default" w:ascii="Times New Roman" w:hAnsi="Times New Roman" w:eastAsia="宋体" w:cs="Times New Roman"/>
          <w:i/>
          <w:iCs/>
          <w:kern w:val="2"/>
          <w:sz w:val="24"/>
          <w:szCs w:val="24"/>
          <w:lang w:val="en-US" w:eastAsia="zh-CN" w:bidi="ar"/>
        </w:rPr>
        <w:t>P&lt;0.001</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Mean</w:t>
      </w:r>
      <w:r>
        <w:rPr>
          <w:rFonts w:hint="eastAsia" w:ascii="宋体" w:hAnsi="宋体" w:eastAsia="宋体" w:cs="宋体"/>
          <w:kern w:val="2"/>
          <w:sz w:val="24"/>
          <w:szCs w:val="24"/>
          <w:lang w:val="en-US" w:eastAsia="zh-CN" w:bidi="ar"/>
        </w:rPr>
        <w:t>±</w:t>
      </w:r>
      <w:r>
        <w:rPr>
          <w:rFonts w:hint="default" w:ascii="Times New Roman" w:hAnsi="Times New Roman" w:eastAsia="宋体" w:cs="Times New Roman"/>
          <w:kern w:val="2"/>
          <w:sz w:val="24"/>
          <w:szCs w:val="24"/>
          <w:lang w:val="en-US" w:eastAsia="zh-CN" w:bidi="ar"/>
        </w:rPr>
        <w:t>SEM, T-test,One-way ANOWA, Two-way ANOWA.</w:t>
      </w:r>
    </w:p>
    <w:p w14:paraId="39738E5B">
      <w:pPr>
        <w:widowControl w:val="0"/>
        <w:numPr>
          <w:ilvl w:val="0"/>
          <w:numId w:val="0"/>
        </w:numPr>
        <w:jc w:val="both"/>
        <w:rPr>
          <w:rFonts w:hint="eastAsia"/>
          <w:lang w:eastAsia="zh-CN"/>
        </w:rPr>
      </w:pPr>
      <w:r>
        <w:rPr>
          <w:rFonts w:hint="eastAsia"/>
          <w:lang w:eastAsia="zh-CN"/>
        </w:rPr>
        <w:drawing>
          <wp:inline distT="0" distB="0" distL="114300" distR="114300">
            <wp:extent cx="5266690" cy="2195195"/>
            <wp:effectExtent l="0" t="0" r="10160" b="14605"/>
            <wp:docPr id="5" name="图片 5" descr="sFig5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Fig5_画板 1"/>
                    <pic:cNvPicPr>
                      <a:picLocks noChangeAspect="1"/>
                    </pic:cNvPicPr>
                  </pic:nvPicPr>
                  <pic:blipFill>
                    <a:blip r:embed="rId8"/>
                    <a:stretch>
                      <a:fillRect/>
                    </a:stretch>
                  </pic:blipFill>
                  <pic:spPr>
                    <a:xfrm>
                      <a:off x="0" y="0"/>
                      <a:ext cx="5266690" cy="2195195"/>
                    </a:xfrm>
                    <a:prstGeom prst="rect">
                      <a:avLst/>
                    </a:prstGeom>
                  </pic:spPr>
                </pic:pic>
              </a:graphicData>
            </a:graphic>
          </wp:inline>
        </w:drawing>
      </w:r>
    </w:p>
    <w:p w14:paraId="6210B9AF">
      <w:pPr>
        <w:widowControl w:val="0"/>
        <w:numPr>
          <w:ilvl w:val="0"/>
          <w:numId w:val="0"/>
        </w:numPr>
        <w:jc w:val="both"/>
        <w:rPr>
          <w:rFonts w:hint="eastAsia"/>
          <w:lang w:eastAsia="zh-CN"/>
        </w:rPr>
      </w:pPr>
    </w:p>
    <w:p w14:paraId="6A87C9E4">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4"/>
          <w:szCs w:val="24"/>
        </w:rPr>
      </w:pPr>
      <w:r>
        <w:rPr>
          <w:rFonts w:hint="eastAsia"/>
          <w:lang w:eastAsia="zh-CN"/>
        </w:rPr>
        <w:t xml:space="preserve">sFigure </w:t>
      </w:r>
      <w:r>
        <w:rPr>
          <w:rFonts w:hint="eastAsia"/>
          <w:lang w:val="en-US" w:eastAsia="zh-CN"/>
        </w:rPr>
        <w:t>5</w:t>
      </w:r>
      <w:r>
        <w:rPr>
          <w:rFonts w:hint="eastAsia"/>
          <w:lang w:eastAsia="zh-CN"/>
        </w:rPr>
        <w:t xml:space="preserve"> (A) Western blot analysis of BDH1 protein levels in astrocytes subjected to OGD for </w:t>
      </w:r>
      <w:r>
        <w:rPr>
          <w:rFonts w:hint="eastAsia"/>
          <w:lang w:val="en-US" w:eastAsia="zh-CN"/>
        </w:rPr>
        <w:t>0.5</w:t>
      </w:r>
      <w:r>
        <w:rPr>
          <w:rFonts w:hint="eastAsia"/>
          <w:lang w:eastAsia="zh-CN"/>
        </w:rPr>
        <w:t>, 2, 4, and 6 h</w:t>
      </w:r>
      <w:r>
        <w:rPr>
          <w:rFonts w:hint="eastAsia"/>
          <w:lang w:val="en-US" w:eastAsia="zh-CN"/>
        </w:rPr>
        <w:t xml:space="preserve">. </w:t>
      </w:r>
      <w:r>
        <w:rPr>
          <w:rFonts w:hint="eastAsia"/>
          <w:lang w:eastAsia="zh-CN"/>
        </w:rPr>
        <w:t>(B</w:t>
      </w:r>
      <w:r>
        <w:rPr>
          <w:rFonts w:hint="eastAsia"/>
          <w:lang w:val="en-US" w:eastAsia="zh-CN"/>
        </w:rPr>
        <w:t>-</w:t>
      </w:r>
      <w:r>
        <w:rPr>
          <w:rFonts w:hint="eastAsia"/>
          <w:lang w:eastAsia="zh-CN"/>
        </w:rPr>
        <w:t>D) BDH1 expression in neurons(B), brain endothelial cells(C),and</w:t>
      </w:r>
      <w:r>
        <w:rPr>
          <w:rFonts w:hint="eastAsia"/>
          <w:lang w:val="en-US" w:eastAsia="zh-CN"/>
        </w:rPr>
        <w:t xml:space="preserve"> </w:t>
      </w:r>
      <w:r>
        <w:rPr>
          <w:rFonts w:hint="eastAsia"/>
          <w:lang w:eastAsia="zh-CN"/>
        </w:rPr>
        <w:t>microglia</w:t>
      </w:r>
      <w:r>
        <w:rPr>
          <w:rFonts w:hint="eastAsia"/>
          <w:lang w:val="en-US" w:eastAsia="zh-CN"/>
        </w:rPr>
        <w:t xml:space="preserve"> </w:t>
      </w:r>
      <w:r>
        <w:rPr>
          <w:rFonts w:hint="eastAsia"/>
          <w:lang w:eastAsia="zh-CN"/>
        </w:rPr>
        <w:t>(D)</w:t>
      </w:r>
      <w:r>
        <w:rPr>
          <w:rFonts w:hint="eastAsia"/>
          <w:lang w:val="en-US" w:eastAsia="zh-CN"/>
        </w:rPr>
        <w:t xml:space="preserve">. </w:t>
      </w:r>
      <w:r>
        <w:rPr>
          <w:rFonts w:hint="default" w:ascii="Times New Roman" w:hAnsi="Times New Roman" w:eastAsia="宋体" w:cs="Times New Roman"/>
          <w:i/>
          <w:iCs/>
          <w:kern w:val="2"/>
          <w:sz w:val="24"/>
          <w:szCs w:val="24"/>
          <w:vertAlign w:val="superscript"/>
          <w:lang w:val="en-US" w:eastAsia="zh-CN" w:bidi="ar"/>
        </w:rPr>
        <w:t>***</w:t>
      </w:r>
      <w:r>
        <w:rPr>
          <w:rFonts w:hint="default" w:ascii="Times New Roman" w:hAnsi="Times New Roman" w:eastAsia="宋体" w:cs="Times New Roman"/>
          <w:i/>
          <w:iCs/>
          <w:kern w:val="2"/>
          <w:sz w:val="24"/>
          <w:szCs w:val="24"/>
          <w:lang w:val="en-US" w:eastAsia="zh-CN" w:bidi="ar"/>
        </w:rPr>
        <w:t>P&lt;0.001</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Mean</w:t>
      </w:r>
      <w:r>
        <w:rPr>
          <w:rFonts w:hint="eastAsia" w:ascii="宋体" w:hAnsi="宋体" w:eastAsia="宋体" w:cs="宋体"/>
          <w:kern w:val="2"/>
          <w:sz w:val="24"/>
          <w:szCs w:val="24"/>
          <w:lang w:val="en-US" w:eastAsia="zh-CN" w:bidi="ar"/>
        </w:rPr>
        <w:t>±</w:t>
      </w:r>
      <w:r>
        <w:rPr>
          <w:rFonts w:hint="default" w:ascii="Times New Roman" w:hAnsi="Times New Roman" w:eastAsia="宋体" w:cs="Times New Roman"/>
          <w:kern w:val="2"/>
          <w:sz w:val="24"/>
          <w:szCs w:val="24"/>
          <w:lang w:val="en-US" w:eastAsia="zh-CN" w:bidi="ar"/>
        </w:rPr>
        <w:t>SEM, T-test,One-way ANOWA, Two-way ANOWA.</w:t>
      </w:r>
    </w:p>
    <w:p w14:paraId="2E511BA7">
      <w:pPr>
        <w:widowControl w:val="0"/>
        <w:numPr>
          <w:ilvl w:val="0"/>
          <w:numId w:val="0"/>
        </w:numPr>
        <w:jc w:val="both"/>
        <w:rPr>
          <w:rFonts w:hint="eastAsia"/>
          <w:lang w:val="en-US" w:eastAsia="zh-CN"/>
        </w:rPr>
      </w:pPr>
    </w:p>
    <w:p w14:paraId="08A949D6">
      <w:pPr>
        <w:widowControl w:val="0"/>
        <w:numPr>
          <w:ilvl w:val="0"/>
          <w:numId w:val="0"/>
        </w:numPr>
        <w:jc w:val="both"/>
        <w:rPr>
          <w:rFonts w:hint="eastAsia"/>
          <w:lang w:val="en-US" w:eastAsia="zh-CN"/>
        </w:rPr>
      </w:pPr>
      <w:r>
        <w:rPr>
          <w:rFonts w:hint="eastAsia"/>
          <w:lang w:val="en-US" w:eastAsia="zh-CN"/>
        </w:rPr>
        <w:drawing>
          <wp:inline distT="0" distB="0" distL="114300" distR="114300">
            <wp:extent cx="5271135" cy="5470525"/>
            <wp:effectExtent l="0" t="0" r="5715" b="15875"/>
            <wp:docPr id="9" name="图片 9" descr="sFig6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Fig6_画板 1"/>
                    <pic:cNvPicPr>
                      <a:picLocks noChangeAspect="1"/>
                    </pic:cNvPicPr>
                  </pic:nvPicPr>
                  <pic:blipFill>
                    <a:blip r:embed="rId9"/>
                    <a:stretch>
                      <a:fillRect/>
                    </a:stretch>
                  </pic:blipFill>
                  <pic:spPr>
                    <a:xfrm>
                      <a:off x="0" y="0"/>
                      <a:ext cx="5271135" cy="5470525"/>
                    </a:xfrm>
                    <a:prstGeom prst="rect">
                      <a:avLst/>
                    </a:prstGeom>
                  </pic:spPr>
                </pic:pic>
              </a:graphicData>
            </a:graphic>
          </wp:inline>
        </w:drawing>
      </w:r>
    </w:p>
    <w:p w14:paraId="09C09D4F">
      <w:pPr>
        <w:widowControl w:val="0"/>
        <w:numPr>
          <w:ilvl w:val="0"/>
          <w:numId w:val="0"/>
        </w:numPr>
        <w:jc w:val="both"/>
        <w:rPr>
          <w:rFonts w:hint="eastAsia"/>
          <w:lang w:eastAsia="zh-CN"/>
        </w:rPr>
      </w:pPr>
    </w:p>
    <w:p w14:paraId="66B8254C">
      <w:pPr>
        <w:widowControl w:val="0"/>
        <w:numPr>
          <w:ilvl w:val="0"/>
          <w:numId w:val="0"/>
        </w:numPr>
        <w:jc w:val="both"/>
        <w:rPr>
          <w:rFonts w:hint="eastAsia"/>
          <w:lang w:eastAsia="zh-CN"/>
        </w:rPr>
      </w:pPr>
    </w:p>
    <w:p w14:paraId="38885B73">
      <w:pPr>
        <w:widowControl w:val="0"/>
        <w:numPr>
          <w:ilvl w:val="0"/>
          <w:numId w:val="0"/>
        </w:numPr>
        <w:jc w:val="both"/>
        <w:rPr>
          <w:rFonts w:hint="default" w:ascii="Times New Roman" w:hAnsi="Times New Roman" w:eastAsia="宋体" w:cs="Times New Roman"/>
          <w:kern w:val="2"/>
          <w:sz w:val="24"/>
          <w:szCs w:val="24"/>
        </w:rPr>
      </w:pPr>
      <w:r>
        <w:rPr>
          <w:rFonts w:hint="eastAsia"/>
          <w:lang w:eastAsia="zh-CN"/>
        </w:rPr>
        <w:t>sFigure 6.(</w:t>
      </w:r>
      <w:r>
        <w:rPr>
          <w:rFonts w:hint="eastAsia"/>
          <w:lang w:val="en-US" w:eastAsia="zh-CN"/>
        </w:rPr>
        <w:t>a</w:t>
      </w:r>
      <w:r>
        <w:rPr>
          <w:rFonts w:hint="eastAsia"/>
          <w:lang w:eastAsia="zh-CN"/>
        </w:rPr>
        <w:t>) Western blot validation of BDH1 knockdown efficiency. (</w:t>
      </w:r>
      <w:r>
        <w:rPr>
          <w:rFonts w:hint="eastAsia"/>
          <w:lang w:val="en-US" w:eastAsia="zh-CN"/>
        </w:rPr>
        <w:t>B</w:t>
      </w:r>
      <w:r>
        <w:rPr>
          <w:rFonts w:hint="eastAsia"/>
          <w:lang w:eastAsia="zh-CN"/>
        </w:rPr>
        <w:t xml:space="preserve">) Western blot analysis and quantification of cleaved Caspase‑3 and Bax protein levels in astrocytes </w:t>
      </w:r>
      <w:bookmarkStart w:id="0" w:name="_GoBack"/>
      <w:r>
        <w:rPr>
          <w:rFonts w:hint="eastAsia"/>
          <w:lang w:eastAsia="zh-CN"/>
        </w:rPr>
        <w:t>(C) Western blot confirmation of mitochondrial protein isolation purity from astrocytes. (D) Western blot analysis of cleaved Caspase</w:t>
      </w:r>
      <w:r>
        <w:rPr>
          <w:rFonts w:hint="eastAsia"/>
          <w:lang w:val="en-US" w:eastAsia="zh-CN"/>
        </w:rPr>
        <w:t>-</w:t>
      </w:r>
      <w:r>
        <w:rPr>
          <w:rFonts w:hint="eastAsia"/>
          <w:lang w:eastAsia="zh-CN"/>
        </w:rPr>
        <w:t>3, Bax, and Bcl</w:t>
      </w:r>
      <w:r>
        <w:rPr>
          <w:rFonts w:hint="eastAsia"/>
          <w:lang w:val="en-US" w:eastAsia="zh-CN"/>
        </w:rPr>
        <w:t>-</w:t>
      </w:r>
      <w:r>
        <w:rPr>
          <w:rFonts w:hint="eastAsia"/>
          <w:lang w:eastAsia="zh-CN"/>
        </w:rPr>
        <w:t>2 in mitochondrial fractions</w:t>
      </w:r>
      <w:r>
        <w:rPr>
          <w:rFonts w:hint="eastAsia"/>
          <w:lang w:val="en-US" w:eastAsia="zh-CN"/>
        </w:rPr>
        <w:t>.</w:t>
      </w:r>
      <w:r>
        <w:rPr>
          <w:rFonts w:hint="eastAsia" w:eastAsiaTheme="minorEastAsia"/>
          <w:lang w:eastAsia="zh-CN"/>
        </w:rPr>
        <w:t>(n =</w:t>
      </w:r>
      <w:r>
        <w:rPr>
          <w:rFonts w:hint="eastAsia"/>
          <w:lang w:val="en-US" w:eastAsia="zh-CN"/>
        </w:rPr>
        <w:t>4</w:t>
      </w:r>
      <w:r>
        <w:rPr>
          <w:rFonts w:hint="eastAsia" w:eastAsiaTheme="minorEastAsia"/>
          <w:lang w:eastAsia="zh-CN"/>
        </w:rPr>
        <w:t>)</w:t>
      </w:r>
      <w:bookmarkEnd w:id="0"/>
      <w:r>
        <w:rPr>
          <w:rFonts w:hint="eastAsia"/>
          <w:lang w:eastAsia="zh-CN"/>
        </w:rPr>
        <w:t xml:space="preserve"> (E) Immunofluorescence co</w:t>
      </w:r>
      <w:r>
        <w:rPr>
          <w:rFonts w:hint="eastAsia"/>
          <w:lang w:val="en-US" w:eastAsia="zh-CN"/>
        </w:rPr>
        <w:t>-</w:t>
      </w:r>
      <w:r>
        <w:rPr>
          <w:rFonts w:hint="eastAsia"/>
          <w:lang w:eastAsia="zh-CN"/>
        </w:rPr>
        <w:t>localization of GFAP, TOM20, and Bax or cleaved Caspase</w:t>
      </w:r>
      <w:r>
        <w:rPr>
          <w:rFonts w:hint="eastAsia"/>
          <w:lang w:val="en-US" w:eastAsia="zh-CN"/>
        </w:rPr>
        <w:t>-</w:t>
      </w:r>
      <w:r>
        <w:rPr>
          <w:rFonts w:hint="eastAsia"/>
          <w:lang w:eastAsia="zh-CN"/>
        </w:rPr>
        <w:t xml:space="preserve">3with quantification </w:t>
      </w:r>
      <w:r>
        <w:rPr>
          <w:rFonts w:hint="eastAsia" w:eastAsiaTheme="minorEastAsia"/>
          <w:lang w:eastAsia="zh-CN"/>
        </w:rPr>
        <w:t>(n =</w:t>
      </w:r>
      <w:r>
        <w:rPr>
          <w:rFonts w:hint="eastAsia"/>
          <w:lang w:val="en-US" w:eastAsia="zh-CN"/>
        </w:rPr>
        <w:t>5</w:t>
      </w:r>
      <w:r>
        <w:rPr>
          <w:rFonts w:hint="eastAsia" w:eastAsiaTheme="minorEastAsia"/>
          <w:lang w:eastAsia="zh-CN"/>
        </w:rPr>
        <w:t xml:space="preserve">). </w:t>
      </w:r>
      <w:r>
        <w:rPr>
          <w:rFonts w:hint="eastAsia"/>
          <w:lang w:val="en-US" w:eastAsia="zh-CN"/>
        </w:rPr>
        <w:t>(F) Slfn2 Validation of Knockout Efficiency. (G)mNSS score evaluates the neurological function of mice(n=8).</w:t>
      </w:r>
      <w:r>
        <w:rPr>
          <w:rFonts w:hint="default" w:ascii="Times New Roman" w:hAnsi="Times New Roman" w:eastAsia="宋体" w:cs="Times New Roman"/>
          <w:kern w:val="2"/>
          <w:sz w:val="24"/>
          <w:szCs w:val="24"/>
          <w:vertAlign w:val="superscript"/>
          <w:lang w:val="en-US" w:eastAsia="zh-CN" w:bidi="ar"/>
        </w:rPr>
        <w:t>#</w:t>
      </w:r>
      <w:r>
        <w:rPr>
          <w:rFonts w:hint="default" w:ascii="Times New Roman" w:hAnsi="Times New Roman" w:eastAsia="宋体" w:cs="Times New Roman"/>
          <w:i/>
          <w:iCs/>
          <w:kern w:val="2"/>
          <w:sz w:val="24"/>
          <w:szCs w:val="24"/>
          <w:lang w:val="en-US" w:eastAsia="zh-CN" w:bidi="ar"/>
        </w:rPr>
        <w:t xml:space="preserve">P&lt;0.05; </w:t>
      </w:r>
      <w:r>
        <w:rPr>
          <w:rFonts w:hint="default" w:ascii="Times New Roman" w:hAnsi="Times New Roman" w:eastAsia="宋体" w:cs="Times New Roman"/>
          <w:i/>
          <w:iCs/>
          <w:kern w:val="2"/>
          <w:sz w:val="24"/>
          <w:szCs w:val="24"/>
          <w:vertAlign w:val="superscript"/>
          <w:lang w:val="en-US" w:eastAsia="zh-CN" w:bidi="ar"/>
        </w:rPr>
        <w:t>*</w:t>
      </w:r>
      <w:r>
        <w:rPr>
          <w:rFonts w:hint="default" w:ascii="Times New Roman" w:hAnsi="Times New Roman" w:eastAsia="宋体" w:cs="Times New Roman"/>
          <w:i/>
          <w:iCs/>
          <w:kern w:val="2"/>
          <w:sz w:val="24"/>
          <w:szCs w:val="24"/>
          <w:lang w:val="en-US" w:eastAsia="zh-CN" w:bidi="ar"/>
        </w:rPr>
        <w:t xml:space="preserve">P&lt;0.05; </w:t>
      </w:r>
      <w:r>
        <w:rPr>
          <w:rFonts w:hint="default" w:ascii="Times New Roman" w:hAnsi="Times New Roman" w:eastAsia="宋体" w:cs="Times New Roman"/>
          <w:i/>
          <w:iCs/>
          <w:kern w:val="2"/>
          <w:sz w:val="24"/>
          <w:szCs w:val="24"/>
          <w:vertAlign w:val="superscript"/>
          <w:lang w:val="en-US" w:eastAsia="zh-CN" w:bidi="ar"/>
        </w:rPr>
        <w:t>**</w:t>
      </w:r>
      <w:r>
        <w:rPr>
          <w:rFonts w:hint="default" w:ascii="Times New Roman" w:hAnsi="Times New Roman" w:eastAsia="宋体" w:cs="Times New Roman"/>
          <w:i/>
          <w:iCs/>
          <w:kern w:val="2"/>
          <w:sz w:val="24"/>
          <w:szCs w:val="24"/>
          <w:lang w:val="en-US" w:eastAsia="zh-CN" w:bidi="ar"/>
        </w:rPr>
        <w:t xml:space="preserve">P&lt;0.01; </w:t>
      </w:r>
      <w:r>
        <w:rPr>
          <w:rFonts w:hint="default" w:ascii="Times New Roman" w:hAnsi="Times New Roman" w:eastAsia="宋体" w:cs="Times New Roman"/>
          <w:i/>
          <w:iCs/>
          <w:kern w:val="2"/>
          <w:sz w:val="24"/>
          <w:szCs w:val="24"/>
          <w:vertAlign w:val="superscript"/>
          <w:lang w:val="en-US" w:eastAsia="zh-CN" w:bidi="ar"/>
        </w:rPr>
        <w:t>***</w:t>
      </w:r>
      <w:r>
        <w:rPr>
          <w:rFonts w:hint="default" w:ascii="Times New Roman" w:hAnsi="Times New Roman" w:eastAsia="宋体" w:cs="Times New Roman"/>
          <w:i/>
          <w:iCs/>
          <w:kern w:val="2"/>
          <w:sz w:val="24"/>
          <w:szCs w:val="24"/>
          <w:lang w:val="en-US" w:eastAsia="zh-CN" w:bidi="ar"/>
        </w:rPr>
        <w:t>P&lt;0.001</w:t>
      </w:r>
      <w:r>
        <w:rPr>
          <w:rFonts w:hint="default" w:ascii="Times New Roman" w:hAnsi="Times New Roman" w:eastAsia="宋体" w:cs="Times New Roman"/>
          <w:kern w:val="2"/>
          <w:sz w:val="24"/>
          <w:szCs w:val="24"/>
          <w:lang w:val="en-US" w:eastAsia="zh-CN" w:bidi="ar"/>
        </w:rPr>
        <w:t>;</w:t>
      </w:r>
      <w:r>
        <w:rPr>
          <w:rFonts w:hint="default" w:ascii="Times New Roman" w:hAnsi="Times New Roman" w:eastAsia="宋体" w:cs="Times New Roman"/>
          <w:kern w:val="2"/>
          <w:sz w:val="24"/>
          <w:szCs w:val="24"/>
          <w:vertAlign w:val="superscript"/>
          <w:lang w:val="en-US" w:eastAsia="zh-CN" w:bidi="ar"/>
        </w:rPr>
        <w:t>##</w:t>
      </w:r>
      <w:r>
        <w:rPr>
          <w:rFonts w:hint="default" w:ascii="Times New Roman" w:hAnsi="Times New Roman" w:eastAsia="宋体" w:cs="Times New Roman"/>
          <w:i/>
          <w:iCs/>
          <w:kern w:val="2"/>
          <w:sz w:val="24"/>
          <w:szCs w:val="24"/>
          <w:lang w:val="en-US" w:eastAsia="zh-CN" w:bidi="ar"/>
        </w:rPr>
        <w:t xml:space="preserve">P&lt;0.01; </w:t>
      </w:r>
      <w:r>
        <w:rPr>
          <w:rFonts w:hint="default" w:ascii="Times New Roman" w:hAnsi="Times New Roman" w:eastAsia="宋体" w:cs="Times New Roman"/>
          <w:i/>
          <w:iCs/>
          <w:kern w:val="2"/>
          <w:sz w:val="24"/>
          <w:szCs w:val="24"/>
          <w:vertAlign w:val="superscript"/>
          <w:lang w:val="en-US" w:eastAsia="zh-CN" w:bidi="ar"/>
        </w:rPr>
        <w:t>###</w:t>
      </w:r>
      <w:r>
        <w:rPr>
          <w:rFonts w:hint="default" w:ascii="Times New Roman" w:hAnsi="Times New Roman" w:eastAsia="宋体" w:cs="Times New Roman"/>
          <w:i/>
          <w:iCs/>
          <w:kern w:val="2"/>
          <w:sz w:val="24"/>
          <w:szCs w:val="24"/>
          <w:lang w:val="en-US" w:eastAsia="zh-CN" w:bidi="ar"/>
        </w:rPr>
        <w:t>P&lt;0.001</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Mean</w:t>
      </w:r>
      <w:r>
        <w:rPr>
          <w:rFonts w:hint="eastAsia" w:ascii="宋体" w:hAnsi="宋体" w:eastAsia="宋体" w:cs="宋体"/>
          <w:kern w:val="2"/>
          <w:sz w:val="24"/>
          <w:szCs w:val="24"/>
          <w:lang w:val="en-US" w:eastAsia="zh-CN" w:bidi="ar"/>
        </w:rPr>
        <w:t>±</w:t>
      </w:r>
      <w:r>
        <w:rPr>
          <w:rFonts w:hint="default" w:ascii="Times New Roman" w:hAnsi="Times New Roman" w:eastAsia="宋体" w:cs="Times New Roman"/>
          <w:kern w:val="2"/>
          <w:sz w:val="24"/>
          <w:szCs w:val="24"/>
          <w:lang w:val="en-US" w:eastAsia="zh-CN" w:bidi="ar"/>
        </w:rPr>
        <w:t>SEM, T-test,One-way ANOWA, Two-way ANOWA.</w:t>
      </w:r>
    </w:p>
    <w:p w14:paraId="0902425D">
      <w:pPr>
        <w:widowControl w:val="0"/>
        <w:numPr>
          <w:ilvl w:val="0"/>
          <w:numId w:val="0"/>
        </w:numPr>
        <w:jc w:val="both"/>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6B0E27"/>
    <w:rsid w:val="056F2D4C"/>
    <w:rsid w:val="1DBC6511"/>
    <w:rsid w:val="3D883B84"/>
    <w:rsid w:val="486B0E27"/>
    <w:rsid w:val="4E6B25CD"/>
    <w:rsid w:val="57742555"/>
    <w:rsid w:val="57D427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cs="Times New Roman" w:eastAsiaTheme="minorEastAsia"/>
      <w:kern w:val="2"/>
      <w:sz w:val="24"/>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646</Words>
  <Characters>3813</Characters>
  <Lines>0</Lines>
  <Paragraphs>0</Paragraphs>
  <TotalTime>1</TotalTime>
  <ScaleCrop>false</ScaleCrop>
  <LinksUpToDate>false</LinksUpToDate>
  <CharactersWithSpaces>4434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2026-05-05T02:39:00Z</dcterms:created>
  <dc:creator>尹晗</dc:creator>
  <cp:lastModifiedBy>尹晗</cp:lastModifiedBy>
  <dcterms:modified xsi:type="dcterms:W3CDTF">2026-05-23T05:13:13Z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9BD58E1E21A14BBC9F356A538CDE2626_11</vt:lpwstr>
  </property>
  <property fmtid="{D5CDD505-2E9C-101B-9397-08002B2CF9AE}" pid="4" name="KSOTemplateDocerSaveRecord">
    <vt:lpwstr>eyJoZGlkIjoiMTIyY2E3ZDRlM2JjYzRiNDA0NTA3YWUxODA5MWY3NTkiLCJ1c2VySWQiOiI0MDMyMzI5NzAifQ==</vt:lpwstr>
  </property>
</Properties>
</file>