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6"/>
        <w:tblW w:w="5129" w:type="pct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45"/>
        <w:gridCol w:w="1665"/>
        <w:gridCol w:w="2304"/>
        <w:gridCol w:w="3228"/>
      </w:tblGrid>
      <w:tr w14:paraId="6FD68D8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883" w:type="pct"/>
            <w:tcBorders>
              <w:top w:val="single" w:color="auto" w:sz="12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9A3B673">
            <w:pPr>
              <w:pStyle w:val="5"/>
              <w:keepNext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/>
                <w:color w:val="auto"/>
                <w:highlight w:val="none"/>
              </w:rPr>
            </w:pPr>
            <w:r>
              <w:rPr>
                <w:rFonts w:hint="default" w:ascii="Times New Roman" w:hAnsi="Times New Roman" w:cs="Times New Roman"/>
                <w:b/>
                <w:color w:val="auto"/>
                <w:highlight w:val="none"/>
              </w:rPr>
              <w:t>Theme</w:t>
            </w:r>
          </w:p>
        </w:tc>
        <w:tc>
          <w:tcPr>
            <w:tcW w:w="952" w:type="pct"/>
            <w:tcBorders>
              <w:top w:val="single" w:color="auto" w:sz="12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AC2A6B7">
            <w:pPr>
              <w:pStyle w:val="5"/>
              <w:keepNext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/>
                <w:color w:val="auto"/>
                <w:highlight w:val="none"/>
              </w:rPr>
            </w:pPr>
            <w:r>
              <w:rPr>
                <w:rFonts w:hint="default" w:ascii="Times New Roman" w:hAnsi="Times New Roman" w:cs="Times New Roman"/>
                <w:b/>
                <w:color w:val="auto"/>
                <w:highlight w:val="none"/>
              </w:rPr>
              <w:t>Subtheme</w:t>
            </w:r>
            <w:bookmarkStart w:id="0" w:name="_GoBack"/>
            <w:bookmarkEnd w:id="0"/>
          </w:p>
        </w:tc>
        <w:tc>
          <w:tcPr>
            <w:tcW w:w="1317" w:type="pct"/>
            <w:tcBorders>
              <w:top w:val="single" w:color="auto" w:sz="12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A2DBAFA">
            <w:pPr>
              <w:pStyle w:val="5"/>
              <w:keepNext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/>
                <w:color w:val="auto"/>
                <w:highlight w:val="none"/>
              </w:rPr>
            </w:pPr>
            <w:r>
              <w:rPr>
                <w:rFonts w:hint="default" w:ascii="Times New Roman" w:hAnsi="Times New Roman" w:cs="Times New Roman"/>
                <w:b/>
                <w:color w:val="auto"/>
                <w:highlight w:val="none"/>
              </w:rPr>
              <w:t>Interpretation</w:t>
            </w:r>
          </w:p>
        </w:tc>
        <w:tc>
          <w:tcPr>
            <w:tcW w:w="1845" w:type="pct"/>
            <w:tcBorders>
              <w:top w:val="single" w:color="auto" w:sz="12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C4E7941">
            <w:pPr>
              <w:pStyle w:val="5"/>
              <w:keepNext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/>
                <w:color w:val="auto"/>
                <w:highlight w:val="none"/>
              </w:rPr>
            </w:pPr>
            <w:r>
              <w:rPr>
                <w:rFonts w:hint="default" w:ascii="Times New Roman" w:hAnsi="Times New Roman" w:cs="Times New Roman"/>
                <w:b/>
                <w:color w:val="auto"/>
                <w:highlight w:val="none"/>
              </w:rPr>
              <w:t>Illustrative quote</w:t>
            </w:r>
          </w:p>
        </w:tc>
      </w:tr>
      <w:tr w14:paraId="027FC65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83" w:type="pct"/>
            <w:vMerge w:val="restart"/>
            <w:tcBorders>
              <w:top w:val="single" w:color="auto" w:sz="4" w:space="0"/>
              <w:left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DC6B1EC">
            <w:pPr>
              <w:pStyle w:val="5"/>
              <w:keepNext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highlight w:val="none"/>
              </w:rPr>
              <w:t>Perceived benefits and engagement with the VR system</w:t>
            </w:r>
          </w:p>
        </w:tc>
        <w:tc>
          <w:tcPr>
            <w:tcW w:w="952" w:type="pct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7A2015F">
            <w:pPr>
              <w:pStyle w:val="5"/>
              <w:keepNext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highlight w:val="none"/>
              </w:rPr>
              <w:t>Contextual reorientation and treatment understanding</w:t>
            </w:r>
          </w:p>
        </w:tc>
        <w:tc>
          <w:tcPr>
            <w:tcW w:w="1317" w:type="pct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305B909">
            <w:pPr>
              <w:pStyle w:val="5"/>
              <w:keepNext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highlight w:val="none"/>
              </w:rPr>
              <w:t>The VR environment and educational content helped patients understand ICU equipment, alarms, and treatment procedures.</w:t>
            </w:r>
          </w:p>
        </w:tc>
        <w:tc>
          <w:tcPr>
            <w:tcW w:w="1845" w:type="pct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6C310BB">
            <w:pPr>
              <w:pStyle w:val="5"/>
              <w:keepNext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highlight w:val="none"/>
              </w:rPr>
              <w:t>H12: “I knew I was seriously ill but didn’t understand why my kidney stones landed me in the ICU. They mentioned ECMO, which I knew nothing about. The system showed me my treatment journey—how critical I was and what the ICU’s last-resort treatments meant. I’m grateful for the warm care from the medical team.”</w:t>
            </w:r>
          </w:p>
        </w:tc>
      </w:tr>
      <w:tr w14:paraId="72374AF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83" w:type="pct"/>
            <w:vMerge w:val="continue"/>
            <w:tcBorders>
              <w:left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F1F7C2C">
            <w:pPr>
              <w:pStyle w:val="5"/>
              <w:keepNext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</w:p>
        </w:tc>
        <w:tc>
          <w:tcPr>
            <w:tcW w:w="952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41FF49D">
            <w:pPr>
              <w:pStyle w:val="5"/>
              <w:keepNext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highlight w:val="none"/>
              </w:rPr>
              <w:t>Emotional reassurance and reduced fear</w:t>
            </w:r>
          </w:p>
        </w:tc>
        <w:tc>
          <w:tcPr>
            <w:tcW w:w="1317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287D0E2">
            <w:pPr>
              <w:pStyle w:val="5"/>
              <w:keepNext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highlight w:val="none"/>
              </w:rPr>
              <w:t>Patients described feeling less frightened when they could understand the ICU environment and receive supportive information.</w:t>
            </w:r>
          </w:p>
        </w:tc>
        <w:tc>
          <w:tcPr>
            <w:tcW w:w="1845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52D92AE">
            <w:pPr>
              <w:pStyle w:val="5"/>
              <w:keepNext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highlight w:val="none"/>
              </w:rPr>
              <w:t>H9: “It’s an experience for the eyes—it can heal your mind.”</w:t>
            </w:r>
          </w:p>
        </w:tc>
      </w:tr>
      <w:tr w14:paraId="4C16909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83" w:type="pct"/>
            <w:vMerge w:val="continue"/>
            <w:tcBorders>
              <w:left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79DDE89">
            <w:pPr>
              <w:pStyle w:val="5"/>
              <w:keepNext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</w:p>
        </w:tc>
        <w:tc>
          <w:tcPr>
            <w:tcW w:w="952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19EBBCE">
            <w:pPr>
              <w:pStyle w:val="5"/>
              <w:keepNext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highlight w:val="none"/>
              </w:rPr>
              <w:t>Novelty, enjoyment, and immersion</w:t>
            </w:r>
          </w:p>
        </w:tc>
        <w:tc>
          <w:tcPr>
            <w:tcW w:w="1317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68FF7FA">
            <w:pPr>
              <w:pStyle w:val="5"/>
              <w:keepNext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highlight w:val="none"/>
              </w:rPr>
              <w:t>The immersive and novel format increased engagement for some patients, although perceived realism varied.</w:t>
            </w:r>
          </w:p>
        </w:tc>
        <w:tc>
          <w:tcPr>
            <w:tcW w:w="1845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81D5365">
            <w:pPr>
              <w:pStyle w:val="5"/>
              <w:keepNext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highlight w:val="none"/>
              </w:rPr>
              <w:t>H11: “I’d seen it on the news—never expected to experience it myself during an illness.”</w:t>
            </w:r>
          </w:p>
        </w:tc>
      </w:tr>
      <w:tr w14:paraId="3092E37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83" w:type="pct"/>
            <w:vMerge w:val="continue"/>
            <w:tcBorders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79E6111">
            <w:pPr>
              <w:pStyle w:val="5"/>
              <w:keepNext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</w:p>
        </w:tc>
        <w:tc>
          <w:tcPr>
            <w:tcW w:w="952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3D56F6C">
            <w:pPr>
              <w:pStyle w:val="5"/>
              <w:keepNext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highlight w:val="none"/>
              </w:rPr>
              <w:t>Perceived realism of the virtual ICU</w:t>
            </w:r>
          </w:p>
        </w:tc>
        <w:tc>
          <w:tcPr>
            <w:tcW w:w="1317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D5B4D46">
            <w:pPr>
              <w:pStyle w:val="5"/>
              <w:keepNext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highlight w:val="none"/>
              </w:rPr>
              <w:t>Participants differed in whether the virtual ICU felt realistic, warm, or artificial.</w:t>
            </w:r>
          </w:p>
        </w:tc>
        <w:tc>
          <w:tcPr>
            <w:tcW w:w="1845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354C8B7">
            <w:pPr>
              <w:pStyle w:val="5"/>
              <w:keepNext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highlight w:val="none"/>
              </w:rPr>
              <w:t>H11: “Pretty good. Once I was in, I forgot about the outside world.”</w:t>
            </w:r>
          </w:p>
        </w:tc>
      </w:tr>
      <w:tr w14:paraId="6A4E4E4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83" w:type="pct"/>
            <w:vMerge w:val="restart"/>
            <w:tcBorders>
              <w:top w:val="nil"/>
              <w:left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B3388E8">
            <w:pPr>
              <w:pStyle w:val="5"/>
              <w:keepNext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 w:eastAsiaTheme="minorEastAsia"/>
                <w:color w:val="auto"/>
                <w:highlight w:val="none"/>
                <w:lang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highlight w:val="none"/>
              </w:rPr>
              <w:t>Factors influencing system use</w:t>
            </w:r>
          </w:p>
        </w:tc>
        <w:tc>
          <w:tcPr>
            <w:tcW w:w="952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B754751">
            <w:pPr>
              <w:pStyle w:val="5"/>
              <w:keepNext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highlight w:val="none"/>
              </w:rPr>
              <w:t>Age, education, and previous VR experience</w:t>
            </w:r>
          </w:p>
        </w:tc>
        <w:tc>
          <w:tcPr>
            <w:tcW w:w="1317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58042FF">
            <w:pPr>
              <w:pStyle w:val="5"/>
              <w:keepNext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highlight w:val="none"/>
              </w:rPr>
              <w:t>Participants perceived that younger people and those with previous VR experience might adapt more easily.</w:t>
            </w:r>
          </w:p>
        </w:tc>
        <w:tc>
          <w:tcPr>
            <w:tcW w:w="1845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5E5B710">
            <w:pPr>
              <w:pStyle w:val="5"/>
              <w:keepNext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highlight w:val="none"/>
              </w:rPr>
              <w:t>H1: “Personally, I think it’s more suitable for younger people. It’s novel and sparks curiosity. Since I’ve used VR before, I adapted quickly. Elderly users might need assistance.”</w:t>
            </w:r>
          </w:p>
        </w:tc>
      </w:tr>
      <w:tr w14:paraId="409B035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83" w:type="pct"/>
            <w:vMerge w:val="continue"/>
            <w:tcBorders>
              <w:left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6B9D158">
            <w:pPr>
              <w:pStyle w:val="5"/>
              <w:keepNext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</w:p>
        </w:tc>
        <w:tc>
          <w:tcPr>
            <w:tcW w:w="952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F5F0408">
            <w:pPr>
              <w:pStyle w:val="5"/>
              <w:keepNext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highlight w:val="none"/>
              </w:rPr>
              <w:t>Need for staff assistance</w:t>
            </w:r>
          </w:p>
        </w:tc>
        <w:tc>
          <w:tcPr>
            <w:tcW w:w="1317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090CC40">
            <w:pPr>
              <w:pStyle w:val="5"/>
              <w:keepNext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highlight w:val="none"/>
              </w:rPr>
              <w:t>Some participants could not operate the controller independently and benefited from staff-assisted content selection.</w:t>
            </w:r>
          </w:p>
        </w:tc>
        <w:tc>
          <w:tcPr>
            <w:tcW w:w="1845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B544E79">
            <w:pPr>
              <w:pStyle w:val="5"/>
              <w:keepNext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highlight w:val="none"/>
              </w:rPr>
              <w:t>H6: “I’ve never used this before and couldn’t handle the controller. The</w:t>
            </w:r>
            <w:r>
              <w:rPr>
                <w:rFonts w:hint="eastAsia" w:ascii="Times New Roman" w:hAnsi="Times New Roman" w:cs="Times New Roman"/>
                <w:color w:val="auto"/>
                <w:highlight w:val="none"/>
                <w:lang w:val="en-US" w:eastAsia="zh-CN"/>
              </w:rPr>
              <w:t xml:space="preserve"> nurse</w:t>
            </w:r>
            <w:r>
              <w:rPr>
                <w:rFonts w:hint="default" w:ascii="Times New Roman" w:hAnsi="Times New Roman" w:cs="Times New Roman"/>
                <w:color w:val="auto"/>
                <w:highlight w:val="none"/>
              </w:rPr>
              <w:t xml:space="preserve"> helped me choose what to watch, which worked well.”</w:t>
            </w:r>
          </w:p>
        </w:tc>
      </w:tr>
      <w:tr w14:paraId="44136BE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83" w:type="pct"/>
            <w:vMerge w:val="continue"/>
            <w:tcBorders>
              <w:left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3E18DC8">
            <w:pPr>
              <w:pStyle w:val="5"/>
              <w:keepNext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</w:p>
        </w:tc>
        <w:tc>
          <w:tcPr>
            <w:tcW w:w="952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7D6AFB9">
            <w:pPr>
              <w:pStyle w:val="5"/>
              <w:keepNext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highlight w:val="none"/>
              </w:rPr>
              <w:t>Physical condition and readiness</w:t>
            </w:r>
          </w:p>
        </w:tc>
        <w:tc>
          <w:tcPr>
            <w:tcW w:w="1317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0D0FEAD">
            <w:pPr>
              <w:pStyle w:val="5"/>
              <w:keepNext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highlight w:val="none"/>
              </w:rPr>
              <w:t>Postextubation weakness and psychological readiness influenced when and how participants used the system.</w:t>
            </w:r>
          </w:p>
        </w:tc>
        <w:tc>
          <w:tcPr>
            <w:tcW w:w="1845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C657465">
            <w:pPr>
              <w:pStyle w:val="5"/>
              <w:keepNext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highlight w:val="none"/>
              </w:rPr>
              <w:t>H4: “On the first day, my hands weren’t functional enough for the controller. Later, as I recovered, I could use it.”</w:t>
            </w:r>
          </w:p>
        </w:tc>
      </w:tr>
      <w:tr w14:paraId="6581526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83" w:type="pct"/>
            <w:vMerge w:val="continue"/>
            <w:tcBorders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D6558D4">
            <w:pPr>
              <w:pStyle w:val="5"/>
              <w:keepNext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</w:p>
        </w:tc>
        <w:tc>
          <w:tcPr>
            <w:tcW w:w="952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6E54645">
            <w:pPr>
              <w:pStyle w:val="5"/>
              <w:keepNext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highlight w:val="none"/>
              </w:rPr>
              <w:t>Selective content use according to emotional readiness</w:t>
            </w:r>
          </w:p>
        </w:tc>
        <w:tc>
          <w:tcPr>
            <w:tcW w:w="1317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5DFF87D">
            <w:pPr>
              <w:pStyle w:val="5"/>
              <w:keepNext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highlight w:val="none"/>
              </w:rPr>
              <w:t>Some patients avoided medical content when they felt physically or emotionally vulnerable and preferred family videos or relaxation scenes.</w:t>
            </w:r>
          </w:p>
        </w:tc>
        <w:tc>
          <w:tcPr>
            <w:tcW w:w="1845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4813F76">
            <w:pPr>
              <w:pStyle w:val="5"/>
              <w:keepNext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highlight w:val="none"/>
              </w:rPr>
              <w:t>H3: “To be honest, I’ve been feeling unwell and was afraid watching would affect me negatively or worsen my condition. So I only watched my family’s videos and relaxing nature scenes.”</w:t>
            </w:r>
          </w:p>
        </w:tc>
      </w:tr>
      <w:tr w14:paraId="539CA79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83" w:type="pct"/>
            <w:vMerge w:val="restart"/>
            <w:tcBorders>
              <w:top w:val="nil"/>
              <w:left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C2AB21C">
            <w:pPr>
              <w:pStyle w:val="5"/>
              <w:keepNext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highlight w:val="none"/>
              </w:rPr>
              <w:t>Barriers and suggestions for system optimization</w:t>
            </w:r>
          </w:p>
        </w:tc>
        <w:tc>
          <w:tcPr>
            <w:tcW w:w="952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BFBE7AD">
            <w:pPr>
              <w:pStyle w:val="5"/>
              <w:keepNext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highlight w:val="none"/>
              </w:rPr>
              <w:t>Interface complexity and controller burden</w:t>
            </w:r>
          </w:p>
        </w:tc>
        <w:tc>
          <w:tcPr>
            <w:tcW w:w="1317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632542C">
            <w:pPr>
              <w:pStyle w:val="5"/>
              <w:keepNext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highlight w:val="none"/>
              </w:rPr>
              <w:t>Participants suggested simplifying functions and reducing the burden of controller-based operation.</w:t>
            </w:r>
          </w:p>
        </w:tc>
        <w:tc>
          <w:tcPr>
            <w:tcW w:w="1845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82B2BD0">
            <w:pPr>
              <w:pStyle w:val="5"/>
              <w:keepNext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highlight w:val="none"/>
              </w:rPr>
              <w:t>H11: “Clicking around with the controller is bothersome.”</w:t>
            </w:r>
          </w:p>
        </w:tc>
      </w:tr>
      <w:tr w14:paraId="688DE54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83" w:type="pct"/>
            <w:vMerge w:val="continue"/>
            <w:tcBorders>
              <w:left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E3E1A02">
            <w:pPr>
              <w:pStyle w:val="5"/>
              <w:keepNext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</w:p>
        </w:tc>
        <w:tc>
          <w:tcPr>
            <w:tcW w:w="952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512EFF4">
            <w:pPr>
              <w:pStyle w:val="5"/>
              <w:keepNext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highlight w:val="none"/>
              </w:rPr>
              <w:t>Visual discomfort and dizziness</w:t>
            </w:r>
          </w:p>
        </w:tc>
        <w:tc>
          <w:tcPr>
            <w:tcW w:w="1317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90C5B34">
            <w:pPr>
              <w:pStyle w:val="5"/>
              <w:keepNext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highlight w:val="none"/>
              </w:rPr>
              <w:t>Some participants reported low resolution, eye strain, or mild dizziness, indicating the need for visual and usability refinements.</w:t>
            </w:r>
          </w:p>
        </w:tc>
        <w:tc>
          <w:tcPr>
            <w:tcW w:w="1845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DD8301C">
            <w:pPr>
              <w:pStyle w:val="5"/>
              <w:keepNext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highlight w:val="none"/>
              </w:rPr>
              <w:t>H8: “The functions are a bit complicated and overwhelming.</w:t>
            </w:r>
            <w:r>
              <w:rPr>
                <w:rFonts w:hint="eastAsia" w:ascii="Times New Roman" w:hAnsi="Times New Roman" w:cs="Times New Roman"/>
                <w:color w:val="auto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auto"/>
                <w:highlight w:val="none"/>
              </w:rPr>
              <w:t>I felt a little dizzy but could tolerate it.”</w:t>
            </w:r>
          </w:p>
        </w:tc>
      </w:tr>
      <w:tr w14:paraId="6324A54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83" w:type="pct"/>
            <w:vMerge w:val="continue"/>
            <w:tcBorders>
              <w:left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F68DEF9">
            <w:pPr>
              <w:pStyle w:val="5"/>
              <w:keepNext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</w:p>
        </w:tc>
        <w:tc>
          <w:tcPr>
            <w:tcW w:w="952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024C62F">
            <w:pPr>
              <w:pStyle w:val="5"/>
              <w:keepNext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highlight w:val="none"/>
              </w:rPr>
              <w:t>Headset weight and comfort</w:t>
            </w:r>
          </w:p>
        </w:tc>
        <w:tc>
          <w:tcPr>
            <w:tcW w:w="1317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D808133">
            <w:pPr>
              <w:pStyle w:val="5"/>
              <w:keepNext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highlight w:val="none"/>
              </w:rPr>
              <w:t>Device weight, heat, and forehead pressure affected comfort during use.</w:t>
            </w:r>
          </w:p>
        </w:tc>
        <w:tc>
          <w:tcPr>
            <w:tcW w:w="1845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EBF97E8">
            <w:pPr>
              <w:pStyle w:val="5"/>
              <w:keepNext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highlight w:val="none"/>
              </w:rPr>
              <w:t>H2: “I wish the device were lighter; it’s a bit heavy.”</w:t>
            </w:r>
          </w:p>
        </w:tc>
      </w:tr>
      <w:tr w14:paraId="3AADDC2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83" w:type="pct"/>
            <w:vMerge w:val="continue"/>
            <w:tcBorders>
              <w:left w:val="nil"/>
              <w:bottom w:val="single" w:color="auto" w:sz="12" w:space="0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4EFAC77">
            <w:pPr>
              <w:pStyle w:val="5"/>
              <w:keepNext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</w:p>
        </w:tc>
        <w:tc>
          <w:tcPr>
            <w:tcW w:w="952" w:type="pct"/>
            <w:tcBorders>
              <w:top w:val="nil"/>
              <w:left w:val="nil"/>
              <w:bottom w:val="single" w:color="auto" w:sz="12" w:space="0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9852F26">
            <w:pPr>
              <w:pStyle w:val="5"/>
              <w:keepNext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highlight w:val="none"/>
              </w:rPr>
              <w:t>Bedside workflow and positioning</w:t>
            </w:r>
          </w:p>
        </w:tc>
        <w:tc>
          <w:tcPr>
            <w:tcW w:w="1317" w:type="pct"/>
            <w:tcBorders>
              <w:top w:val="nil"/>
              <w:left w:val="nil"/>
              <w:bottom w:val="single" w:color="auto" w:sz="12" w:space="0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514EB91">
            <w:pPr>
              <w:pStyle w:val="5"/>
              <w:keepNext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highlight w:val="none"/>
              </w:rPr>
              <w:t>Use in bed could feel restrictive, indicating that delivery should be adapted to postextubation physical limitations.</w:t>
            </w:r>
          </w:p>
        </w:tc>
        <w:tc>
          <w:tcPr>
            <w:tcW w:w="1845" w:type="pct"/>
            <w:tcBorders>
              <w:top w:val="nil"/>
              <w:left w:val="nil"/>
              <w:bottom w:val="single" w:color="auto" w:sz="12" w:space="0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8CD6625">
            <w:pPr>
              <w:pStyle w:val="5"/>
              <w:keepNext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highlight w:val="none"/>
              </w:rPr>
              <w:t>H7: “It felt a bit restrictive using it while sitting in bed.”</w:t>
            </w:r>
          </w:p>
        </w:tc>
      </w:tr>
    </w:tbl>
    <w:p w14:paraId="4E8EB76A">
      <w:pPr>
        <w:spacing w:line="400" w:lineRule="exact"/>
        <w:ind w:firstLine="241" w:firstLineChars="100"/>
        <w:rPr>
          <w:rFonts w:hint="default" w:ascii="Times New Roman" w:hAnsi="Times New Roman" w:eastAsia="宋体" w:cs="Times New Roman"/>
          <w:b/>
          <w:bCs/>
          <w:color w:val="auto"/>
          <w:sz w:val="24"/>
          <w:szCs w:val="28"/>
          <w:highlight w:val="none"/>
          <w:lang w:val="en-US" w:eastAsia="zh-CN"/>
        </w:rPr>
      </w:pPr>
    </w:p>
    <w:p w14:paraId="14381A3B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4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9710A91"/>
    <w:rsid w:val="69710A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before="180" w:after="180"/>
    </w:pPr>
  </w:style>
  <w:style w:type="paragraph" w:customStyle="1" w:styleId="5">
    <w:name w:val="Compact"/>
    <w:basedOn w:val="2"/>
    <w:qFormat/>
    <w:uiPriority w:val="0"/>
    <w:pPr>
      <w:spacing w:before="36" w:after="36"/>
    </w:pPr>
  </w:style>
  <w:style w:type="table" w:customStyle="1" w:styleId="6">
    <w:name w:val="Table"/>
    <w:semiHidden/>
    <w:unhideWhenUsed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tcPr>
        <w:tcBorders>
          <w:bottom w:val="single" w:color="auto" w:sz="0" w:space="0"/>
        </w:tcBorders>
        <w:vAlign w:val="bottom"/>
      </w:tcPr>
    </w:tblStyle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2026-07-27T02:16:00Z</dcterms:created>
  <dc:creator>‎</dc:creator>
  <cp:lastModifiedBy>‎</cp:lastModifiedBy>
  <dcterms:modified xsi:type="dcterms:W3CDTF">2026-07-27T02:18:01Z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C40E11CFB9E844FEB996D233768C6B60_11</vt:lpwstr>
  </property>
  <property fmtid="{D5CDD505-2E9C-101B-9397-08002B2CF9AE}" pid="4" name="KSOTemplateDocerSaveRecord">
    <vt:lpwstr>eyJoZGlkIjoiMzEwNTM5NzYwMDRjMzkwZTVkZjY2ODkwMGIxNGU0OTUiLCJ1c2VySWQiOiIzNDk0NDg3OTAifQ==</vt:lpwstr>
  </property>
</Properties>
</file>