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Online Resource 1</w:t>
        <w:br/>
      </w:r>
      <w:r>
        <w:rPr>
          <w:sz w:val="28"/>
        </w:rPr>
        <w:t>Supplementary Information for</w:t>
        <w:br/>
        <w:t>Graph2Path: Hierarchical Reactivity-Guided Template Policy Learning for Multi-Step Retrosynthesis</w:t>
      </w:r>
    </w:p>
    <w:p>
      <w:pPr>
        <w:jc w:val="center"/>
      </w:pPr>
      <w:r>
        <w:rPr>
          <w:b/>
        </w:rPr>
        <w:t>Journal: Chemical Papers</w:t>
      </w:r>
    </w:p>
    <w:p>
      <w:pPr>
        <w:jc w:val="center"/>
      </w:pPr>
      <w:r>
        <w:rPr>
          <w:b/>
        </w:rPr>
        <w:t>Wenxv Li¹, Peifu Han², Shuang Wang¹, Song Gao¹, Tao Song*¹, Xintian Yu*³, Na Kang*⁴</w:t>
      </w:r>
    </w:p>
    <w:p>
      <w:pPr>
        <w:spacing w:after="40"/>
        <w:jc w:val="center"/>
      </w:pPr>
      <w:r>
        <w:rPr>
          <w:sz w:val="17"/>
        </w:rPr>
        <w:t>¹Qingdao Institute of Software, College of Computer Science and Technology, China University of Petroleum (East China), China</w:t>
      </w:r>
    </w:p>
    <w:p>
      <w:pPr>
        <w:spacing w:after="40"/>
        <w:jc w:val="center"/>
      </w:pPr>
      <w:r>
        <w:rPr>
          <w:sz w:val="17"/>
        </w:rPr>
        <w:t>²Faculty of Information Engineering and Automation, Yunnan Key Laboratory of Artificial Intelligence, Kunming University of Science and Technology, Kunming 650500, China</w:t>
      </w:r>
    </w:p>
    <w:p>
      <w:pPr>
        <w:spacing w:after="40"/>
        <w:jc w:val="center"/>
      </w:pPr>
      <w:r>
        <w:rPr>
          <w:sz w:val="17"/>
        </w:rPr>
        <w:t>³School of Computer Science and Engineering, The University of New South Wales, Sydney, NSW 2052, Australia</w:t>
      </w:r>
    </w:p>
    <w:p>
      <w:pPr>
        <w:spacing w:after="40"/>
        <w:jc w:val="center"/>
      </w:pPr>
      <w:r>
        <w:rPr>
          <w:sz w:val="17"/>
        </w:rPr>
        <w:t>⁴Department of Health Administration (No. 9), The Second Medical Center, PLA General Hospital, Beijing 100853, China</w:t>
      </w:r>
    </w:p>
    <w:p>
      <w:pPr>
        <w:jc w:val="center"/>
      </w:pPr>
      <w:r>
        <w:rPr>
          <w:sz w:val="17"/>
        </w:rPr>
        <w:t>*Corresponding authors: Tao Song, tsong@upc.edu.cn; Xintian Yu, z5620554@ad.unsw.edu.au; Na Kang, 331839312@qq.com</w:t>
      </w:r>
    </w:p>
    <w:p>
      <w:r>
        <w:t>This file contains implementation details, complete preprocessing and inference pseudocode, a broader PaRoutes comparison, filtered-subset composition and success values, and a second qualitative route example.</w:t>
      </w:r>
    </w:p>
    <w:p>
      <w:pPr>
        <w:pStyle w:val="Heading1"/>
      </w:pPr>
      <w:r>
        <w:t>Implementation details</w:t>
      </w:r>
    </w:p>
    <w:p>
      <w:r>
        <w:t>The evaluated setup uses three graph-attention layers with hidden dimension 256 and four attention heads. The Decision Transformer uses six layers, eight attention heads, and maximum sequence length 10. Training was performed on one NVIDIA RTX 4090 GPU with batch size 64. AdamW uses learning rate 10⁻⁴ and weight decay 10⁻⁴. ReduceLROnPlateau reduces the learning rate by a factor of 0.1 after 10 epochs without validation-loss improvement. The policy, atom-activity, and bond-activity loss terms use unit weights. Inference uses beam width 50 and activity-guidance weight μ = 0.5.</w:t>
      </w:r>
    </w:p>
    <w:p>
      <w:r>
        <w:t>The accompanying repository provides this configuration as the Chemical Papers reproducibility profile and uses the same values in the default training and inference entry points.</w:t>
      </w:r>
    </w:p>
    <w:p>
      <w:pPr>
        <w:pStyle w:val="Heading1"/>
      </w:pPr>
      <w:r>
        <w:t>Preprocessing and inference pseudocode</w:t>
      </w:r>
    </w:p>
    <w:p>
      <w:pPr>
        <w:keepNext/>
      </w:pPr>
      <w:r>
        <w:rPr>
          <w:rFonts w:ascii="Arial" w:hAnsi="Arial"/>
          <w:b/>
          <w:sz w:val="19"/>
        </w:rPr>
        <w:t>Algorithm S1. Route-level atom identity propagation</w:t>
      </w:r>
    </w:p>
    <w:tbl>
      <w:tblPr>
        <w:tblW w:type="auto" w:w="0"/>
        <w:jc w:val="center"/>
        <w:tblLayout w:type="autofit"/>
        <w:tblLook w:firstColumn="1" w:firstRow="1" w:lastColumn="0" w:lastRow="0" w:noHBand="0" w:noVBand="1" w:val="04A0"/>
      </w:tblPr>
      <w:tblGrid>
        <w:gridCol w:w="9866"/>
      </w:tblGrid>
      <w:tr>
        <w:tc>
          <w:tcPr>
            <w:tcW w:type="dxa" w:w="9866"/>
            <w:shd w:fill="F2F2F2"/>
          </w:tcPr>
          <w:p>
            <w:pPr>
              <w:spacing w:after="20"/>
              <w:ind w:left="255" w:hanging="198"/>
            </w:pPr>
            <w:r/>
            <w:r>
              <w:rPr>
                <w:rFonts w:ascii="Arial" w:hAnsi="Arial"/>
                <w:sz w:val="17"/>
              </w:rPr>
              <w:t>1. Input: mapped reactions in one recorded route.</w:t>
            </w:r>
          </w:p>
          <w:p>
            <w:pPr>
              <w:spacing w:after="20"/>
              <w:ind w:left="255" w:hanging="198"/>
            </w:pPr>
            <w:r>
              <w:rPr>
                <w:rFonts w:ascii="Arial" w:hAnsi="Arial"/>
                <w:sz w:val="17"/>
              </w:rPr>
              <w:t>2. Construct canonical molecule keys after removing atom maps.</w:t>
            </w:r>
          </w:p>
          <w:p>
            <w:pPr>
              <w:spacing w:after="20"/>
              <w:ind w:left="255" w:hanging="198"/>
            </w:pPr>
            <w:r>
              <w:rPr>
                <w:rFonts w:ascii="Arial" w:hAnsi="Arial"/>
                <w:sz w:val="17"/>
              </w:rPr>
              <w:t>3. Initialize identifiers from the canonical root product and set u to the largest identifier.</w:t>
            </w:r>
          </w:p>
          <w:p>
            <w:pPr>
              <w:spacing w:after="20"/>
              <w:ind w:left="255" w:hanging="198"/>
            </w:pPr>
            <w:r>
              <w:rPr>
                <w:rFonts w:ascii="Arial" w:hAnsi="Arial"/>
                <w:sz w:val="17"/>
              </w:rPr>
              <w:t>4. Traverse parent-to-child reactions in route order.</w:t>
            </w:r>
          </w:p>
          <w:p>
            <w:pPr>
              <w:spacing w:after="20"/>
              <w:ind w:left="510" w:hanging="198"/>
            </w:pPr>
            <w:r>
              <w:rPr>
                <w:rFonts w:ascii="Arial" w:hAnsi="Arial"/>
                <w:sz w:val="17"/>
              </w:rPr>
              <w:t>5. For each product-to-reactant decomposition, infer product correspondence in canonical atom order.</w:t>
            </w:r>
          </w:p>
          <w:p>
            <w:pPr>
              <w:spacing w:after="20"/>
              <w:ind w:left="510" w:hanging="198"/>
            </w:pPr>
            <w:r>
              <w:rPr>
                <w:rFonts w:ascii="Arial" w:hAnsi="Arial"/>
                <w:sz w:val="17"/>
              </w:rPr>
              <w:t>6. For each reactant atom, inherit the propagated identifier when its mapped product atom is known; otherwise increment u and assign the new value.</w:t>
            </w:r>
          </w:p>
          <w:p>
            <w:pPr>
              <w:spacing w:after="20"/>
              <w:ind w:left="510" w:hanging="198"/>
            </w:pPr>
            <w:r>
              <w:rPr>
                <w:rFonts w:ascii="Arial" w:hAnsi="Arial"/>
                <w:sz w:val="17"/>
              </w:rPr>
              <w:t>7. Canonicalize the mapped reactant representation and store it for subsequent descendants.</w:t>
            </w:r>
          </w:p>
          <w:p>
            <w:pPr>
              <w:spacing w:after="20"/>
              <w:ind w:left="255" w:hanging="198"/>
            </w:pPr>
            <w:r>
              <w:rPr>
                <w:rFonts w:ascii="Arial" w:hAnsi="Arial"/>
                <w:sz w:val="17"/>
              </w:rPr>
              <w:t>8. Output: reactions with identities propagated across route depth.</w:t>
            </w:r>
          </w:p>
        </w:tc>
      </w:tr>
    </w:tbl>
    <w:p>
      <w:pPr>
        <w:spacing w:after="0"/>
      </w:pPr>
    </w:p>
    <w:p>
      <w:r>
        <w:t>Algorithm S1 propagates existing identifiers and allocates unused values to unmatched atoms. We use the first InChIKey block as the canonical molecule key. This route-alignment procedure complements rather than replaces a general atom-mapping algorithm, and alternative tautomeric forms may require separate standardization.</w:t>
      </w:r>
    </w:p>
    <w:p>
      <w:pPr>
        <w:keepNext/>
      </w:pPr>
      <w:r>
        <w:rPr>
          <w:rFonts w:ascii="Arial" w:hAnsi="Arial"/>
          <w:b/>
          <w:sz w:val="19"/>
        </w:rPr>
        <w:t>Algorithm S2. Hierarchical atom- and bond-target construction</w:t>
      </w:r>
    </w:p>
    <w:tbl>
      <w:tblPr>
        <w:tblW w:type="auto" w:w="0"/>
        <w:jc w:val="center"/>
        <w:tblLayout w:type="autofit"/>
        <w:tblLook w:firstColumn="1" w:firstRow="1" w:lastColumn="0" w:lastRow="0" w:noHBand="0" w:noVBand="1" w:val="04A0"/>
      </w:tblPr>
      <w:tblGrid>
        <w:gridCol w:w="9866"/>
      </w:tblGrid>
      <w:tr>
        <w:tc>
          <w:tcPr>
            <w:tcW w:type="dxa" w:w="9866"/>
            <w:shd w:fill="F2F2F2"/>
          </w:tcPr>
          <w:p>
            <w:pPr>
              <w:spacing w:after="20"/>
              <w:ind w:left="255" w:hanging="198"/>
            </w:pPr>
            <w:r/>
            <w:r>
              <w:rPr>
                <w:rFonts w:ascii="Arial" w:hAnsi="Arial"/>
                <w:sz w:val="17"/>
              </w:rPr>
              <w:t>1. Input: aligned recorded route and building-block set.</w:t>
            </w:r>
          </w:p>
          <w:p>
            <w:pPr>
              <w:spacing w:after="20"/>
              <w:ind w:left="255" w:hanging="198"/>
            </w:pPr>
            <w:r>
              <w:rPr>
                <w:rFonts w:ascii="Arial" w:hAnsi="Arial"/>
                <w:sz w:val="17"/>
              </w:rPr>
              <w:t>2. Reconstruct the route tree and mark stock leaves.</w:t>
            </w:r>
          </w:p>
          <w:p>
            <w:pPr>
              <w:spacing w:after="20"/>
              <w:ind w:left="255" w:hanging="198"/>
            </w:pPr>
            <w:r>
              <w:rPr>
                <w:rFonts w:ascii="Arial" w:hAnsi="Arial"/>
                <w:sz w:val="17"/>
              </w:rPr>
              <w:t>3. Compute node height by reverse traversal, with leaves assigned height zero.</w:t>
            </w:r>
          </w:p>
          <w:p>
            <w:pPr>
              <w:spacing w:after="20"/>
              <w:ind w:left="255" w:hanging="198"/>
            </w:pPr>
            <w:r>
              <w:rPr>
                <w:rFonts w:ascii="Arial" w:hAnsi="Arial"/>
                <w:sz w:val="17"/>
              </w:rPr>
              <w:t>4. For each non-leaf product p, group descendants by height from the leaves and initialize all atom and bond targets for p to zero.</w:t>
            </w:r>
          </w:p>
          <w:p>
            <w:pPr>
              <w:spacing w:after="20"/>
              <w:ind w:left="510" w:hanging="198"/>
            </w:pPr>
            <w:r>
              <w:rPr>
                <w:rFonts w:ascii="Arial" w:hAnsi="Arial"/>
                <w:sz w:val="17"/>
              </w:rPr>
              <w:t>5. For each height index d in ascending order, compare p with the mapped descendant group at d and detect changed product atoms and bonds.</w:t>
            </w:r>
          </w:p>
          <w:p>
            <w:pPr>
              <w:spacing w:after="20"/>
              <w:ind w:left="510" w:hanging="198"/>
            </w:pPr>
            <w:r>
              <w:rPr>
                <w:rFonts w:ascii="Arial" w:hAnsi="Arial"/>
                <w:sz w:val="17"/>
              </w:rPr>
              <w:t>6. Assign d + 1 to the detected atom and bond entries.</w:t>
            </w:r>
          </w:p>
          <w:p>
            <w:pPr>
              <w:spacing w:after="20"/>
              <w:ind w:left="255" w:hanging="198"/>
            </w:pPr>
            <w:r>
              <w:rPr>
                <w:rFonts w:ascii="Arial" w:hAnsi="Arial"/>
                <w:sz w:val="17"/>
              </w:rPr>
              <w:t>7. Output: integer atom and bond targets for each product state.</w:t>
            </w:r>
          </w:p>
        </w:tc>
      </w:tr>
    </w:tbl>
    <w:p>
      <w:pPr>
        <w:spacing w:after="0"/>
      </w:pPr>
    </w:p>
    <w:p>
      <w:pPr>
        <w:keepNext/>
      </w:pPr>
      <w:r>
        <w:rPr>
          <w:rFonts w:ascii="Arial" w:hAnsi="Arial"/>
          <w:b/>
          <w:sz w:val="19"/>
        </w:rPr>
        <w:t>Algorithm S3. Branch-aware Graph2Path inference</w:t>
      </w:r>
    </w:p>
    <w:tbl>
      <w:tblPr>
        <w:tblW w:type="auto" w:w="0"/>
        <w:jc w:val="center"/>
        <w:tblLayout w:type="autofit"/>
        <w:tblLook w:firstColumn="1" w:firstRow="1" w:lastColumn="0" w:lastRow="0" w:noHBand="0" w:noVBand="1" w:val="04A0"/>
      </w:tblPr>
      <w:tblGrid>
        <w:gridCol w:w="9866"/>
      </w:tblGrid>
      <w:tr>
        <w:tc>
          <w:tcPr>
            <w:tcW w:type="dxa" w:w="9866"/>
            <w:shd w:fill="F2F2F2"/>
          </w:tcPr>
          <w:p>
            <w:pPr>
              <w:spacing w:after="20"/>
              <w:ind w:left="255" w:hanging="198"/>
            </w:pPr>
            <w:r/>
            <w:r>
              <w:rPr>
                <w:rFonts w:ascii="Arial" w:hAnsi="Arial"/>
                <w:sz w:val="17"/>
              </w:rPr>
              <w:t>1. Input: target T, stock 𝓑, templates 𝒜, beam width B, depth limit D, and activity weight μ.</w:t>
            </w:r>
          </w:p>
          <w:p>
            <w:pPr>
              <w:spacing w:after="20"/>
              <w:ind w:left="255" w:hanging="198"/>
            </w:pPr>
            <w:r>
              <w:rPr>
                <w:rFonts w:ascii="Arial" w:hAnsi="Arial"/>
                <w:sz w:val="17"/>
              </w:rPr>
              <w:t>2. Initialize one beam with state [[T]].</w:t>
            </w:r>
          </w:p>
          <w:p>
            <w:pPr>
              <w:spacing w:after="20"/>
              <w:ind w:left="255" w:hanging="198"/>
            </w:pPr>
            <w:r>
              <w:rPr>
                <w:rFonts w:ascii="Arial" w:hAnsi="Arial"/>
                <w:sz w:val="17"/>
              </w:rPr>
              <w:t>3. While an expandable beam remains, initialize an empty candidate list.</w:t>
            </w:r>
          </w:p>
          <w:p>
            <w:pPr>
              <w:spacing w:after="20"/>
              <w:ind w:left="510" w:hanging="198"/>
            </w:pPr>
            <w:r>
              <w:rPr>
                <w:rFonts w:ascii="Arial" w:hAnsi="Arial"/>
                <w:sz w:val="17"/>
              </w:rPr>
              <w:t>4. For each beam, select the next open product according to the environment branch order.</w:t>
            </w:r>
          </w:p>
          <w:p>
            <w:pPr>
              <w:spacing w:after="20"/>
              <w:ind w:left="510" w:hanging="198"/>
            </w:pPr>
            <w:r>
              <w:rPr>
                <w:rFonts w:ascii="Arial" w:hAnsi="Arial"/>
                <w:sz w:val="17"/>
              </w:rPr>
              <w:t>5. Encode the current product and at most one parallel-branch molecule; predict template logits and atom/bond activities.</w:t>
            </w:r>
          </w:p>
          <w:p>
            <w:pPr>
              <w:spacing w:after="20"/>
              <w:ind w:left="510" w:hanging="198"/>
            </w:pPr>
            <w:r>
              <w:rPr>
                <w:rFonts w:ascii="Arial" w:hAnsi="Arial"/>
                <w:sz w:val="17"/>
              </w:rPr>
              <w:t>6. Match template product patterns and compute the maximum center score for every matching template; add μ times this score to its template logit.</w:t>
            </w:r>
          </w:p>
          <w:p>
            <w:pPr>
              <w:spacing w:after="20"/>
              <w:ind w:left="510" w:hanging="198"/>
            </w:pPr>
            <w:r>
              <w:rPr>
                <w:rFonts w:ascii="Arial" w:hAnsi="Arial"/>
                <w:sz w:val="17"/>
              </w:rPr>
              <w:t>7. Apply retained templates to copied environments. For successful applications, update branches, stock/depth status, actions, and trajectory score, and append the resulting beams.</w:t>
            </w:r>
          </w:p>
          <w:p>
            <w:pPr>
              <w:spacing w:after="20"/>
              <w:ind w:left="255" w:hanging="198"/>
            </w:pPr>
            <w:r>
              <w:rPr>
                <w:rFonts w:ascii="Arial" w:hAnsi="Arial"/>
                <w:sz w:val="17"/>
              </w:rPr>
              <w:t>8. Order candidates by solved status and the configured trajectory score; keep at most B.</w:t>
            </w:r>
          </w:p>
          <w:p>
            <w:pPr>
              <w:spacing w:after="20"/>
              <w:ind w:left="255" w:hanging="198"/>
            </w:pPr>
            <w:r>
              <w:rPr>
                <w:rFonts w:ascii="Arial" w:hAnsi="Arial"/>
                <w:sz w:val="17"/>
              </w:rPr>
              <w:t>9. Stop beams when all branches reach stock, the environment reaches a dead end, or depth D is reached.</w:t>
            </w:r>
          </w:p>
          <w:p>
            <w:pPr>
              <w:spacing w:after="20"/>
              <w:ind w:left="255" w:hanging="198"/>
            </w:pPr>
            <w:r>
              <w:rPr>
                <w:rFonts w:ascii="Arial" w:hAnsi="Arial"/>
                <w:sz w:val="17"/>
              </w:rPr>
              <w:t>10. Output: ranked completed and partial routes.</w:t>
            </w:r>
          </w:p>
        </w:tc>
      </w:tr>
    </w:tbl>
    <w:p>
      <w:pPr>
        <w:spacing w:after="0"/>
      </w:pPr>
    </w:p>
    <w:p>
      <w:r>
        <w:t>The inference algorithm is iterative. It retains multiple partial routes when the beam width exceeds one and is therefore not a one-shot route generator.</w:t>
      </w:r>
    </w:p>
    <w:p>
      <w:pPr>
        <w:pStyle w:val="Heading1"/>
      </w:pPr>
      <w:r>
        <w:t>Broader PaRoutes comparison</w:t>
      </w:r>
    </w:p>
    <w:p>
      <w:r>
        <w:t>Table S1 presents the general-setting comparison from our experiments. The template library and evaluation setting differ from the Small, Standard, and Large tables in the main manuscript, so values are compared within this table only.</w:t>
      </w:r>
    </w:p>
    <w:p>
      <w:pPr>
        <w:keepNext/>
        <w:spacing w:before="80" w:after="60"/>
      </w:pPr>
      <w:r>
        <w:rPr>
          <w:rFonts w:ascii="Arial" w:hAnsi="Arial"/>
          <w:b/>
          <w:sz w:val="18"/>
        </w:rPr>
        <w:t>Table S1. General-setting PaRoutes comparison.</w:t>
      </w:r>
    </w:p>
    <w:tbl>
      <w:tblPr>
        <w:tblStyle w:val="TableGrid"/>
        <w:tblW w:type="auto" w:w="0"/>
        <w:jc w:val="center"/>
        <w:tblLayout w:type="fixed"/>
        <w:tblLook w:firstColumn="1" w:firstRow="1" w:lastColumn="0" w:lastRow="0" w:noHBand="0" w:noVBand="1" w:val="04A0"/>
      </w:tblPr>
      <w:tblGrid>
        <w:gridCol w:w="1973"/>
        <w:gridCol w:w="1973"/>
        <w:gridCol w:w="1973"/>
        <w:gridCol w:w="1973"/>
        <w:gridCol w:w="1973"/>
      </w:tblGrid>
      <w:tr>
        <w:trPr>
          <w:tblHeader w:val="true"/>
        </w:trPr>
        <w:tc>
          <w:tcPr>
            <w:tcW w:type="dxa" w:w="2268"/>
            <w:vAlign w:val="center"/>
            <w:shd w:fill="D9EAF7"/>
          </w:tcPr>
          <w:p>
            <w:pPr>
              <w:spacing w:after="0"/>
            </w:pPr>
            <w:r/>
            <w:r>
              <w:rPr>
                <w:rFonts w:ascii="Arial" w:hAnsi="Arial"/>
                <w:b/>
                <w:sz w:val="16"/>
              </w:rPr>
              <w:t>Method</w:t>
            </w:r>
          </w:p>
        </w:tc>
        <w:tc>
          <w:tcPr>
            <w:tcW w:type="dxa" w:w="1417"/>
            <w:vAlign w:val="center"/>
            <w:shd w:fill="D9EAF7"/>
          </w:tcPr>
          <w:p>
            <w:pPr>
              <w:spacing w:after="0"/>
            </w:pPr>
            <w:r/>
            <w:r>
              <w:rPr>
                <w:rFonts w:ascii="Arial" w:hAnsi="Arial"/>
                <w:b/>
                <w:sz w:val="16"/>
              </w:rPr>
              <w:t>Success N1</w:t>
            </w:r>
          </w:p>
        </w:tc>
        <w:tc>
          <w:tcPr>
            <w:tcW w:type="dxa" w:w="1417"/>
            <w:vAlign w:val="center"/>
            <w:shd w:fill="D9EAF7"/>
          </w:tcPr>
          <w:p>
            <w:pPr>
              <w:spacing w:after="0"/>
            </w:pPr>
            <w:r/>
            <w:r>
              <w:rPr>
                <w:rFonts w:ascii="Arial" w:hAnsi="Arial"/>
                <w:b/>
                <w:sz w:val="16"/>
              </w:rPr>
              <w:t>Success N5</w:t>
            </w:r>
          </w:p>
        </w:tc>
        <w:tc>
          <w:tcPr>
            <w:tcW w:type="dxa" w:w="1417"/>
            <w:vAlign w:val="center"/>
            <w:shd w:fill="D9EAF7"/>
          </w:tcPr>
          <w:p>
            <w:pPr>
              <w:spacing w:after="0"/>
            </w:pPr>
            <w:r/>
            <w:r>
              <w:rPr>
                <w:rFonts w:ascii="Arial" w:hAnsi="Arial"/>
                <w:b/>
                <w:sz w:val="16"/>
              </w:rPr>
              <w:t>Top-1 N1</w:t>
            </w:r>
          </w:p>
        </w:tc>
        <w:tc>
          <w:tcPr>
            <w:tcW w:type="dxa" w:w="1417"/>
            <w:vAlign w:val="center"/>
            <w:shd w:fill="D9EAF7"/>
          </w:tcPr>
          <w:p>
            <w:pPr>
              <w:spacing w:after="0"/>
            </w:pPr>
            <w:r/>
            <w:r>
              <w:rPr>
                <w:rFonts w:ascii="Arial" w:hAnsi="Arial"/>
                <w:b/>
                <w:sz w:val="16"/>
              </w:rPr>
              <w:t>Top-1 N5</w:t>
            </w:r>
          </w:p>
        </w:tc>
      </w:tr>
      <w:tr>
        <w:tc>
          <w:tcPr>
            <w:tcW w:type="dxa" w:w="2268"/>
            <w:vAlign w:val="center"/>
          </w:tcPr>
          <w:p>
            <w:pPr>
              <w:spacing w:after="0"/>
            </w:pPr>
            <w:r/>
            <w:r>
              <w:rPr>
                <w:rFonts w:ascii="Arial" w:hAnsi="Arial"/>
                <w:b w:val="0"/>
                <w:sz w:val="16"/>
              </w:rPr>
              <w:t>RetroSynFormer50</w:t>
            </w:r>
          </w:p>
        </w:tc>
        <w:tc>
          <w:tcPr>
            <w:tcW w:type="dxa" w:w="1417"/>
            <w:vAlign w:val="center"/>
          </w:tcPr>
          <w:p>
            <w:pPr>
              <w:spacing w:after="0"/>
            </w:pPr>
            <w:r/>
            <w:r>
              <w:rPr>
                <w:rFonts w:ascii="Arial" w:hAnsi="Arial"/>
                <w:b w:val="0"/>
                <w:sz w:val="16"/>
              </w:rPr>
              <w:t>0.929</w:t>
            </w:r>
          </w:p>
        </w:tc>
        <w:tc>
          <w:tcPr>
            <w:tcW w:type="dxa" w:w="1417"/>
            <w:vAlign w:val="center"/>
          </w:tcPr>
          <w:p>
            <w:pPr>
              <w:spacing w:after="0"/>
            </w:pPr>
            <w:r/>
            <w:r>
              <w:rPr>
                <w:rFonts w:ascii="Arial" w:hAnsi="Arial"/>
                <w:b w:val="0"/>
                <w:sz w:val="16"/>
              </w:rPr>
              <w:t>0.887</w:t>
            </w:r>
          </w:p>
        </w:tc>
        <w:tc>
          <w:tcPr>
            <w:tcW w:type="dxa" w:w="1417"/>
            <w:vAlign w:val="center"/>
          </w:tcPr>
          <w:p>
            <w:pPr>
              <w:spacing w:after="0"/>
            </w:pPr>
            <w:r/>
            <w:r>
              <w:rPr>
                <w:rFonts w:ascii="Arial" w:hAnsi="Arial"/>
                <w:b w:val="0"/>
                <w:sz w:val="16"/>
              </w:rPr>
              <w:t>0.07</w:t>
            </w:r>
          </w:p>
        </w:tc>
        <w:tc>
          <w:tcPr>
            <w:tcW w:type="dxa" w:w="1417"/>
            <w:vAlign w:val="center"/>
          </w:tcPr>
          <w:p>
            <w:pPr>
              <w:spacing w:after="0"/>
            </w:pPr>
            <w:r/>
            <w:r>
              <w:rPr>
                <w:rFonts w:ascii="Arial" w:hAnsi="Arial"/>
                <w:b w:val="0"/>
                <w:sz w:val="16"/>
              </w:rPr>
              <w:t>0.04</w:t>
            </w:r>
          </w:p>
        </w:tc>
      </w:tr>
      <w:tr>
        <w:tc>
          <w:tcPr>
            <w:tcW w:type="dxa" w:w="2268"/>
            <w:vAlign w:val="center"/>
          </w:tcPr>
          <w:p>
            <w:pPr>
              <w:spacing w:after="0"/>
            </w:pPr>
            <w:r/>
            <w:r>
              <w:rPr>
                <w:rFonts w:ascii="Arial" w:hAnsi="Arial"/>
                <w:b w:val="0"/>
                <w:sz w:val="16"/>
              </w:rPr>
              <w:t>MCTS</w:t>
            </w:r>
          </w:p>
        </w:tc>
        <w:tc>
          <w:tcPr>
            <w:tcW w:type="dxa" w:w="1417"/>
            <w:vAlign w:val="center"/>
          </w:tcPr>
          <w:p>
            <w:pPr>
              <w:spacing w:after="0"/>
            </w:pPr>
            <w:r/>
            <w:r>
              <w:rPr>
                <w:rFonts w:ascii="Arial" w:hAnsi="Arial"/>
                <w:b w:val="0"/>
                <w:sz w:val="16"/>
              </w:rPr>
              <w:t>0.971</w:t>
            </w:r>
          </w:p>
        </w:tc>
        <w:tc>
          <w:tcPr>
            <w:tcW w:type="dxa" w:w="1417"/>
            <w:vAlign w:val="center"/>
          </w:tcPr>
          <w:p>
            <w:pPr>
              <w:spacing w:after="0"/>
            </w:pPr>
            <w:r/>
            <w:r>
              <w:rPr>
                <w:rFonts w:ascii="Arial" w:hAnsi="Arial"/>
                <w:b w:val="0"/>
                <w:sz w:val="16"/>
              </w:rPr>
              <w:t>0.968</w:t>
            </w:r>
          </w:p>
        </w:tc>
        <w:tc>
          <w:tcPr>
            <w:tcW w:type="dxa" w:w="1417"/>
            <w:vAlign w:val="center"/>
          </w:tcPr>
          <w:p>
            <w:pPr>
              <w:spacing w:after="0"/>
            </w:pPr>
            <w:r/>
            <w:r>
              <w:rPr>
                <w:rFonts w:ascii="Arial" w:hAnsi="Arial"/>
                <w:b w:val="0"/>
                <w:sz w:val="16"/>
              </w:rPr>
              <w:t>0.17</w:t>
            </w:r>
          </w:p>
        </w:tc>
        <w:tc>
          <w:tcPr>
            <w:tcW w:type="dxa" w:w="1417"/>
            <w:vAlign w:val="center"/>
          </w:tcPr>
          <w:p>
            <w:pPr>
              <w:spacing w:after="0"/>
            </w:pPr>
            <w:r/>
            <w:r>
              <w:rPr>
                <w:rFonts w:ascii="Arial" w:hAnsi="Arial"/>
                <w:b w:val="0"/>
                <w:sz w:val="16"/>
              </w:rPr>
              <w:t>0.10</w:t>
            </w:r>
          </w:p>
        </w:tc>
      </w:tr>
      <w:tr>
        <w:tc>
          <w:tcPr>
            <w:tcW w:type="dxa" w:w="2268"/>
            <w:vAlign w:val="center"/>
          </w:tcPr>
          <w:p>
            <w:pPr>
              <w:spacing w:after="0"/>
            </w:pPr>
            <w:r/>
            <w:r>
              <w:rPr>
                <w:rFonts w:ascii="Arial" w:hAnsi="Arial"/>
                <w:b w:val="0"/>
                <w:sz w:val="16"/>
              </w:rPr>
              <w:t>Retro*</w:t>
            </w:r>
          </w:p>
        </w:tc>
        <w:tc>
          <w:tcPr>
            <w:tcW w:type="dxa" w:w="1417"/>
            <w:vAlign w:val="center"/>
          </w:tcPr>
          <w:p>
            <w:pPr>
              <w:spacing w:after="0"/>
            </w:pPr>
            <w:r/>
            <w:r>
              <w:rPr>
                <w:rFonts w:ascii="Arial" w:hAnsi="Arial"/>
                <w:b w:val="0"/>
                <w:sz w:val="16"/>
              </w:rPr>
              <w:t>0.973</w:t>
            </w:r>
          </w:p>
        </w:tc>
        <w:tc>
          <w:tcPr>
            <w:tcW w:type="dxa" w:w="1417"/>
            <w:vAlign w:val="center"/>
          </w:tcPr>
          <w:p>
            <w:pPr>
              <w:spacing w:after="0"/>
            </w:pPr>
            <w:r/>
            <w:r>
              <w:rPr>
                <w:rFonts w:ascii="Arial" w:hAnsi="Arial"/>
                <w:b w:val="0"/>
                <w:sz w:val="16"/>
              </w:rPr>
              <w:t>0.970</w:t>
            </w:r>
          </w:p>
        </w:tc>
        <w:tc>
          <w:tcPr>
            <w:tcW w:type="dxa" w:w="1417"/>
            <w:vAlign w:val="center"/>
          </w:tcPr>
          <w:p>
            <w:pPr>
              <w:spacing w:after="0"/>
            </w:pPr>
            <w:r/>
            <w:r>
              <w:rPr>
                <w:rFonts w:ascii="Arial" w:hAnsi="Arial"/>
                <w:b w:val="0"/>
                <w:sz w:val="16"/>
              </w:rPr>
              <w:t>0.15</w:t>
            </w:r>
          </w:p>
        </w:tc>
        <w:tc>
          <w:tcPr>
            <w:tcW w:type="dxa" w:w="1417"/>
            <w:vAlign w:val="center"/>
          </w:tcPr>
          <w:p>
            <w:pPr>
              <w:spacing w:after="0"/>
            </w:pPr>
            <w:r/>
            <w:r>
              <w:rPr>
                <w:rFonts w:ascii="Arial" w:hAnsi="Arial"/>
                <w:b w:val="0"/>
                <w:sz w:val="16"/>
              </w:rPr>
              <w:t>0.10</w:t>
            </w:r>
          </w:p>
        </w:tc>
      </w:tr>
      <w:tr>
        <w:tc>
          <w:tcPr>
            <w:tcW w:type="dxa" w:w="2268"/>
            <w:vAlign w:val="center"/>
          </w:tcPr>
          <w:p>
            <w:pPr>
              <w:spacing w:after="0"/>
            </w:pPr>
            <w:r/>
            <w:r>
              <w:rPr>
                <w:rFonts w:ascii="Arial" w:hAnsi="Arial"/>
                <w:b w:val="0"/>
                <w:sz w:val="16"/>
              </w:rPr>
              <w:t>DFPN</w:t>
            </w:r>
          </w:p>
        </w:tc>
        <w:tc>
          <w:tcPr>
            <w:tcW w:type="dxa" w:w="1417"/>
            <w:vAlign w:val="center"/>
          </w:tcPr>
          <w:p>
            <w:pPr>
              <w:spacing w:after="0"/>
            </w:pPr>
            <w:r/>
            <w:r>
              <w:rPr>
                <w:rFonts w:ascii="Arial" w:hAnsi="Arial"/>
                <w:b w:val="0"/>
                <w:sz w:val="16"/>
              </w:rPr>
              <w:t>0.848</w:t>
            </w:r>
          </w:p>
        </w:tc>
        <w:tc>
          <w:tcPr>
            <w:tcW w:type="dxa" w:w="1417"/>
            <w:vAlign w:val="center"/>
          </w:tcPr>
          <w:p>
            <w:pPr>
              <w:spacing w:after="0"/>
            </w:pPr>
            <w:r/>
            <w:r>
              <w:rPr>
                <w:rFonts w:ascii="Arial" w:hAnsi="Arial"/>
                <w:b w:val="0"/>
                <w:sz w:val="16"/>
              </w:rPr>
              <w:t>0.738</w:t>
            </w:r>
          </w:p>
        </w:tc>
        <w:tc>
          <w:tcPr>
            <w:tcW w:type="dxa" w:w="1417"/>
            <w:vAlign w:val="center"/>
          </w:tcPr>
          <w:p>
            <w:pPr>
              <w:spacing w:after="0"/>
            </w:pPr>
            <w:r/>
            <w:r>
              <w:rPr>
                <w:rFonts w:ascii="Arial" w:hAnsi="Arial"/>
                <w:b w:val="0"/>
                <w:sz w:val="16"/>
              </w:rPr>
              <w:t>0.11</w:t>
            </w:r>
          </w:p>
        </w:tc>
        <w:tc>
          <w:tcPr>
            <w:tcW w:type="dxa" w:w="1417"/>
            <w:vAlign w:val="center"/>
          </w:tcPr>
          <w:p>
            <w:pPr>
              <w:spacing w:after="0"/>
            </w:pPr>
            <w:r/>
            <w:r>
              <w:rPr>
                <w:rFonts w:ascii="Arial" w:hAnsi="Arial"/>
                <w:b w:val="0"/>
                <w:sz w:val="16"/>
              </w:rPr>
              <w:t>0.05</w:t>
            </w:r>
          </w:p>
        </w:tc>
      </w:tr>
      <w:tr>
        <w:tc>
          <w:tcPr>
            <w:tcW w:type="dxa" w:w="2268"/>
            <w:vAlign w:val="center"/>
          </w:tcPr>
          <w:p>
            <w:pPr>
              <w:spacing w:after="0"/>
            </w:pPr>
            <w:r/>
            <w:r>
              <w:rPr>
                <w:rFonts w:ascii="Arial" w:hAnsi="Arial"/>
                <w:b w:val="0"/>
                <w:sz w:val="16"/>
              </w:rPr>
              <w:t>DirectMultiStep</w:t>
            </w:r>
          </w:p>
        </w:tc>
        <w:tc>
          <w:tcPr>
            <w:tcW w:type="dxa" w:w="1417"/>
            <w:vAlign w:val="center"/>
          </w:tcPr>
          <w:p>
            <w:pPr>
              <w:spacing w:after="0"/>
            </w:pPr>
            <w:r/>
            <w:r>
              <w:rPr>
                <w:rFonts w:ascii="Arial" w:hAnsi="Arial"/>
                <w:b w:val="0"/>
                <w:sz w:val="16"/>
              </w:rPr>
              <w:t>0.873</w:t>
            </w:r>
          </w:p>
        </w:tc>
        <w:tc>
          <w:tcPr>
            <w:tcW w:type="dxa" w:w="1417"/>
            <w:vAlign w:val="center"/>
          </w:tcPr>
          <w:p>
            <w:pPr>
              <w:spacing w:after="0"/>
            </w:pPr>
            <w:r/>
            <w:r>
              <w:rPr>
                <w:rFonts w:ascii="Arial" w:hAnsi="Arial"/>
                <w:b w:val="0"/>
                <w:sz w:val="16"/>
              </w:rPr>
              <w:t>0.849</w:t>
            </w:r>
          </w:p>
        </w:tc>
        <w:tc>
          <w:tcPr>
            <w:tcW w:type="dxa" w:w="1417"/>
            <w:vAlign w:val="center"/>
          </w:tcPr>
          <w:p>
            <w:pPr>
              <w:spacing w:after="0"/>
            </w:pPr>
            <w:r/>
            <w:r>
              <w:rPr>
                <w:rFonts w:ascii="Arial" w:hAnsi="Arial"/>
                <w:b w:val="0"/>
                <w:sz w:val="16"/>
              </w:rPr>
              <w:t>0.43</w:t>
            </w:r>
          </w:p>
        </w:tc>
        <w:tc>
          <w:tcPr>
            <w:tcW w:type="dxa" w:w="1417"/>
            <w:vAlign w:val="center"/>
          </w:tcPr>
          <w:p>
            <w:pPr>
              <w:spacing w:after="0"/>
            </w:pPr>
            <w:r/>
            <w:r>
              <w:rPr>
                <w:rFonts w:ascii="Arial" w:hAnsi="Arial"/>
                <w:b w:val="0"/>
                <w:sz w:val="16"/>
              </w:rPr>
              <w:t>0.39</w:t>
            </w:r>
          </w:p>
        </w:tc>
      </w:tr>
      <w:tr>
        <w:tc>
          <w:tcPr>
            <w:tcW w:type="dxa" w:w="2268"/>
            <w:vAlign w:val="center"/>
          </w:tcPr>
          <w:p>
            <w:pPr>
              <w:spacing w:after="0"/>
            </w:pPr>
            <w:r/>
            <w:r>
              <w:rPr>
                <w:rFonts w:ascii="Arial" w:hAnsi="Arial"/>
                <w:b w:val="0"/>
                <w:sz w:val="16"/>
              </w:rPr>
              <w:t>Graph2Path</w:t>
            </w:r>
          </w:p>
        </w:tc>
        <w:tc>
          <w:tcPr>
            <w:tcW w:type="dxa" w:w="1417"/>
            <w:vAlign w:val="center"/>
          </w:tcPr>
          <w:p>
            <w:pPr>
              <w:spacing w:after="0"/>
            </w:pPr>
            <w:r/>
            <w:r>
              <w:rPr>
                <w:rFonts w:ascii="Arial" w:hAnsi="Arial"/>
                <w:b w:val="0"/>
                <w:sz w:val="16"/>
              </w:rPr>
              <w:t>0.940</w:t>
            </w:r>
          </w:p>
        </w:tc>
        <w:tc>
          <w:tcPr>
            <w:tcW w:type="dxa" w:w="1417"/>
            <w:vAlign w:val="center"/>
          </w:tcPr>
          <w:p>
            <w:pPr>
              <w:spacing w:after="0"/>
            </w:pPr>
            <w:r/>
            <w:r>
              <w:rPr>
                <w:rFonts w:ascii="Arial" w:hAnsi="Arial"/>
                <w:b w:val="0"/>
                <w:sz w:val="16"/>
              </w:rPr>
              <w:t>0.925</w:t>
            </w:r>
          </w:p>
        </w:tc>
        <w:tc>
          <w:tcPr>
            <w:tcW w:type="dxa" w:w="1417"/>
            <w:vAlign w:val="center"/>
          </w:tcPr>
          <w:p>
            <w:pPr>
              <w:spacing w:after="0"/>
            </w:pPr>
            <w:r/>
            <w:r>
              <w:rPr>
                <w:rFonts w:ascii="Arial" w:hAnsi="Arial"/>
                <w:b w:val="0"/>
                <w:sz w:val="16"/>
              </w:rPr>
              <w:t>0.11</w:t>
            </w:r>
          </w:p>
        </w:tc>
        <w:tc>
          <w:tcPr>
            <w:tcW w:type="dxa" w:w="1417"/>
            <w:vAlign w:val="center"/>
          </w:tcPr>
          <w:p>
            <w:pPr>
              <w:spacing w:after="0"/>
            </w:pPr>
            <w:r/>
            <w:r>
              <w:rPr>
                <w:rFonts w:ascii="Arial" w:hAnsi="Arial"/>
                <w:b w:val="0"/>
                <w:sz w:val="16"/>
              </w:rPr>
              <w:t>0.07</w:t>
            </w:r>
          </w:p>
        </w:tc>
      </w:tr>
    </w:tbl>
    <w:p>
      <w:pPr>
        <w:spacing w:after="0"/>
      </w:pPr>
    </w:p>
    <w:p>
      <w:r>
        <w:t>In this general setting, MCTS and Retro* obtain higher success and Top-1 values than Graph2Path, while DirectMultiStep combines higher Top-1 accuracy with lower success. These results provide context across planning paradigms; runtime and run-level uncertainty were not recorded for this comparison.</w:t>
      </w:r>
    </w:p>
    <w:p>
      <w:pPr>
        <w:pStyle w:val="Heading1"/>
      </w:pPr>
      <w:r>
        <w:t>Filtered-subset composition and success</w:t>
      </w:r>
    </w:p>
    <w:p>
      <w:r>
        <w:t>Table S2 reports the test-set counts used in our post-hoc analysis. Overlap indicates routes containing reactions also observed in training; filtered indicates that all constituent reactions are absent from training. Route length is divided at three reactions.</w:t>
      </w:r>
    </w:p>
    <w:p>
      <w:pPr>
        <w:keepNext/>
        <w:spacing w:before="80" w:after="60"/>
      </w:pPr>
      <w:r>
        <w:rPr>
          <w:rFonts w:ascii="Arial" w:hAnsi="Arial"/>
          <w:b/>
          <w:sz w:val="18"/>
        </w:rPr>
        <w:t>Table S2. Composition of the full test sets used in the post-hoc reaction-overlap analysis. Percentages are within each row.</w:t>
      </w:r>
    </w:p>
    <w:tbl>
      <w:tblPr>
        <w:tblStyle w:val="TableGrid"/>
        <w:tblW w:type="auto" w:w="0"/>
        <w:jc w:val="center"/>
        <w:tblLayout w:type="fixed"/>
        <w:tblLook w:firstColumn="1" w:firstRow="1" w:lastColumn="0" w:lastRow="0" w:noHBand="0" w:noVBand="1" w:val="04A0"/>
      </w:tblPr>
      <w:tblGrid>
        <w:gridCol w:w="1409"/>
        <w:gridCol w:w="1409"/>
        <w:gridCol w:w="1409"/>
        <w:gridCol w:w="1409"/>
        <w:gridCol w:w="1409"/>
        <w:gridCol w:w="1409"/>
        <w:gridCol w:w="1409"/>
      </w:tblGrid>
      <w:tr>
        <w:trPr>
          <w:tblHeader w:val="true"/>
        </w:trPr>
        <w:tc>
          <w:tcPr>
            <w:tcW w:type="dxa" w:w="1134"/>
            <w:vAlign w:val="center"/>
            <w:shd w:fill="D9EAF7"/>
          </w:tcPr>
          <w:p>
            <w:pPr>
              <w:spacing w:after="0"/>
            </w:pPr>
            <w:r/>
            <w:r>
              <w:rPr>
                <w:rFonts w:ascii="Arial" w:hAnsi="Arial"/>
                <w:b/>
                <w:sz w:val="14"/>
              </w:rPr>
              <w:t>Config.</w:t>
            </w:r>
          </w:p>
        </w:tc>
        <w:tc>
          <w:tcPr>
            <w:tcW w:type="dxa" w:w="680"/>
            <w:vAlign w:val="center"/>
            <w:shd w:fill="D9EAF7"/>
          </w:tcPr>
          <w:p>
            <w:pPr>
              <w:spacing w:after="0"/>
            </w:pPr>
            <w:r/>
            <w:r>
              <w:rPr>
                <w:rFonts w:ascii="Arial" w:hAnsi="Arial"/>
                <w:b/>
                <w:sz w:val="14"/>
              </w:rPr>
              <w:t>Test</w:t>
            </w:r>
          </w:p>
        </w:tc>
        <w:tc>
          <w:tcPr>
            <w:tcW w:type="dxa" w:w="1474"/>
            <w:vAlign w:val="center"/>
            <w:shd w:fill="D9EAF7"/>
          </w:tcPr>
          <w:p>
            <w:pPr>
              <w:spacing w:after="0"/>
            </w:pPr>
            <w:r/>
            <w:r>
              <w:rPr>
                <w:rFonts w:ascii="Arial" w:hAnsi="Arial"/>
                <w:b/>
                <w:sz w:val="14"/>
              </w:rPr>
              <w:t>Overlap ≥4</w:t>
            </w:r>
          </w:p>
        </w:tc>
        <w:tc>
          <w:tcPr>
            <w:tcW w:type="dxa" w:w="1474"/>
            <w:vAlign w:val="center"/>
            <w:shd w:fill="D9EAF7"/>
          </w:tcPr>
          <w:p>
            <w:pPr>
              <w:spacing w:after="0"/>
            </w:pPr>
            <w:r/>
            <w:r>
              <w:rPr>
                <w:rFonts w:ascii="Arial" w:hAnsi="Arial"/>
                <w:b/>
                <w:sz w:val="14"/>
              </w:rPr>
              <w:t>Overlap ≤3</w:t>
            </w:r>
          </w:p>
        </w:tc>
        <w:tc>
          <w:tcPr>
            <w:tcW w:type="dxa" w:w="1474"/>
            <w:vAlign w:val="center"/>
            <w:shd w:fill="D9EAF7"/>
          </w:tcPr>
          <w:p>
            <w:pPr>
              <w:spacing w:after="0"/>
            </w:pPr>
            <w:r/>
            <w:r>
              <w:rPr>
                <w:rFonts w:ascii="Arial" w:hAnsi="Arial"/>
                <w:b/>
                <w:sz w:val="14"/>
              </w:rPr>
              <w:t>Filtered ≥4</w:t>
            </w:r>
          </w:p>
        </w:tc>
        <w:tc>
          <w:tcPr>
            <w:tcW w:type="dxa" w:w="1474"/>
            <w:vAlign w:val="center"/>
            <w:shd w:fill="D9EAF7"/>
          </w:tcPr>
          <w:p>
            <w:pPr>
              <w:spacing w:after="0"/>
            </w:pPr>
            <w:r/>
            <w:r>
              <w:rPr>
                <w:rFonts w:ascii="Arial" w:hAnsi="Arial"/>
                <w:b/>
                <w:sz w:val="14"/>
              </w:rPr>
              <w:t>Filtered ≤3</w:t>
            </w:r>
          </w:p>
        </w:tc>
        <w:tc>
          <w:tcPr>
            <w:tcW w:type="dxa" w:w="850"/>
            <w:vAlign w:val="center"/>
            <w:shd w:fill="D9EAF7"/>
          </w:tcPr>
          <w:p>
            <w:pPr>
              <w:spacing w:after="0"/>
            </w:pPr>
            <w:r/>
            <w:r>
              <w:rPr>
                <w:rFonts w:ascii="Arial" w:hAnsi="Arial"/>
                <w:b/>
                <w:sz w:val="14"/>
              </w:rPr>
              <w:t>Total</w:t>
            </w:r>
          </w:p>
        </w:tc>
      </w:tr>
      <w:tr>
        <w:tc>
          <w:tcPr>
            <w:tcW w:type="dxa" w:w="1134"/>
            <w:vAlign w:val="center"/>
          </w:tcPr>
          <w:p>
            <w:pPr>
              <w:spacing w:after="0"/>
            </w:pPr>
            <w:r/>
            <w:r>
              <w:rPr>
                <w:rFonts w:ascii="Arial" w:hAnsi="Arial"/>
                <w:b w:val="0"/>
                <w:sz w:val="14"/>
              </w:rPr>
              <w:t>Small</w:t>
            </w:r>
          </w:p>
        </w:tc>
        <w:tc>
          <w:tcPr>
            <w:tcW w:type="dxa" w:w="680"/>
            <w:vAlign w:val="center"/>
          </w:tcPr>
          <w:p>
            <w:pPr>
              <w:spacing w:after="0"/>
            </w:pPr>
            <w:r/>
            <w:r>
              <w:rPr>
                <w:rFonts w:ascii="Arial" w:hAnsi="Arial"/>
                <w:b w:val="0"/>
                <w:sz w:val="14"/>
              </w:rPr>
              <w:t>N1</w:t>
            </w:r>
          </w:p>
        </w:tc>
        <w:tc>
          <w:tcPr>
            <w:tcW w:type="dxa" w:w="1474"/>
            <w:vAlign w:val="center"/>
          </w:tcPr>
          <w:p>
            <w:pPr>
              <w:spacing w:after="0"/>
            </w:pPr>
            <w:r/>
            <w:r>
              <w:rPr>
                <w:rFonts w:ascii="Arial" w:hAnsi="Arial"/>
                <w:b w:val="0"/>
                <w:sz w:val="14"/>
              </w:rPr>
              <w:t>199 (15.0%)</w:t>
            </w:r>
          </w:p>
        </w:tc>
        <w:tc>
          <w:tcPr>
            <w:tcW w:type="dxa" w:w="1474"/>
            <w:vAlign w:val="center"/>
          </w:tcPr>
          <w:p>
            <w:pPr>
              <w:spacing w:after="0"/>
            </w:pPr>
            <w:r/>
            <w:r>
              <w:rPr>
                <w:rFonts w:ascii="Arial" w:hAnsi="Arial"/>
                <w:b w:val="0"/>
                <w:sz w:val="14"/>
              </w:rPr>
              <w:t>679 (51.1%)</w:t>
            </w:r>
          </w:p>
        </w:tc>
        <w:tc>
          <w:tcPr>
            <w:tcW w:type="dxa" w:w="1474"/>
            <w:vAlign w:val="center"/>
          </w:tcPr>
          <w:p>
            <w:pPr>
              <w:spacing w:after="0"/>
            </w:pPr>
            <w:r/>
            <w:r>
              <w:rPr>
                <w:rFonts w:ascii="Arial" w:hAnsi="Arial"/>
                <w:b w:val="0"/>
                <w:sz w:val="14"/>
              </w:rPr>
              <w:t>55 (4.1%)</w:t>
            </w:r>
          </w:p>
        </w:tc>
        <w:tc>
          <w:tcPr>
            <w:tcW w:type="dxa" w:w="1474"/>
            <w:vAlign w:val="center"/>
          </w:tcPr>
          <w:p>
            <w:pPr>
              <w:spacing w:after="0"/>
            </w:pPr>
            <w:r/>
            <w:r>
              <w:rPr>
                <w:rFonts w:ascii="Arial" w:hAnsi="Arial"/>
                <w:b w:val="0"/>
                <w:sz w:val="14"/>
              </w:rPr>
              <w:t>396 (29.8%)</w:t>
            </w:r>
          </w:p>
        </w:tc>
        <w:tc>
          <w:tcPr>
            <w:tcW w:type="dxa" w:w="850"/>
            <w:vAlign w:val="center"/>
          </w:tcPr>
          <w:p>
            <w:pPr>
              <w:spacing w:after="0"/>
            </w:pPr>
            <w:r/>
            <w:r>
              <w:rPr>
                <w:rFonts w:ascii="Arial" w:hAnsi="Arial"/>
                <w:b w:val="0"/>
                <w:sz w:val="14"/>
              </w:rPr>
              <w:t>1329</w:t>
            </w:r>
          </w:p>
        </w:tc>
      </w:tr>
      <w:tr>
        <w:tc>
          <w:tcPr>
            <w:tcW w:type="dxa" w:w="1134"/>
            <w:vAlign w:val="center"/>
          </w:tcPr>
          <w:p>
            <w:pPr>
              <w:spacing w:after="0"/>
            </w:pPr>
            <w:r/>
            <w:r>
              <w:rPr>
                <w:rFonts w:ascii="Arial" w:hAnsi="Arial"/>
                <w:b w:val="0"/>
                <w:sz w:val="14"/>
              </w:rPr>
              <w:t>Standard</w:t>
            </w:r>
          </w:p>
        </w:tc>
        <w:tc>
          <w:tcPr>
            <w:tcW w:type="dxa" w:w="680"/>
            <w:vAlign w:val="center"/>
          </w:tcPr>
          <w:p>
            <w:pPr>
              <w:spacing w:after="0"/>
            </w:pPr>
            <w:r/>
            <w:r>
              <w:rPr>
                <w:rFonts w:ascii="Arial" w:hAnsi="Arial"/>
                <w:b w:val="0"/>
                <w:sz w:val="14"/>
              </w:rPr>
              <w:t>N1</w:t>
            </w:r>
          </w:p>
        </w:tc>
        <w:tc>
          <w:tcPr>
            <w:tcW w:type="dxa" w:w="1474"/>
            <w:vAlign w:val="center"/>
          </w:tcPr>
          <w:p>
            <w:pPr>
              <w:spacing w:after="0"/>
            </w:pPr>
            <w:r/>
            <w:r>
              <w:rPr>
                <w:rFonts w:ascii="Arial" w:hAnsi="Arial"/>
                <w:b w:val="0"/>
                <w:sz w:val="14"/>
              </w:rPr>
              <w:t>558 (20.3%)</w:t>
            </w:r>
          </w:p>
        </w:tc>
        <w:tc>
          <w:tcPr>
            <w:tcW w:type="dxa" w:w="1474"/>
            <w:vAlign w:val="center"/>
          </w:tcPr>
          <w:p>
            <w:pPr>
              <w:spacing w:after="0"/>
            </w:pPr>
            <w:r/>
            <w:r>
              <w:rPr>
                <w:rFonts w:ascii="Arial" w:hAnsi="Arial"/>
                <w:b w:val="0"/>
                <w:sz w:val="14"/>
              </w:rPr>
              <w:t>1343 (48.9%)</w:t>
            </w:r>
          </w:p>
        </w:tc>
        <w:tc>
          <w:tcPr>
            <w:tcW w:type="dxa" w:w="1474"/>
            <w:vAlign w:val="center"/>
          </w:tcPr>
          <w:p>
            <w:pPr>
              <w:spacing w:after="0"/>
            </w:pPr>
            <w:r/>
            <w:r>
              <w:rPr>
                <w:rFonts w:ascii="Arial" w:hAnsi="Arial"/>
                <w:b w:val="0"/>
                <w:sz w:val="14"/>
              </w:rPr>
              <w:t>127 (4.6%)</w:t>
            </w:r>
          </w:p>
        </w:tc>
        <w:tc>
          <w:tcPr>
            <w:tcW w:type="dxa" w:w="1474"/>
            <w:vAlign w:val="center"/>
          </w:tcPr>
          <w:p>
            <w:pPr>
              <w:spacing w:after="0"/>
            </w:pPr>
            <w:r/>
            <w:r>
              <w:rPr>
                <w:rFonts w:ascii="Arial" w:hAnsi="Arial"/>
                <w:b w:val="0"/>
                <w:sz w:val="14"/>
              </w:rPr>
              <w:t>720 (26.2%)</w:t>
            </w:r>
          </w:p>
        </w:tc>
        <w:tc>
          <w:tcPr>
            <w:tcW w:type="dxa" w:w="850"/>
            <w:vAlign w:val="center"/>
          </w:tcPr>
          <w:p>
            <w:pPr>
              <w:spacing w:after="0"/>
            </w:pPr>
            <w:r/>
            <w:r>
              <w:rPr>
                <w:rFonts w:ascii="Arial" w:hAnsi="Arial"/>
                <w:b w:val="0"/>
                <w:sz w:val="14"/>
              </w:rPr>
              <w:t>2748</w:t>
            </w:r>
          </w:p>
        </w:tc>
      </w:tr>
      <w:tr>
        <w:tc>
          <w:tcPr>
            <w:tcW w:type="dxa" w:w="1134"/>
            <w:vAlign w:val="center"/>
          </w:tcPr>
          <w:p>
            <w:pPr>
              <w:spacing w:after="0"/>
            </w:pPr>
            <w:r/>
            <w:r>
              <w:rPr>
                <w:rFonts w:ascii="Arial" w:hAnsi="Arial"/>
                <w:b w:val="0"/>
                <w:sz w:val="14"/>
              </w:rPr>
              <w:t>Large</w:t>
            </w:r>
          </w:p>
        </w:tc>
        <w:tc>
          <w:tcPr>
            <w:tcW w:type="dxa" w:w="680"/>
            <w:vAlign w:val="center"/>
          </w:tcPr>
          <w:p>
            <w:pPr>
              <w:spacing w:after="0"/>
            </w:pPr>
            <w:r/>
            <w:r>
              <w:rPr>
                <w:rFonts w:ascii="Arial" w:hAnsi="Arial"/>
                <w:b w:val="0"/>
                <w:sz w:val="14"/>
              </w:rPr>
              <w:t>N1</w:t>
            </w:r>
          </w:p>
        </w:tc>
        <w:tc>
          <w:tcPr>
            <w:tcW w:type="dxa" w:w="1474"/>
            <w:vAlign w:val="center"/>
          </w:tcPr>
          <w:p>
            <w:pPr>
              <w:spacing w:after="0"/>
            </w:pPr>
            <w:r/>
            <w:r>
              <w:rPr>
                <w:rFonts w:ascii="Arial" w:hAnsi="Arial"/>
                <w:b w:val="0"/>
                <w:sz w:val="14"/>
              </w:rPr>
              <w:t>926 (22.9%)</w:t>
            </w:r>
          </w:p>
        </w:tc>
        <w:tc>
          <w:tcPr>
            <w:tcW w:type="dxa" w:w="1474"/>
            <w:vAlign w:val="center"/>
          </w:tcPr>
          <w:p>
            <w:pPr>
              <w:spacing w:after="0"/>
            </w:pPr>
            <w:r/>
            <w:r>
              <w:rPr>
                <w:rFonts w:ascii="Arial" w:hAnsi="Arial"/>
                <w:b w:val="0"/>
                <w:sz w:val="14"/>
              </w:rPr>
              <w:t>1930 (47.6%)</w:t>
            </w:r>
          </w:p>
        </w:tc>
        <w:tc>
          <w:tcPr>
            <w:tcW w:type="dxa" w:w="1474"/>
            <w:vAlign w:val="center"/>
          </w:tcPr>
          <w:p>
            <w:pPr>
              <w:spacing w:after="0"/>
            </w:pPr>
            <w:r/>
            <w:r>
              <w:rPr>
                <w:rFonts w:ascii="Arial" w:hAnsi="Arial"/>
                <w:b w:val="0"/>
                <w:sz w:val="14"/>
              </w:rPr>
              <w:t>191 (4.7%)</w:t>
            </w:r>
          </w:p>
        </w:tc>
        <w:tc>
          <w:tcPr>
            <w:tcW w:type="dxa" w:w="1474"/>
            <w:vAlign w:val="center"/>
          </w:tcPr>
          <w:p>
            <w:pPr>
              <w:spacing w:after="0"/>
            </w:pPr>
            <w:r/>
            <w:r>
              <w:rPr>
                <w:rFonts w:ascii="Arial" w:hAnsi="Arial"/>
                <w:b w:val="0"/>
                <w:sz w:val="14"/>
              </w:rPr>
              <w:t>1003 (24.8%)</w:t>
            </w:r>
          </w:p>
        </w:tc>
        <w:tc>
          <w:tcPr>
            <w:tcW w:type="dxa" w:w="850"/>
            <w:vAlign w:val="center"/>
          </w:tcPr>
          <w:p>
            <w:pPr>
              <w:spacing w:after="0"/>
            </w:pPr>
            <w:r/>
            <w:r>
              <w:rPr>
                <w:rFonts w:ascii="Arial" w:hAnsi="Arial"/>
                <w:b w:val="0"/>
                <w:sz w:val="14"/>
              </w:rPr>
              <w:t>4050</w:t>
            </w:r>
          </w:p>
        </w:tc>
      </w:tr>
      <w:tr>
        <w:tc>
          <w:tcPr>
            <w:tcW w:type="dxa" w:w="1134"/>
            <w:vAlign w:val="center"/>
          </w:tcPr>
          <w:p>
            <w:pPr>
              <w:spacing w:after="0"/>
            </w:pPr>
            <w:r/>
            <w:r>
              <w:rPr>
                <w:rFonts w:ascii="Arial" w:hAnsi="Arial"/>
                <w:b w:val="0"/>
                <w:sz w:val="14"/>
              </w:rPr>
              <w:t>Small</w:t>
            </w:r>
          </w:p>
        </w:tc>
        <w:tc>
          <w:tcPr>
            <w:tcW w:type="dxa" w:w="680"/>
            <w:vAlign w:val="center"/>
          </w:tcPr>
          <w:p>
            <w:pPr>
              <w:spacing w:after="0"/>
            </w:pPr>
            <w:r/>
            <w:r>
              <w:rPr>
                <w:rFonts w:ascii="Arial" w:hAnsi="Arial"/>
                <w:b w:val="0"/>
                <w:sz w:val="14"/>
              </w:rPr>
              <w:t>N5</w:t>
            </w:r>
          </w:p>
        </w:tc>
        <w:tc>
          <w:tcPr>
            <w:tcW w:type="dxa" w:w="1474"/>
            <w:vAlign w:val="center"/>
          </w:tcPr>
          <w:p>
            <w:pPr>
              <w:spacing w:after="0"/>
            </w:pPr>
            <w:r/>
            <w:r>
              <w:rPr>
                <w:rFonts w:ascii="Arial" w:hAnsi="Arial"/>
                <w:b w:val="0"/>
                <w:sz w:val="14"/>
              </w:rPr>
              <w:t>394 (37.7%)</w:t>
            </w:r>
          </w:p>
        </w:tc>
        <w:tc>
          <w:tcPr>
            <w:tcW w:type="dxa" w:w="1474"/>
            <w:vAlign w:val="center"/>
          </w:tcPr>
          <w:p>
            <w:pPr>
              <w:spacing w:after="0"/>
            </w:pPr>
            <w:r/>
            <w:r>
              <w:rPr>
                <w:rFonts w:ascii="Arial" w:hAnsi="Arial"/>
                <w:b w:val="0"/>
                <w:sz w:val="14"/>
              </w:rPr>
              <w:t>318 (30.4%)</w:t>
            </w:r>
          </w:p>
        </w:tc>
        <w:tc>
          <w:tcPr>
            <w:tcW w:type="dxa" w:w="1474"/>
            <w:vAlign w:val="center"/>
          </w:tcPr>
          <w:p>
            <w:pPr>
              <w:spacing w:after="0"/>
            </w:pPr>
            <w:r/>
            <w:r>
              <w:rPr>
                <w:rFonts w:ascii="Arial" w:hAnsi="Arial"/>
                <w:b w:val="0"/>
                <w:sz w:val="14"/>
              </w:rPr>
              <w:t>112 (10.8%)</w:t>
            </w:r>
          </w:p>
        </w:tc>
        <w:tc>
          <w:tcPr>
            <w:tcW w:type="dxa" w:w="1474"/>
            <w:vAlign w:val="center"/>
          </w:tcPr>
          <w:p>
            <w:pPr>
              <w:spacing w:after="0"/>
            </w:pPr>
            <w:r/>
            <w:r>
              <w:rPr>
                <w:rFonts w:ascii="Arial" w:hAnsi="Arial"/>
                <w:b w:val="0"/>
                <w:sz w:val="14"/>
              </w:rPr>
              <w:t>221 (21.1%)</w:t>
            </w:r>
          </w:p>
        </w:tc>
        <w:tc>
          <w:tcPr>
            <w:tcW w:type="dxa" w:w="850"/>
            <w:vAlign w:val="center"/>
          </w:tcPr>
          <w:p>
            <w:pPr>
              <w:spacing w:after="0"/>
            </w:pPr>
            <w:r/>
            <w:r>
              <w:rPr>
                <w:rFonts w:ascii="Arial" w:hAnsi="Arial"/>
                <w:b w:val="0"/>
                <w:sz w:val="14"/>
              </w:rPr>
              <w:t>1045</w:t>
            </w:r>
          </w:p>
        </w:tc>
      </w:tr>
      <w:tr>
        <w:tc>
          <w:tcPr>
            <w:tcW w:type="dxa" w:w="1134"/>
            <w:vAlign w:val="center"/>
          </w:tcPr>
          <w:p>
            <w:pPr>
              <w:spacing w:after="0"/>
            </w:pPr>
            <w:r/>
            <w:r>
              <w:rPr>
                <w:rFonts w:ascii="Arial" w:hAnsi="Arial"/>
                <w:b w:val="0"/>
                <w:sz w:val="14"/>
              </w:rPr>
              <w:t>Standard</w:t>
            </w:r>
          </w:p>
        </w:tc>
        <w:tc>
          <w:tcPr>
            <w:tcW w:type="dxa" w:w="680"/>
            <w:vAlign w:val="center"/>
          </w:tcPr>
          <w:p>
            <w:pPr>
              <w:spacing w:after="0"/>
            </w:pPr>
            <w:r/>
            <w:r>
              <w:rPr>
                <w:rFonts w:ascii="Arial" w:hAnsi="Arial"/>
                <w:b w:val="0"/>
                <w:sz w:val="14"/>
              </w:rPr>
              <w:t>N5</w:t>
            </w:r>
          </w:p>
        </w:tc>
        <w:tc>
          <w:tcPr>
            <w:tcW w:type="dxa" w:w="1474"/>
            <w:vAlign w:val="center"/>
          </w:tcPr>
          <w:p>
            <w:pPr>
              <w:spacing w:after="0"/>
            </w:pPr>
            <w:r/>
            <w:r>
              <w:rPr>
                <w:rFonts w:ascii="Arial" w:hAnsi="Arial"/>
                <w:b w:val="0"/>
                <w:sz w:val="14"/>
              </w:rPr>
              <w:t>930 (40.1%)</w:t>
            </w:r>
          </w:p>
        </w:tc>
        <w:tc>
          <w:tcPr>
            <w:tcW w:type="dxa" w:w="1474"/>
            <w:vAlign w:val="center"/>
          </w:tcPr>
          <w:p>
            <w:pPr>
              <w:spacing w:after="0"/>
            </w:pPr>
            <w:r/>
            <w:r>
              <w:rPr>
                <w:rFonts w:ascii="Arial" w:hAnsi="Arial"/>
                <w:b w:val="0"/>
                <w:sz w:val="14"/>
              </w:rPr>
              <w:t>662 (28.6%)</w:t>
            </w:r>
          </w:p>
        </w:tc>
        <w:tc>
          <w:tcPr>
            <w:tcW w:type="dxa" w:w="1474"/>
            <w:vAlign w:val="center"/>
          </w:tcPr>
          <w:p>
            <w:pPr>
              <w:spacing w:after="0"/>
            </w:pPr>
            <w:r/>
            <w:r>
              <w:rPr>
                <w:rFonts w:ascii="Arial" w:hAnsi="Arial"/>
                <w:b w:val="0"/>
                <w:sz w:val="14"/>
              </w:rPr>
              <w:t>279 (12.0%)</w:t>
            </w:r>
          </w:p>
        </w:tc>
        <w:tc>
          <w:tcPr>
            <w:tcW w:type="dxa" w:w="1474"/>
            <w:vAlign w:val="center"/>
          </w:tcPr>
          <w:p>
            <w:pPr>
              <w:spacing w:after="0"/>
            </w:pPr>
            <w:r/>
            <w:r>
              <w:rPr>
                <w:rFonts w:ascii="Arial" w:hAnsi="Arial"/>
                <w:b w:val="0"/>
                <w:sz w:val="14"/>
              </w:rPr>
              <w:t>447 (19.3%)</w:t>
            </w:r>
          </w:p>
        </w:tc>
        <w:tc>
          <w:tcPr>
            <w:tcW w:type="dxa" w:w="850"/>
            <w:vAlign w:val="center"/>
          </w:tcPr>
          <w:p>
            <w:pPr>
              <w:spacing w:after="0"/>
            </w:pPr>
            <w:r/>
            <w:r>
              <w:rPr>
                <w:rFonts w:ascii="Arial" w:hAnsi="Arial"/>
                <w:b w:val="0"/>
                <w:sz w:val="14"/>
              </w:rPr>
              <w:t>2318</w:t>
            </w:r>
          </w:p>
        </w:tc>
      </w:tr>
      <w:tr>
        <w:tc>
          <w:tcPr>
            <w:tcW w:type="dxa" w:w="1134"/>
            <w:vAlign w:val="center"/>
          </w:tcPr>
          <w:p>
            <w:pPr>
              <w:spacing w:after="0"/>
            </w:pPr>
            <w:r/>
            <w:r>
              <w:rPr>
                <w:rFonts w:ascii="Arial" w:hAnsi="Arial"/>
                <w:b w:val="0"/>
                <w:sz w:val="14"/>
              </w:rPr>
              <w:t>Large</w:t>
            </w:r>
          </w:p>
        </w:tc>
        <w:tc>
          <w:tcPr>
            <w:tcW w:type="dxa" w:w="680"/>
            <w:vAlign w:val="center"/>
          </w:tcPr>
          <w:p>
            <w:pPr>
              <w:spacing w:after="0"/>
            </w:pPr>
            <w:r/>
            <w:r>
              <w:rPr>
                <w:rFonts w:ascii="Arial" w:hAnsi="Arial"/>
                <w:b w:val="0"/>
                <w:sz w:val="14"/>
              </w:rPr>
              <w:t>N5</w:t>
            </w:r>
          </w:p>
        </w:tc>
        <w:tc>
          <w:tcPr>
            <w:tcW w:type="dxa" w:w="1474"/>
            <w:vAlign w:val="center"/>
          </w:tcPr>
          <w:p>
            <w:pPr>
              <w:spacing w:after="0"/>
            </w:pPr>
            <w:r/>
            <w:r>
              <w:rPr>
                <w:rFonts w:ascii="Arial" w:hAnsi="Arial"/>
                <w:b w:val="0"/>
                <w:sz w:val="14"/>
              </w:rPr>
              <w:t>1528 (41.1%)</w:t>
            </w:r>
          </w:p>
        </w:tc>
        <w:tc>
          <w:tcPr>
            <w:tcW w:type="dxa" w:w="1474"/>
            <w:vAlign w:val="center"/>
          </w:tcPr>
          <w:p>
            <w:pPr>
              <w:spacing w:after="0"/>
            </w:pPr>
            <w:r/>
            <w:r>
              <w:rPr>
                <w:rFonts w:ascii="Arial" w:hAnsi="Arial"/>
                <w:b w:val="0"/>
                <w:sz w:val="14"/>
              </w:rPr>
              <w:t>1056 (28.4%)</w:t>
            </w:r>
          </w:p>
        </w:tc>
        <w:tc>
          <w:tcPr>
            <w:tcW w:type="dxa" w:w="1474"/>
            <w:vAlign w:val="center"/>
          </w:tcPr>
          <w:p>
            <w:pPr>
              <w:spacing w:after="0"/>
            </w:pPr>
            <w:r/>
            <w:r>
              <w:rPr>
                <w:rFonts w:ascii="Arial" w:hAnsi="Arial"/>
                <w:b w:val="0"/>
                <w:sz w:val="14"/>
              </w:rPr>
              <w:t>504 (13.6%)</w:t>
            </w:r>
          </w:p>
        </w:tc>
        <w:tc>
          <w:tcPr>
            <w:tcW w:type="dxa" w:w="1474"/>
            <w:vAlign w:val="center"/>
          </w:tcPr>
          <w:p>
            <w:pPr>
              <w:spacing w:after="0"/>
            </w:pPr>
            <w:r/>
            <w:r>
              <w:rPr>
                <w:rFonts w:ascii="Arial" w:hAnsi="Arial"/>
                <w:b w:val="0"/>
                <w:sz w:val="14"/>
              </w:rPr>
              <w:t>630 (16.9%)</w:t>
            </w:r>
          </w:p>
        </w:tc>
        <w:tc>
          <w:tcPr>
            <w:tcW w:type="dxa" w:w="850"/>
            <w:vAlign w:val="center"/>
          </w:tcPr>
          <w:p>
            <w:pPr>
              <w:spacing w:after="0"/>
            </w:pPr>
            <w:r/>
            <w:r>
              <w:rPr>
                <w:rFonts w:ascii="Arial" w:hAnsi="Arial"/>
                <w:b w:val="0"/>
                <w:sz w:val="14"/>
              </w:rPr>
              <w:t>3718</w:t>
            </w:r>
          </w:p>
        </w:tc>
      </w:tr>
    </w:tbl>
    <w:p>
      <w:pPr>
        <w:spacing w:after="0"/>
      </w:pPr>
    </w:p>
    <w:p>
      <w:pPr>
        <w:keepNext/>
        <w:spacing w:before="80" w:after="60"/>
      </w:pPr>
      <w:r>
        <w:rPr>
          <w:rFonts w:ascii="Arial" w:hAnsi="Arial"/>
          <w:b/>
          <w:sz w:val="18"/>
        </w:rPr>
        <w:t>Table S3. Graph2Path success on full and reaction-disjoint filtered subsets.</w:t>
      </w:r>
    </w:p>
    <w:tbl>
      <w:tblPr>
        <w:tblStyle w:val="TableGrid"/>
        <w:tblW w:type="auto" w:w="0"/>
        <w:jc w:val="center"/>
        <w:tblLayout w:type="fixed"/>
        <w:tblLook w:firstColumn="1" w:firstRow="1" w:lastColumn="0" w:lastRow="0" w:noHBand="0" w:noVBand="1" w:val="04A0"/>
      </w:tblPr>
      <w:tblGrid>
        <w:gridCol w:w="1973"/>
        <w:gridCol w:w="1973"/>
        <w:gridCol w:w="1973"/>
        <w:gridCol w:w="1973"/>
        <w:gridCol w:w="1973"/>
      </w:tblGrid>
      <w:tr>
        <w:trPr>
          <w:tblHeader w:val="true"/>
        </w:trPr>
        <w:tc>
          <w:tcPr>
            <w:tcW w:type="dxa" w:w="1984"/>
            <w:vAlign w:val="center"/>
            <w:shd w:fill="D9EAF7"/>
          </w:tcPr>
          <w:p>
            <w:pPr>
              <w:spacing w:after="0"/>
            </w:pPr>
            <w:r/>
            <w:r>
              <w:rPr>
                <w:rFonts w:ascii="Arial" w:hAnsi="Arial"/>
                <w:b/>
                <w:sz w:val="16"/>
              </w:rPr>
              <w:t>Configuration</w:t>
            </w:r>
          </w:p>
        </w:tc>
        <w:tc>
          <w:tcPr>
            <w:tcW w:type="dxa" w:w="1247"/>
            <w:vAlign w:val="center"/>
            <w:shd w:fill="D9EAF7"/>
          </w:tcPr>
          <w:p>
            <w:pPr>
              <w:spacing w:after="0"/>
            </w:pPr>
            <w:r/>
            <w:r>
              <w:rPr>
                <w:rFonts w:ascii="Arial" w:hAnsi="Arial"/>
                <w:b/>
                <w:sz w:val="16"/>
              </w:rPr>
              <w:t>Test set</w:t>
            </w:r>
          </w:p>
        </w:tc>
        <w:tc>
          <w:tcPr>
            <w:tcW w:type="dxa" w:w="1247"/>
            <w:vAlign w:val="center"/>
            <w:shd w:fill="D9EAF7"/>
          </w:tcPr>
          <w:p>
            <w:pPr>
              <w:spacing w:after="0"/>
            </w:pPr>
            <w:r/>
            <w:r>
              <w:rPr>
                <w:rFonts w:ascii="Arial" w:hAnsi="Arial"/>
                <w:b/>
                <w:sz w:val="16"/>
              </w:rPr>
              <w:t>Full</w:t>
            </w:r>
          </w:p>
        </w:tc>
        <w:tc>
          <w:tcPr>
            <w:tcW w:type="dxa" w:w="1247"/>
            <w:vAlign w:val="center"/>
            <w:shd w:fill="D9EAF7"/>
          </w:tcPr>
          <w:p>
            <w:pPr>
              <w:spacing w:after="0"/>
            </w:pPr>
            <w:r/>
            <w:r>
              <w:rPr>
                <w:rFonts w:ascii="Arial" w:hAnsi="Arial"/>
                <w:b/>
                <w:sz w:val="16"/>
              </w:rPr>
              <w:t>Filtered</w:t>
            </w:r>
          </w:p>
        </w:tc>
        <w:tc>
          <w:tcPr>
            <w:tcW w:type="dxa" w:w="1417"/>
            <w:vAlign w:val="center"/>
            <w:shd w:fill="D9EAF7"/>
          </w:tcPr>
          <w:p>
            <w:pPr>
              <w:spacing w:after="0"/>
            </w:pPr>
            <w:r/>
            <w:r>
              <w:rPr>
                <w:rFonts w:ascii="Arial" w:hAnsi="Arial"/>
                <w:b/>
                <w:sz w:val="16"/>
              </w:rPr>
              <w:t>Difference</w:t>
            </w:r>
          </w:p>
        </w:tc>
      </w:tr>
      <w:tr>
        <w:tc>
          <w:tcPr>
            <w:tcW w:type="dxa" w:w="1984"/>
            <w:vAlign w:val="center"/>
          </w:tcPr>
          <w:p>
            <w:pPr>
              <w:spacing w:after="0"/>
            </w:pPr>
            <w:r/>
            <w:r>
              <w:rPr>
                <w:rFonts w:ascii="Arial" w:hAnsi="Arial"/>
                <w:b w:val="0"/>
                <w:sz w:val="16"/>
              </w:rPr>
              <w:t>Small</w:t>
            </w:r>
          </w:p>
        </w:tc>
        <w:tc>
          <w:tcPr>
            <w:tcW w:type="dxa" w:w="1247"/>
            <w:vAlign w:val="center"/>
          </w:tcPr>
          <w:p>
            <w:pPr>
              <w:spacing w:after="0"/>
            </w:pPr>
            <w:r/>
            <w:r>
              <w:rPr>
                <w:rFonts w:ascii="Arial" w:hAnsi="Arial"/>
                <w:b w:val="0"/>
                <w:sz w:val="16"/>
              </w:rPr>
              <w:t>N1</w:t>
            </w:r>
          </w:p>
        </w:tc>
        <w:tc>
          <w:tcPr>
            <w:tcW w:type="dxa" w:w="1247"/>
            <w:vAlign w:val="center"/>
          </w:tcPr>
          <w:p>
            <w:pPr>
              <w:spacing w:after="0"/>
            </w:pPr>
            <w:r/>
            <w:r>
              <w:rPr>
                <w:rFonts w:ascii="Arial" w:hAnsi="Arial"/>
                <w:b w:val="0"/>
                <w:sz w:val="16"/>
              </w:rPr>
              <w:t>0.937</w:t>
            </w:r>
          </w:p>
        </w:tc>
        <w:tc>
          <w:tcPr>
            <w:tcW w:type="dxa" w:w="1247"/>
            <w:vAlign w:val="center"/>
          </w:tcPr>
          <w:p>
            <w:pPr>
              <w:spacing w:after="0"/>
            </w:pPr>
            <w:r/>
            <w:r>
              <w:rPr>
                <w:rFonts w:ascii="Arial" w:hAnsi="Arial"/>
                <w:b w:val="0"/>
                <w:sz w:val="16"/>
              </w:rPr>
              <w:t>0.936</w:t>
            </w:r>
          </w:p>
        </w:tc>
        <w:tc>
          <w:tcPr>
            <w:tcW w:type="dxa" w:w="1417"/>
            <w:vAlign w:val="center"/>
          </w:tcPr>
          <w:p>
            <w:pPr>
              <w:spacing w:after="0"/>
            </w:pPr>
            <w:r/>
            <w:r>
              <w:rPr>
                <w:rFonts w:ascii="Arial" w:hAnsi="Arial"/>
                <w:b w:val="0"/>
                <w:sz w:val="16"/>
              </w:rPr>
              <w:t>−0.001</w:t>
            </w:r>
          </w:p>
        </w:tc>
      </w:tr>
      <w:tr>
        <w:tc>
          <w:tcPr>
            <w:tcW w:type="dxa" w:w="1984"/>
            <w:vAlign w:val="center"/>
          </w:tcPr>
          <w:p>
            <w:pPr>
              <w:spacing w:after="0"/>
            </w:pPr>
            <w:r/>
            <w:r>
              <w:rPr>
                <w:rFonts w:ascii="Arial" w:hAnsi="Arial"/>
                <w:b w:val="0"/>
                <w:sz w:val="16"/>
              </w:rPr>
              <w:t>Standard</w:t>
            </w:r>
          </w:p>
        </w:tc>
        <w:tc>
          <w:tcPr>
            <w:tcW w:type="dxa" w:w="1247"/>
            <w:vAlign w:val="center"/>
          </w:tcPr>
          <w:p>
            <w:pPr>
              <w:spacing w:after="0"/>
            </w:pPr>
            <w:r/>
            <w:r>
              <w:rPr>
                <w:rFonts w:ascii="Arial" w:hAnsi="Arial"/>
                <w:b w:val="0"/>
                <w:sz w:val="16"/>
              </w:rPr>
              <w:t>N1</w:t>
            </w:r>
          </w:p>
        </w:tc>
        <w:tc>
          <w:tcPr>
            <w:tcW w:type="dxa" w:w="1247"/>
            <w:vAlign w:val="center"/>
          </w:tcPr>
          <w:p>
            <w:pPr>
              <w:spacing w:after="0"/>
            </w:pPr>
            <w:r/>
            <w:r>
              <w:rPr>
                <w:rFonts w:ascii="Arial" w:hAnsi="Arial"/>
                <w:b w:val="0"/>
                <w:sz w:val="16"/>
              </w:rPr>
              <w:t>0.935</w:t>
            </w:r>
          </w:p>
        </w:tc>
        <w:tc>
          <w:tcPr>
            <w:tcW w:type="dxa" w:w="1247"/>
            <w:vAlign w:val="center"/>
          </w:tcPr>
          <w:p>
            <w:pPr>
              <w:spacing w:after="0"/>
            </w:pPr>
            <w:r/>
            <w:r>
              <w:rPr>
                <w:rFonts w:ascii="Arial" w:hAnsi="Arial"/>
                <w:b w:val="0"/>
                <w:sz w:val="16"/>
              </w:rPr>
              <w:t>0.937</w:t>
            </w:r>
          </w:p>
        </w:tc>
        <w:tc>
          <w:tcPr>
            <w:tcW w:type="dxa" w:w="1417"/>
            <w:vAlign w:val="center"/>
          </w:tcPr>
          <w:p>
            <w:pPr>
              <w:spacing w:after="0"/>
            </w:pPr>
            <w:r/>
            <w:r>
              <w:rPr>
                <w:rFonts w:ascii="Arial" w:hAnsi="Arial"/>
                <w:b w:val="0"/>
                <w:sz w:val="16"/>
              </w:rPr>
              <w:t>+0.002</w:t>
            </w:r>
          </w:p>
        </w:tc>
      </w:tr>
      <w:tr>
        <w:tc>
          <w:tcPr>
            <w:tcW w:type="dxa" w:w="1984"/>
            <w:vAlign w:val="center"/>
          </w:tcPr>
          <w:p>
            <w:pPr>
              <w:spacing w:after="0"/>
            </w:pPr>
            <w:r/>
            <w:r>
              <w:rPr>
                <w:rFonts w:ascii="Arial" w:hAnsi="Arial"/>
                <w:b w:val="0"/>
                <w:sz w:val="16"/>
              </w:rPr>
              <w:t>Large</w:t>
            </w:r>
          </w:p>
        </w:tc>
        <w:tc>
          <w:tcPr>
            <w:tcW w:type="dxa" w:w="1247"/>
            <w:vAlign w:val="center"/>
          </w:tcPr>
          <w:p>
            <w:pPr>
              <w:spacing w:after="0"/>
            </w:pPr>
            <w:r/>
            <w:r>
              <w:rPr>
                <w:rFonts w:ascii="Arial" w:hAnsi="Arial"/>
                <w:b w:val="0"/>
                <w:sz w:val="16"/>
              </w:rPr>
              <w:t>N1</w:t>
            </w:r>
          </w:p>
        </w:tc>
        <w:tc>
          <w:tcPr>
            <w:tcW w:type="dxa" w:w="1247"/>
            <w:vAlign w:val="center"/>
          </w:tcPr>
          <w:p>
            <w:pPr>
              <w:spacing w:after="0"/>
            </w:pPr>
            <w:r/>
            <w:r>
              <w:rPr>
                <w:rFonts w:ascii="Arial" w:hAnsi="Arial"/>
                <w:b w:val="0"/>
                <w:sz w:val="16"/>
              </w:rPr>
              <w:t>0.937</w:t>
            </w:r>
          </w:p>
        </w:tc>
        <w:tc>
          <w:tcPr>
            <w:tcW w:type="dxa" w:w="1247"/>
            <w:vAlign w:val="center"/>
          </w:tcPr>
          <w:p>
            <w:pPr>
              <w:spacing w:after="0"/>
            </w:pPr>
            <w:r/>
            <w:r>
              <w:rPr>
                <w:rFonts w:ascii="Arial" w:hAnsi="Arial"/>
                <w:b w:val="0"/>
                <w:sz w:val="16"/>
              </w:rPr>
              <w:t>0.937</w:t>
            </w:r>
          </w:p>
        </w:tc>
        <w:tc>
          <w:tcPr>
            <w:tcW w:type="dxa" w:w="1417"/>
            <w:vAlign w:val="center"/>
          </w:tcPr>
          <w:p>
            <w:pPr>
              <w:spacing w:after="0"/>
            </w:pPr>
            <w:r/>
            <w:r>
              <w:rPr>
                <w:rFonts w:ascii="Arial" w:hAnsi="Arial"/>
                <w:b w:val="0"/>
                <w:sz w:val="16"/>
              </w:rPr>
              <w:t>0.000</w:t>
            </w:r>
          </w:p>
        </w:tc>
      </w:tr>
      <w:tr>
        <w:tc>
          <w:tcPr>
            <w:tcW w:type="dxa" w:w="1984"/>
            <w:vAlign w:val="center"/>
          </w:tcPr>
          <w:p>
            <w:pPr>
              <w:spacing w:after="0"/>
            </w:pPr>
            <w:r/>
            <w:r>
              <w:rPr>
                <w:rFonts w:ascii="Arial" w:hAnsi="Arial"/>
                <w:b w:val="0"/>
                <w:sz w:val="16"/>
              </w:rPr>
              <w:t>Small</w:t>
            </w:r>
          </w:p>
        </w:tc>
        <w:tc>
          <w:tcPr>
            <w:tcW w:type="dxa" w:w="1247"/>
            <w:vAlign w:val="center"/>
          </w:tcPr>
          <w:p>
            <w:pPr>
              <w:spacing w:after="0"/>
            </w:pPr>
            <w:r/>
            <w:r>
              <w:rPr>
                <w:rFonts w:ascii="Arial" w:hAnsi="Arial"/>
                <w:b w:val="0"/>
                <w:sz w:val="16"/>
              </w:rPr>
              <w:t>N5</w:t>
            </w:r>
          </w:p>
        </w:tc>
        <w:tc>
          <w:tcPr>
            <w:tcW w:type="dxa" w:w="1247"/>
            <w:vAlign w:val="center"/>
          </w:tcPr>
          <w:p>
            <w:pPr>
              <w:spacing w:after="0"/>
            </w:pPr>
            <w:r/>
            <w:r>
              <w:rPr>
                <w:rFonts w:ascii="Arial" w:hAnsi="Arial"/>
                <w:b w:val="0"/>
                <w:sz w:val="16"/>
              </w:rPr>
              <w:t>0.887</w:t>
            </w:r>
          </w:p>
        </w:tc>
        <w:tc>
          <w:tcPr>
            <w:tcW w:type="dxa" w:w="1247"/>
            <w:vAlign w:val="center"/>
          </w:tcPr>
          <w:p>
            <w:pPr>
              <w:spacing w:after="0"/>
            </w:pPr>
            <w:r/>
            <w:r>
              <w:rPr>
                <w:rFonts w:ascii="Arial" w:hAnsi="Arial"/>
                <w:b w:val="0"/>
                <w:sz w:val="16"/>
              </w:rPr>
              <w:t>0.901</w:t>
            </w:r>
          </w:p>
        </w:tc>
        <w:tc>
          <w:tcPr>
            <w:tcW w:type="dxa" w:w="1417"/>
            <w:vAlign w:val="center"/>
          </w:tcPr>
          <w:p>
            <w:pPr>
              <w:spacing w:after="0"/>
            </w:pPr>
            <w:r/>
            <w:r>
              <w:rPr>
                <w:rFonts w:ascii="Arial" w:hAnsi="Arial"/>
                <w:b w:val="0"/>
                <w:sz w:val="16"/>
              </w:rPr>
              <w:t>+0.014</w:t>
            </w:r>
          </w:p>
        </w:tc>
      </w:tr>
      <w:tr>
        <w:tc>
          <w:tcPr>
            <w:tcW w:type="dxa" w:w="1984"/>
            <w:vAlign w:val="center"/>
          </w:tcPr>
          <w:p>
            <w:pPr>
              <w:spacing w:after="0"/>
            </w:pPr>
            <w:r/>
            <w:r>
              <w:rPr>
                <w:rFonts w:ascii="Arial" w:hAnsi="Arial"/>
                <w:b w:val="0"/>
                <w:sz w:val="16"/>
              </w:rPr>
              <w:t>Standard</w:t>
            </w:r>
          </w:p>
        </w:tc>
        <w:tc>
          <w:tcPr>
            <w:tcW w:type="dxa" w:w="1247"/>
            <w:vAlign w:val="center"/>
          </w:tcPr>
          <w:p>
            <w:pPr>
              <w:spacing w:after="0"/>
            </w:pPr>
            <w:r/>
            <w:r>
              <w:rPr>
                <w:rFonts w:ascii="Arial" w:hAnsi="Arial"/>
                <w:b w:val="0"/>
                <w:sz w:val="16"/>
              </w:rPr>
              <w:t>N5</w:t>
            </w:r>
          </w:p>
        </w:tc>
        <w:tc>
          <w:tcPr>
            <w:tcW w:type="dxa" w:w="1247"/>
            <w:vAlign w:val="center"/>
          </w:tcPr>
          <w:p>
            <w:pPr>
              <w:spacing w:after="0"/>
            </w:pPr>
            <w:r/>
            <w:r>
              <w:rPr>
                <w:rFonts w:ascii="Arial" w:hAnsi="Arial"/>
                <w:b w:val="0"/>
                <w:sz w:val="16"/>
              </w:rPr>
              <w:t>0.919</w:t>
            </w:r>
          </w:p>
        </w:tc>
        <w:tc>
          <w:tcPr>
            <w:tcW w:type="dxa" w:w="1247"/>
            <w:vAlign w:val="center"/>
          </w:tcPr>
          <w:p>
            <w:pPr>
              <w:spacing w:after="0"/>
            </w:pPr>
            <w:r/>
            <w:r>
              <w:rPr>
                <w:rFonts w:ascii="Arial" w:hAnsi="Arial"/>
                <w:b w:val="0"/>
                <w:sz w:val="16"/>
              </w:rPr>
              <w:t>0.930</w:t>
            </w:r>
          </w:p>
        </w:tc>
        <w:tc>
          <w:tcPr>
            <w:tcW w:type="dxa" w:w="1417"/>
            <w:vAlign w:val="center"/>
          </w:tcPr>
          <w:p>
            <w:pPr>
              <w:spacing w:after="0"/>
            </w:pPr>
            <w:r/>
            <w:r>
              <w:rPr>
                <w:rFonts w:ascii="Arial" w:hAnsi="Arial"/>
                <w:b w:val="0"/>
                <w:sz w:val="16"/>
              </w:rPr>
              <w:t>+0.011</w:t>
            </w:r>
          </w:p>
        </w:tc>
      </w:tr>
      <w:tr>
        <w:tc>
          <w:tcPr>
            <w:tcW w:type="dxa" w:w="1984"/>
            <w:vAlign w:val="center"/>
          </w:tcPr>
          <w:p>
            <w:pPr>
              <w:spacing w:after="0"/>
            </w:pPr>
            <w:r/>
            <w:r>
              <w:rPr>
                <w:rFonts w:ascii="Arial" w:hAnsi="Arial"/>
                <w:b w:val="0"/>
                <w:sz w:val="16"/>
              </w:rPr>
              <w:t>Large</w:t>
            </w:r>
          </w:p>
        </w:tc>
        <w:tc>
          <w:tcPr>
            <w:tcW w:type="dxa" w:w="1247"/>
            <w:vAlign w:val="center"/>
          </w:tcPr>
          <w:p>
            <w:pPr>
              <w:spacing w:after="0"/>
            </w:pPr>
            <w:r/>
            <w:r>
              <w:rPr>
                <w:rFonts w:ascii="Arial" w:hAnsi="Arial"/>
                <w:b w:val="0"/>
                <w:sz w:val="16"/>
              </w:rPr>
              <w:t>N5</w:t>
            </w:r>
          </w:p>
        </w:tc>
        <w:tc>
          <w:tcPr>
            <w:tcW w:type="dxa" w:w="1247"/>
            <w:vAlign w:val="center"/>
          </w:tcPr>
          <w:p>
            <w:pPr>
              <w:spacing w:after="0"/>
            </w:pPr>
            <w:r/>
            <w:r>
              <w:rPr>
                <w:rFonts w:ascii="Arial" w:hAnsi="Arial"/>
                <w:b w:val="0"/>
                <w:sz w:val="16"/>
              </w:rPr>
              <w:t>0.923</w:t>
            </w:r>
          </w:p>
        </w:tc>
        <w:tc>
          <w:tcPr>
            <w:tcW w:type="dxa" w:w="1247"/>
            <w:vAlign w:val="center"/>
          </w:tcPr>
          <w:p>
            <w:pPr>
              <w:spacing w:after="0"/>
            </w:pPr>
            <w:r/>
            <w:r>
              <w:rPr>
                <w:rFonts w:ascii="Arial" w:hAnsi="Arial"/>
                <w:b w:val="0"/>
                <w:sz w:val="16"/>
              </w:rPr>
              <w:t>0.932</w:t>
            </w:r>
          </w:p>
        </w:tc>
        <w:tc>
          <w:tcPr>
            <w:tcW w:type="dxa" w:w="1417"/>
            <w:vAlign w:val="center"/>
          </w:tcPr>
          <w:p>
            <w:pPr>
              <w:spacing w:after="0"/>
            </w:pPr>
            <w:r/>
            <w:r>
              <w:rPr>
                <w:rFonts w:ascii="Arial" w:hAnsi="Arial"/>
                <w:b w:val="0"/>
                <w:sz w:val="16"/>
              </w:rPr>
              <w:t>+0.009</w:t>
            </w:r>
          </w:p>
        </w:tc>
      </w:tr>
    </w:tbl>
    <w:p>
      <w:pPr>
        <w:spacing w:after="0"/>
      </w:pPr>
    </w:p>
    <w:p>
      <w:r>
        <w:t>The filtered subsets are more concentrated in short routes. For Standard N5, 61.6% of filtered routes have length at most three, compared with 47.8% of the full test set. The aggregate changes in Table S3 cannot therefore be attributed only to reaction overlap.</w:t>
      </w:r>
    </w:p>
    <w:p>
      <w:pPr>
        <w:pStyle w:val="Heading1"/>
      </w:pPr>
      <w:r>
        <w:t>Second route example</w:t>
      </w:r>
    </w:p>
    <w:p>
      <w:pPr>
        <w:jc w:val="center"/>
      </w:pPr>
      <w:r>
        <w:drawing>
          <wp:inline xmlns:a="http://schemas.openxmlformats.org/drawingml/2006/main" xmlns:pic="http://schemas.openxmlformats.org/drawingml/2006/picture">
            <wp:extent cx="6048000" cy="6215984"/>
            <wp:docPr id="1" name="Picture 1"/>
            <wp:cNvGraphicFramePr>
              <a:graphicFrameLocks noChangeAspect="1"/>
            </wp:cNvGraphicFramePr>
            <a:graphic>
              <a:graphicData uri="http://schemas.openxmlformats.org/drawingml/2006/picture">
                <pic:pic>
                  <pic:nvPicPr>
                    <pic:cNvPr id="0" name="route-case-2-label-fixed.png"/>
                    <pic:cNvPicPr/>
                  </pic:nvPicPr>
                  <pic:blipFill>
                    <a:blip r:embed="rId9"/>
                    <a:stretch>
                      <a:fillRect/>
                    </a:stretch>
                  </pic:blipFill>
                  <pic:spPr>
                    <a:xfrm>
                      <a:off x="0" y="0"/>
                      <a:ext cx="6048000" cy="6215984"/>
                    </a:xfrm>
                    <a:prstGeom prst="rect"/>
                  </pic:spPr>
                </pic:pic>
              </a:graphicData>
            </a:graphic>
          </wp:inline>
        </w:drawing>
      </w:r>
    </w:p>
    <w:p>
      <w:pPr>
        <w:jc w:val="left"/>
      </w:pPr>
      <w:r>
        <w:rPr>
          <w:b/>
        </w:rPr>
        <w:t xml:space="preserve">Figure S1. </w:t>
      </w:r>
      <w:r>
        <w:t>Second route example. The panels show the benchmark reference route, the Graph2Path route, and the RetroSynFormer route. Green boxes mark terminal stock compounds and the red box marks the highlighted non-stock branch. Activity labels 0.89 and 0.81 are model predictions at the indicated first-step sites.</w:t>
      </w:r>
    </w:p>
    <w:sectPr w:rsidR="00FC693F" w:rsidRPr="0006063C" w:rsidSect="00034616">
      <w:footerReference w:type="default" r:id="rId10"/>
      <w:pgSz w:w="11906" w:h="16838"/>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33333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Resource 1: Supplementary Information for Graph2Path</dc:title>
  <dc:subject>Supplementary Information submitted to Chemical Papers</dc:subject>
  <dc:creator>Wenxv Li et al.</dc:creator>
  <cp:keywords/>
  <dc:description>generated by python-docx</dc:description>
  <cp:lastModifiedBy/>
  <cp:revision>1</cp:revision>
  <dcterms:created xsi:type="dcterms:W3CDTF">2013-12-23T23:15:00Z</dcterms:created>
  <dcterms:modified xsi:type="dcterms:W3CDTF">2013-12-23T23:15:00Z</dcterms:modified>
  <cp:category/>
</cp:coreProperties>
</file>