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3.png" ContentType="image/png"/>
  <Override PartName="/word/media/rId26.png" ContentType="image/png"/>
  <Override PartName="/word/media/rId29.png" ContentType="image/png"/>
  <Override PartName="/word/media/rId32.png" ContentType="image/png"/>
  <Override PartName="/word/media/rId35.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online-resource-1"/>
    <w:p>
      <w:pPr>
        <w:pStyle w:val="Heading1"/>
      </w:pPr>
      <w:r>
        <w:t xml:space="preserve">Online Resource 1</w:t>
      </w:r>
    </w:p>
    <w:p>
      <w:pPr>
        <w:pStyle w:val="FirstParagraph"/>
      </w:pPr>
      <w:r>
        <w:rPr>
          <w:bCs/>
          <w:b/>
        </w:rPr>
        <w:t xml:space="preserve">Article title:</w:t>
      </w:r>
      <w:r>
        <w:t xml:space="preserve"> </w:t>
      </w:r>
      <w:r>
        <w:t xml:space="preserve">Stability of Lead Immobilization by Hydroxyapatite and Biochar in a Typical Brown Soil (Haplic Cambisol)</w:t>
      </w:r>
    </w:p>
    <w:p>
      <w:pPr>
        <w:pStyle w:val="BodyText"/>
      </w:pPr>
      <w:r>
        <w:rPr>
          <w:bCs/>
          <w:b/>
        </w:rPr>
        <w:t xml:space="preserve">Journal:</w:t>
      </w:r>
      <w:r>
        <w:t xml:space="preserve"> </w:t>
      </w:r>
      <w:r>
        <w:t xml:space="preserve">Water, Air, &amp; Soil Pollution</w:t>
      </w:r>
    </w:p>
    <w:p>
      <w:pPr>
        <w:pStyle w:val="BodyText"/>
      </w:pPr>
      <w:r>
        <w:rPr>
          <w:bCs/>
          <w:b/>
        </w:rPr>
        <w:t xml:space="preserve">Authors:</w:t>
      </w:r>
      <w:r>
        <w:t xml:space="preserve"> </w:t>
      </w:r>
      <w:r>
        <w:t xml:space="preserve">Andrei M. Egorin, Svetlana A. Novikova, Anastasia V. Brikmans, Daria Kh. Shlyk, Andrei M. Gilev, Svetlana Yu. Bratskaya, Olga V. Nesterova</w:t>
      </w:r>
    </w:p>
    <w:p>
      <w:pPr>
        <w:pStyle w:val="BodyText"/>
      </w:pPr>
      <w:r>
        <w:rPr>
          <w:bCs/>
          <w:b/>
        </w:rPr>
        <w:t xml:space="preserve">Corresponding author:</w:t>
      </w:r>
      <w:r>
        <w:t xml:space="preserve"> </w:t>
      </w:r>
      <w:r>
        <w:t xml:space="preserve">Andrei M. Egorin, e-mail: andrey.egorin@gmail.com</w:t>
      </w:r>
    </w:p>
    <w:p>
      <w:r>
        <w:pict>
          <v:rect style="width:0;height:1.5pt" o:hralign="center" o:hrstd="t" o:hr="t"/>
        </w:pict>
      </w:r>
    </w:p>
    <w:p>
      <w:pPr>
        <w:pStyle w:val="FirstParagraph"/>
      </w:pPr>
      <w:r>
        <w:rPr>
          <w:bCs/>
          <w:b/>
        </w:rPr>
        <w:t xml:space="preserve">S1. Full uncertainty budget for Pb determination</w:t>
      </w:r>
    </w:p>
    <w:p>
      <w:pPr>
        <w:pStyle w:val="BodyText"/>
      </w:pPr>
      <w:r>
        <w:t xml:space="preserve">The Pb concentration in the extracts was determined potentiometrically</w:t>
      </w:r>
      <w:r>
        <w:t xml:space="preserve"> </w:t>
      </w:r>
      <w:r>
        <w:t xml:space="preserve">(ELIT-231 ion-selective electrode). Calibration demonstrated that a</w:t>
      </w:r>
      <w:r>
        <w:t xml:space="preserve"> </w:t>
      </w:r>
      <w:r>
        <w:t xml:space="preserve">linear Nernstian response (slope of 28.0 mV/decade, R² = 0.999) is</w:t>
      </w:r>
      <w:r>
        <w:t xml:space="preserve"> </w:t>
      </w:r>
      <w:r>
        <w:t xml:space="preserve">maintained at Pb concentrations ≥ 10 mg/L. The total relative</w:t>
      </w:r>
      <w:r>
        <w:t xml:space="preserve"> </w:t>
      </w:r>
      <w:r>
        <w:t xml:space="preserve">uncertainty in this range, calculated by taking into account the</w:t>
      </w:r>
      <w:r>
        <w:t xml:space="preserve"> </w:t>
      </w:r>
      <w:r>
        <w:t xml:space="preserve">instrumental error (via the differential of the Nernst equation) and the</w:t>
      </w:r>
      <w:r>
        <w:t xml:space="preserve"> </w:t>
      </w:r>
      <w:r>
        <w:t xml:space="preserve">contributions of dispensing devices, was u(C) ≈ 6.5% (1σ). This</w:t>
      </w:r>
      <w:r>
        <w:t xml:space="preserve"> </w:t>
      </w:r>
      <w:r>
        <w:t xml:space="preserve">calculated estimate was verified by independent comparison with atomic</w:t>
      </w:r>
      <w:r>
        <w:t xml:space="preserve"> </w:t>
      </w:r>
      <w:r>
        <w:t xml:space="preserve">absorption spectrometry (AAS): the average discrepancy between the</w:t>
      </w:r>
      <w:r>
        <w:t xml:space="preserve"> </w:t>
      </w:r>
      <w:r>
        <w:t xml:space="preserve">methods for samples of 20–30 mg/L was ≈5.2%.</w:t>
      </w:r>
    </w:p>
    <w:p>
      <w:pPr>
        <w:pStyle w:val="BodyText"/>
      </w:pPr>
      <w:r>
        <w:t xml:space="preserve">At concentrations &lt; 10 mg/L, the electrode response becomes</w:t>
      </w:r>
      <w:r>
        <w:t xml:space="preserve"> </w:t>
      </w:r>
      <w:r>
        <w:t xml:space="preserve">sub-Nernstian, and the discrepancy with AAS increases to 23–25%. In</w:t>
      </w:r>
      <w:r>
        <w:t xml:space="preserve"> </w:t>
      </w:r>
      <w:r>
        <w:t xml:space="preserve">this regard, for the "low contamination level" treatments (load of 5</w:t>
      </w:r>
      <w:r>
        <w:t xml:space="preserve"> </w:t>
      </w:r>
      <w:r>
        <w:t xml:space="preserve">mg/g), where the equilibrium lead concentrations are minimal, a</w:t>
      </w:r>
      <w:r>
        <w:t xml:space="preserve"> </w:t>
      </w:r>
      <w:r>
        <w:t xml:space="preserve">conservative empirical uncertainty estimate of 25% was applied in all</w:t>
      </w:r>
      <w:r>
        <w:t xml:space="preserve"> </w:t>
      </w:r>
      <w:r>
        <w:t xml:space="preserve">tables and calculations. For the moderate and high contamination levels,</w:t>
      </w:r>
      <w:r>
        <w:t xml:space="preserve"> </w:t>
      </w:r>
      <w:r>
        <w:t xml:space="preserve">the baseline estimate of 6.5% was used.</w:t>
      </w:r>
    </w:p>
    <w:p>
      <w:pPr>
        <w:pStyle w:val="BodyText"/>
      </w:pPr>
      <w:r>
        <w:rPr>
          <w:bCs/>
          <w:b/>
        </w:rPr>
        <w:t xml:space="preserve">S2. Uncertainty budget for pH measurements</w:t>
      </w:r>
    </w:p>
    <w:p>
      <w:pPr>
        <w:pStyle w:val="BodyText"/>
      </w:pPr>
      <w:r>
        <w:t xml:space="preserve">The equilibrium pH of the extracts was measured using a Hanna</w:t>
      </w:r>
      <w:r>
        <w:t xml:space="preserve"> </w:t>
      </w:r>
      <w:r>
        <w:t xml:space="preserve">Instruments HI2215 pH meter (HI1131B combined glass electrode, specified</w:t>
      </w:r>
      <w:r>
        <w:t xml:space="preserve"> </w:t>
      </w:r>
      <w:r>
        <w:t xml:space="preserve">accuracy of ±0.01 pH) with a preliminary two-point calibration using</w:t>
      </w:r>
      <w:r>
        <w:t xml:space="preserve"> </w:t>
      </w:r>
      <w:r>
        <w:t xml:space="preserve">standard buffer solutions (pH 4.01 and 6.86). Since a two-point</w:t>
      </w:r>
      <w:r>
        <w:t xml:space="preserve"> </w:t>
      </w:r>
      <w:r>
        <w:t xml:space="preserve">calibration does not allow for the calculation of the statistical</w:t>
      </w:r>
      <w:r>
        <w:t xml:space="preserve"> </w:t>
      </w:r>
      <w:r>
        <w:t xml:space="preserve">regression error, the total uncertainty was evaluated as Type B. The</w:t>
      </w:r>
      <w:r>
        <w:t xml:space="preserve"> </w:t>
      </w:r>
      <w:r>
        <w:t xml:space="preserve">budget includes instrumental accuracy (±0.01 pH), the standard error of</w:t>
      </w:r>
      <w:r>
        <w:t xml:space="preserve"> </w:t>
      </w:r>
      <w:r>
        <w:t xml:space="preserve">the buffer solutions (±0.015 pH), and a conservative estimate of the</w:t>
      </w:r>
      <w:r>
        <w:t xml:space="preserve"> </w:t>
      </w:r>
      <w:r>
        <w:t xml:space="preserve">liquid junction potential effect in the soil extract matrix with</w:t>
      </w:r>
      <w:r>
        <w:t xml:space="preserve"> </w:t>
      </w:r>
      <w:r>
        <w:t xml:space="preserve">moderate ionic strength (±0.04 pH). The total standard uncertainty was</w:t>
      </w:r>
      <w:r>
        <w:t xml:space="preserve"> </w:t>
      </w:r>
      <w:r>
        <w:t xml:space="preserve">u(pH) ≈ ±0.05. Thus, the dominant contribution to the error is made by</w:t>
      </w:r>
      <w:r>
        <w:t xml:space="preserve"> </w:t>
      </w:r>
      <w:r>
        <w:t xml:space="preserve">the specific operation of the electrode in the actual extract matrix,</w:t>
      </w:r>
      <w:r>
        <w:t xml:space="preserve"> </w:t>
      </w:r>
      <w:r>
        <w:t xml:space="preserve">rather than by the hardware characteristics.</w:t>
      </w:r>
    </w:p>
    <w:p>
      <w:pPr>
        <w:pStyle w:val="BodyText"/>
      </w:pPr>
      <w:r>
        <w:rPr>
          <w:bCs/>
          <w:b/>
        </w:rPr>
        <w:t xml:space="preserve">S3. Statistical significance criterion and comprehensive revision</w:t>
      </w:r>
    </w:p>
    <w:p>
      <w:pPr>
        <w:pStyle w:val="BodyText"/>
      </w:pPr>
      <w:r>
        <w:t xml:space="preserve">The statistical significance of the observed effects was determined by</w:t>
      </w:r>
      <w:r>
        <w:t xml:space="preserve"> </w:t>
      </w:r>
      <w:r>
        <w:t xml:space="preserve">comparing the difference between the control and experimental treatments</w:t>
      </w:r>
      <w:r>
        <w:t xml:space="preserve"> </w:t>
      </w:r>
      <w:r>
        <w:t xml:space="preserve">with the combined measurement uncertainty. For two independent</w:t>
      </w:r>
      <w:r>
        <w:t xml:space="preserve"> </w:t>
      </w:r>
      <w:r>
        <w:t xml:space="preserve">quantities, the combined uncertainty of their difference was calculated</w:t>
      </w:r>
      <w:r>
        <w:t xml:space="preserve"> </w:t>
      </w:r>
      <w:r>
        <w:t xml:space="preserve">according to the standard rule of error propagation: : u(A−B) =</w:t>
      </w:r>
      <w:r>
        <w:t xml:space="preserve"> </w:t>
      </w:r>
      <w:r>
        <w:t xml:space="preserve">√(u(A)</w:t>
      </w:r>
      <w:r>
        <w:rPr>
          <w:vertAlign w:val="superscript"/>
        </w:rPr>
        <w:t xml:space="preserve">2</w:t>
      </w:r>
      <w:r>
        <w:t xml:space="preserve"> </w:t>
      </w:r>
      <w:r>
        <w:t xml:space="preserve">+ u(B)</w:t>
      </w:r>
      <w:r>
        <w:rPr>
          <w:vertAlign w:val="superscript"/>
        </w:rPr>
        <w:t xml:space="preserve">2</w:t>
      </w:r>
      <w:r>
        <w:t xml:space="preserve">). The difference was considered statistically</w:t>
      </w:r>
      <w:r>
        <w:t xml:space="preserve"> </w:t>
      </w:r>
      <w:r>
        <w:t xml:space="preserve">significant if it exceeded the calculated threshold at a coverage factor</w:t>
      </w:r>
      <w:r>
        <w:t xml:space="preserve"> </w:t>
      </w:r>
      <w:r>
        <w:t xml:space="preserve">of k = 1. To evaluate the immobilization efficiency (reduction in the</w:t>
      </w:r>
      <w:r>
        <w:t xml:space="preserve"> </w:t>
      </w:r>
      <w:r>
        <w:t xml:space="preserve">proportion of mobile Pb) at moderate and high contamination levels, the</w:t>
      </w:r>
      <w:r>
        <w:t xml:space="preserve"> </w:t>
      </w:r>
      <w:r>
        <w:t xml:space="preserve">baseline relative uncertainty of each measurement was 6.5%, yielding a</w:t>
      </w:r>
      <w:r>
        <w:t xml:space="preserve"> </w:t>
      </w:r>
      <w:r>
        <w:t xml:space="preserve">combined detection threshold of ≈9.2%. For the low contamination level,</w:t>
      </w:r>
      <w:r>
        <w:t xml:space="preserve"> </w:t>
      </w:r>
      <w:r>
        <w:t xml:space="preserve">characterized by elevated analytical error, the significance threshold</w:t>
      </w:r>
      <w:r>
        <w:t xml:space="preserve"> </w:t>
      </w:r>
      <w:r>
        <w:t xml:space="preserve">was increased to ≈35.4%. To identify a statistically significant pH</w:t>
      </w:r>
      <w:r>
        <w:t xml:space="preserve"> </w:t>
      </w:r>
      <w:r>
        <w:t xml:space="preserve">shift, the critical difference was set at ≈0.07 units. Individual</w:t>
      </w:r>
      <w:r>
        <w:t xml:space="preserve"> </w:t>
      </w:r>
      <w:r>
        <w:t xml:space="preserve">efficiency values that fell on the boundary of the detection threshold</w:t>
      </w:r>
      <w:r>
        <w:t xml:space="preserve"> </w:t>
      </w:r>
      <w:r>
        <w:t xml:space="preserve">(e.g., 8.3% and 8.4% with a calculated threshold of ≈8.4%) are marked in</w:t>
      </w:r>
      <w:r>
        <w:t xml:space="preserve"> </w:t>
      </w:r>
      <w:r>
        <w:t xml:space="preserve">Tables S2 and S4 with a "†" symbol. These results are not interpreted</w:t>
      </w:r>
      <w:r>
        <w:t xml:space="preserve"> </w:t>
      </w:r>
      <w:r>
        <w:t xml:space="preserve">as confidently established independent facts; however, they are taken</w:t>
      </w:r>
      <w:r>
        <w:t xml:space="preserve"> </w:t>
      </w:r>
      <w:r>
        <w:t xml:space="preserve">into account for the sake of completeness when defining the overall</w:t>
      </w:r>
      <w:r>
        <w:t xml:space="preserve"> </w:t>
      </w:r>
      <w:r>
        <w:t xml:space="preserve">efficiency ranges of the ameliorants.</w:t>
      </w:r>
    </w:p>
    <w:p>
      <w:pPr>
        <w:pStyle w:val="BodyText"/>
      </w:pPr>
      <w:r>
        <w:rPr>
          <w:bCs/>
          <w:b/>
        </w:rPr>
        <w:t xml:space="preserve">S4. Scientific Justification of Methodological Approaches</w:t>
      </w:r>
    </w:p>
    <w:p>
      <w:pPr>
        <w:pStyle w:val="BodyText"/>
      </w:pPr>
      <w:r>
        <w:rPr>
          <w:bCs/>
          <w:b/>
        </w:rPr>
        <w:t xml:space="preserve">S4.1. Concept of Mobile and Bioavailable Forms</w:t>
      </w:r>
    </w:p>
    <w:p>
      <w:pPr>
        <w:pStyle w:val="BodyText"/>
      </w:pPr>
      <w:r>
        <w:t xml:space="preserve">The separation of lead compounds by their degree of mobility was</w:t>
      </w:r>
      <w:r>
        <w:t xml:space="preserve"> </w:t>
      </w:r>
      <w:r>
        <w:t xml:space="preserve">performed within the framework of a multilevel approach regulated by the</w:t>
      </w:r>
      <w:r>
        <w:t xml:space="preserve"> </w:t>
      </w:r>
      <w:r>
        <w:t xml:space="preserve">ISO 17402:2008 standard [1]. The applied sequential two-step</w:t>
      </w:r>
      <w:r>
        <w:t xml:space="preserve"> </w:t>
      </w:r>
      <w:r>
        <w:t xml:space="preserve">extraction (distilled water, followed by an unbuffered Ca</w:t>
      </w:r>
      <w:r>
        <w:rPr>
          <w:vertAlign w:val="superscript"/>
        </w:rPr>
        <w:t xml:space="preserve">2+</w:t>
      </w:r>
      <w:r>
        <w:t xml:space="preserve"> </w:t>
      </w:r>
      <w:r>
        <w:t xml:space="preserve">solution)</w:t>
      </w:r>
      <w:r>
        <w:t xml:space="preserve"> </w:t>
      </w:r>
      <w:r>
        <w:t xml:space="preserve">corresponds to the conservative levels of assessing pollutant migration</w:t>
      </w:r>
      <w:r>
        <w:t xml:space="preserve"> </w:t>
      </w:r>
      <w:r>
        <w:t xml:space="preserve">capacity. The extracted fractions are interpreted strictly</w:t>
      </w:r>
      <w:r>
        <w:t xml:space="preserve"> </w:t>
      </w:r>
      <w:r>
        <w:t xml:space="preserve">geochemically—as water-soluble and exchangeable forms. In the present</w:t>
      </w:r>
      <w:r>
        <w:t xml:space="preserve"> </w:t>
      </w:r>
      <w:r>
        <w:t xml:space="preserve">study, the term "bioavailability" is not used for the direct</w:t>
      </w:r>
      <w:r>
        <w:t xml:space="preserve"> </w:t>
      </w:r>
      <w:r>
        <w:t xml:space="preserve">characterization of chemical extracts, since biological uptake is a</w:t>
      </w:r>
      <w:r>
        <w:t xml:space="preserve"> </w:t>
      </w:r>
      <w:r>
        <w:t xml:space="preserve">physiological characteristic of a specific cultivated crop rather than</w:t>
      </w:r>
      <w:r>
        <w:t xml:space="preserve"> </w:t>
      </w:r>
      <w:r>
        <w:t xml:space="preserve">exclusively a property of the medium. The exchangeable form is</w:t>
      </w:r>
      <w:r>
        <w:t xml:space="preserve"> </w:t>
      </w:r>
      <w:r>
        <w:t xml:space="preserve">considered a labile pool of the pollutant, which can only potentially</w:t>
      </w:r>
      <w:r>
        <w:t xml:space="preserve"> </w:t>
      </w:r>
      <w:r>
        <w:t xml:space="preserve">become bioavailable upon changes in soil and ecological conditions.</w:t>
      </w:r>
    </w:p>
    <w:p>
      <w:pPr>
        <w:pStyle w:val="BodyText"/>
      </w:pPr>
      <w:r>
        <w:rPr>
          <w:bCs/>
          <w:b/>
        </w:rPr>
        <w:t xml:space="preserve">S4.2. Justification of the Water Extract</w:t>
      </w:r>
    </w:p>
    <w:p>
      <w:pPr>
        <w:pStyle w:val="BodyText"/>
      </w:pPr>
      <w:r>
        <w:t xml:space="preserve">Extraction with distilled water is a standard approach for assessing the</w:t>
      </w:r>
      <w:r>
        <w:t xml:space="preserve"> </w:t>
      </w:r>
      <w:r>
        <w:t xml:space="preserve">most mobile metal fraction, which includes free ions and forms weakly</w:t>
      </w:r>
      <w:r>
        <w:t xml:space="preserve"> </w:t>
      </w:r>
      <w:r>
        <w:t xml:space="preserve">bound to soil colloids [2]. The concentration of lead in the water</w:t>
      </w:r>
      <w:r>
        <w:t xml:space="preserve"> </w:t>
      </w:r>
      <w:r>
        <w:t xml:space="preserve">extract serves as a sensitive indicator of its mobility, regardless of</w:t>
      </w:r>
      <w:r>
        <w:t xml:space="preserve"> </w:t>
      </w:r>
      <w:r>
        <w:t xml:space="preserve">the type of applied ameliorants. Unlike the application of acidic or</w:t>
      </w:r>
      <w:r>
        <w:t xml:space="preserve"> </w:t>
      </w:r>
      <w:r>
        <w:t xml:space="preserve">chelating reagents, aqueous extraction does not induce an artificial</w:t>
      </w:r>
      <w:r>
        <w:t xml:space="preserve"> </w:t>
      </w:r>
      <w:r>
        <w:t xml:space="preserve">shift in the acid-base equilibrium during sample preparation. This</w:t>
      </w:r>
      <w:r>
        <w:t xml:space="preserve"> </w:t>
      </w:r>
      <w:r>
        <w:t xml:space="preserve">methodological condition guarantees that the recorded changes in the</w:t>
      </w:r>
      <w:r>
        <w:t xml:space="preserve"> </w:t>
      </w:r>
      <w:r>
        <w:t xml:space="preserve">equilibrium pH of the extracts reflect exclusively native</w:t>
      </w:r>
      <w:r>
        <w:t xml:space="preserve"> </w:t>
      </w:r>
      <w:r>
        <w:t xml:space="preserve">physicochemical interactions in the "soil–ameliorant–Pb" system,</w:t>
      </w:r>
      <w:r>
        <w:t xml:space="preserve"> </w:t>
      </w:r>
      <w:r>
        <w:t xml:space="preserve">precluding artifacts from the chemical impact of the extractant itself.</w:t>
      </w:r>
    </w:p>
    <w:p>
      <w:pPr>
        <w:pStyle w:val="BodyText"/>
      </w:pPr>
      <w:r>
        <w:rPr>
          <w:bCs/>
          <w:b/>
        </w:rPr>
        <w:t xml:space="preserve">S4.3. Justification of Extraction with a Dilute Ca</w:t>
      </w:r>
      <w:r>
        <w:rPr>
          <w:vertAlign w:val="superscript"/>
          <w:bCs/>
          <w:b/>
        </w:rPr>
        <w:t xml:space="preserve">2+</w:t>
      </w:r>
      <w:r>
        <w:rPr>
          <w:bCs/>
          <w:b/>
        </w:rPr>
        <w:t xml:space="preserve"> </w:t>
      </w:r>
      <w:r>
        <w:rPr>
          <w:bCs/>
          <w:b/>
        </w:rPr>
        <w:t xml:space="preserve">Solution</w:t>
      </w:r>
    </w:p>
    <w:p>
      <w:pPr>
        <w:pStyle w:val="BodyText"/>
      </w:pPr>
      <w:r>
        <w:t xml:space="preserve">Extraction with dilute unbuffered solutions of neutral salts serves as a</w:t>
      </w:r>
      <w:r>
        <w:t xml:space="preserve"> </w:t>
      </w:r>
      <w:r>
        <w:t xml:space="preserve">standardized method for recovering the exchangeable fraction of heavy</w:t>
      </w:r>
      <w:r>
        <w:t xml:space="preserve"> </w:t>
      </w:r>
      <w:r>
        <w:t xml:space="preserve">metals. Although the most common extractant of this type is a 0.01 M</w:t>
      </w:r>
      <w:r>
        <w:t xml:space="preserve"> </w:t>
      </w:r>
      <w:r>
        <w:t xml:space="preserve">CaCl2 solution [3], a justified alternative—a 0.01 M Ca(NO3)2</w:t>
      </w:r>
      <w:r>
        <w:t xml:space="preserve"> </w:t>
      </w:r>
      <w:r>
        <w:t xml:space="preserve">solution—was used in the present study [2, 4]. The use of a nitrate</w:t>
      </w:r>
      <w:r>
        <w:t xml:space="preserve"> </w:t>
      </w:r>
      <w:r>
        <w:t xml:space="preserve">salt instead of a chloride one is aimed at eliminating the side effect</w:t>
      </w:r>
      <w:r>
        <w:t xml:space="preserve"> </w:t>
      </w:r>
      <w:r>
        <w:t xml:space="preserve">of complexation. In chloride extracts, the proportion of the soluble</w:t>
      </w:r>
      <w:r>
        <w:t xml:space="preserve"> </w:t>
      </w:r>
      <w:r>
        <w:t xml:space="preserve">PbCl+ complex can reach 31% of the total amount of extracted lead [5].</w:t>
      </w:r>
      <w:r>
        <w:t xml:space="preserve"> </w:t>
      </w:r>
      <w:r>
        <w:t xml:space="preserve">This leads to an artificial overestimation of the metal mobility</w:t>
      </w:r>
      <w:r>
        <w:t xml:space="preserve"> </w:t>
      </w:r>
      <w:r>
        <w:t xml:space="preserve">indices, especially in alkaline and carbonate media [6]. The</w:t>
      </w:r>
      <w:r>
        <w:t xml:space="preserve"> </w:t>
      </w:r>
      <w:r>
        <w:t xml:space="preserve">application of Ca(NO3)2 preserves the high displacing ability of the</w:t>
      </w:r>
      <w:r>
        <w:t xml:space="preserve"> </w:t>
      </w:r>
      <w:r>
        <w:t xml:space="preserve">Ca</w:t>
      </w:r>
      <w:r>
        <w:rPr>
          <w:vertAlign w:val="superscript"/>
        </w:rPr>
        <w:t xml:space="preserve">2+</w:t>
      </w:r>
      <w:r>
        <w:t xml:space="preserve"> </w:t>
      </w:r>
      <w:r>
        <w:t xml:space="preserve">cation, yet acts as an inert background, ensuring a correct</w:t>
      </w:r>
      <w:r>
        <w:t xml:space="preserve"> </w:t>
      </w:r>
      <w:r>
        <w:t xml:space="preserve">assessment exclusively of the exchangeable lead pool.</w:t>
      </w:r>
    </w:p>
    <w:p>
      <w:pPr>
        <w:pStyle w:val="BodyText"/>
      </w:pPr>
      <w:r>
        <w:rPr>
          <w:bCs/>
          <w:b/>
        </w:rPr>
        <w:t xml:space="preserve">S4.4. Justification of Liquid-to-Solid (LS) Ratios</w:t>
      </w:r>
    </w:p>
    <w:p>
      <w:pPr>
        <w:pStyle w:val="BodyText"/>
      </w:pPr>
      <w:r>
        <w:t xml:space="preserve">During the incubation stage, the LS ratio (1.5:1 mL/g) was selected to</w:t>
      </w:r>
      <w:r>
        <w:t xml:space="preserve"> </w:t>
      </w:r>
      <w:r>
        <w:t xml:space="preserve">simulate a moisture regime approximating natural field conditions.</w:t>
      </w:r>
      <w:r>
        <w:t xml:space="preserve"> </w:t>
      </w:r>
      <w:r>
        <w:t xml:space="preserve">During the chemical extraction stage, the LS ratio was set at 20:1 (20</w:t>
      </w:r>
      <w:r>
        <w:t xml:space="preserve"> </w:t>
      </w:r>
      <w:r>
        <w:t xml:space="preserve">L/kg). This parameter strictly corresponds to the US EPA 1311/1312</w:t>
      </w:r>
      <w:r>
        <w:t xml:space="preserve"> </w:t>
      </w:r>
      <w:r>
        <w:t xml:space="preserve">methodology [6, 7] and falls within the regulated ranges of the BCR</w:t>
      </w:r>
      <w:r>
        <w:t xml:space="preserve"> </w:t>
      </w:r>
      <w:r>
        <w:t xml:space="preserve">sequential extraction scheme (up to 40 mL/g) [8, 9] and the ISO 21268</w:t>
      </w:r>
      <w:r>
        <w:t xml:space="preserve"> </w:t>
      </w:r>
      <w:r>
        <w:t xml:space="preserve">standard [10, 11].</w:t>
      </w:r>
    </w:p>
    <w:p>
      <w:pPr>
        <w:pStyle w:val="BodyText"/>
      </w:pPr>
      <w:r>
        <w:rPr>
          <w:bCs/>
          <w:b/>
        </w:rPr>
        <w:t xml:space="preserve">S4.5. Mathematical Framework of Sorption Models</w:t>
      </w:r>
    </w:p>
    <w:p>
      <w:pPr>
        <w:pStyle w:val="BodyText"/>
      </w:pPr>
      <w:r>
        <w:t xml:space="preserve">The parameters of the approximation models were calculated using the</w:t>
      </w:r>
      <w:r>
        <w:t xml:space="preserve"> </w:t>
      </w:r>
      <w:r>
        <w:t xml:space="preserve">non-linear least squares method (Levenberg–Marquardt algorithm) based</w:t>
      </w:r>
      <w:r>
        <w:t xml:space="preserve"> </w:t>
      </w:r>
      <w:r>
        <w:t xml:space="preserve">on the raw experimental data. The use of non-linearized equation forms</w:t>
      </w:r>
      <w:r>
        <w:t xml:space="preserve"> </w:t>
      </w:r>
      <w:r>
        <w:t xml:space="preserve">eliminates the systematic bias of estimates and the distortion of the</w:t>
      </w:r>
      <w:r>
        <w:t xml:space="preserve"> </w:t>
      </w:r>
      <w:r>
        <w:t xml:space="preserve">variance structure characteristic of mathematical transformations during</w:t>
      </w:r>
      <w:r>
        <w:t xml:space="preserve"> </w:t>
      </w:r>
      <w:r>
        <w:t xml:space="preserve">linearization. The equilibrium sorption isotherms were described by the</w:t>
      </w:r>
      <w:r>
        <w:t xml:space="preserve"> </w:t>
      </w:r>
      <w:r>
        <w:t xml:space="preserve">following equations:</w:t>
      </w:r>
    </w:p>
    <w:p>
      <w:pPr>
        <w:pStyle w:val="BodyText"/>
      </w:pPr>
      <w:r>
        <w:t xml:space="preserve">Langmuir model (1):</w:t>
      </w:r>
    </w:p>
    <w:p>
      <w:pPr>
        <w:pStyle w:val="BodyText"/>
      </w:pPr>
      <w:r>
        <w:drawing>
          <wp:inline>
            <wp:extent cx="1847088" cy="612648"/>
            <wp:effectExtent b="0" l="0" r="0" t="0"/>
            <wp:docPr descr="" title="" id="21" name="Picture"/>
            <a:graphic>
              <a:graphicData uri="http://schemas.openxmlformats.org/drawingml/2006/picture">
                <pic:pic>
                  <pic:nvPicPr>
                    <pic:cNvPr descr="eq_images/eq1.png" id="22" name="Picture"/>
                    <pic:cNvPicPr>
                      <a:picLocks noChangeArrowheads="1" noChangeAspect="1"/>
                    </pic:cNvPicPr>
                  </pic:nvPicPr>
                  <pic:blipFill>
                    <a:blip r:embed="rId20"/>
                    <a:stretch>
                      <a:fillRect/>
                    </a:stretch>
                  </pic:blipFill>
                  <pic:spPr bwMode="auto">
                    <a:xfrm>
                      <a:off x="0" y="0"/>
                      <a:ext cx="1847088" cy="612648"/>
                    </a:xfrm>
                    <a:prstGeom prst="rect">
                      <a:avLst/>
                    </a:prstGeom>
                    <a:noFill/>
                    <a:ln w="9525">
                      <a:noFill/>
                      <a:headEnd/>
                      <a:tailEnd/>
                    </a:ln>
                  </pic:spPr>
                </pic:pic>
              </a:graphicData>
            </a:graphic>
          </wp:inline>
        </w:drawing>
      </w:r>
      <w:r>
        <w:t xml:space="preserve"> </w:t>
      </w:r>
      <w:r>
        <w:t xml:space="preserve">(1)</w:t>
      </w:r>
    </w:p>
    <w:p>
      <w:pPr>
        <w:pStyle w:val="BodyText"/>
      </w:pPr>
      <w:r>
        <w:t xml:space="preserve">Sips model (2):</w:t>
      </w:r>
    </w:p>
    <w:p>
      <w:pPr>
        <w:pStyle w:val="BodyText"/>
      </w:pPr>
      <w:r>
        <w:drawing>
          <wp:inline>
            <wp:extent cx="1883664" cy="676656"/>
            <wp:effectExtent b="0" l="0" r="0" t="0"/>
            <wp:docPr descr="" title="" id="24" name="Picture"/>
            <a:graphic>
              <a:graphicData uri="http://schemas.openxmlformats.org/drawingml/2006/picture">
                <pic:pic>
                  <pic:nvPicPr>
                    <pic:cNvPr descr="eq_images/eq2.png" id="25" name="Picture"/>
                    <pic:cNvPicPr>
                      <a:picLocks noChangeArrowheads="1" noChangeAspect="1"/>
                    </pic:cNvPicPr>
                  </pic:nvPicPr>
                  <pic:blipFill>
                    <a:blip r:embed="rId23"/>
                    <a:stretch>
                      <a:fillRect/>
                    </a:stretch>
                  </pic:blipFill>
                  <pic:spPr bwMode="auto">
                    <a:xfrm>
                      <a:off x="0" y="0"/>
                      <a:ext cx="1883664" cy="676656"/>
                    </a:xfrm>
                    <a:prstGeom prst="rect">
                      <a:avLst/>
                    </a:prstGeom>
                    <a:noFill/>
                    <a:ln w="9525">
                      <a:noFill/>
                      <a:headEnd/>
                      <a:tailEnd/>
                    </a:ln>
                  </pic:spPr>
                </pic:pic>
              </a:graphicData>
            </a:graphic>
          </wp:inline>
        </w:drawing>
      </w:r>
      <w:r>
        <w:t xml:space="preserve"> </w:t>
      </w:r>
      <w:r>
        <w:t xml:space="preserve">(2)</w:t>
      </w:r>
    </w:p>
    <w:p>
      <w:pPr>
        <w:pStyle w:val="BodyText"/>
      </w:pPr>
      <w:r>
        <w:t xml:space="preserve">where</w:t>
      </w:r>
      <w:r>
        <w:t xml:space="preserve"> </w:t>
      </w:r>
      <w:r>
        <w:rPr>
          <w:iCs/>
          <w:i/>
        </w:rPr>
        <w:t xml:space="preserve">q</w:t>
      </w:r>
      <w:r>
        <w:rPr>
          <w:vertAlign w:val="subscript"/>
          <w:iCs/>
          <w:i/>
        </w:rPr>
        <w:t xml:space="preserve">e</w:t>
      </w:r>
      <w:r>
        <w:t xml:space="preserve"> </w:t>
      </w:r>
      <w:r>
        <w:t xml:space="preserve">is the equilibrium specific sorption (mg/g);</w:t>
      </w:r>
      <w:r>
        <w:t xml:space="preserve"> </w:t>
      </w:r>
      <w:r>
        <w:rPr>
          <w:iCs/>
          <w:i/>
        </w:rPr>
        <w:t xml:space="preserve">C</w:t>
      </w:r>
      <w:r>
        <w:rPr>
          <w:vertAlign w:val="subscript"/>
          <w:iCs/>
          <w:i/>
        </w:rPr>
        <w:t xml:space="preserve">e</w:t>
      </w:r>
      <w:r>
        <w:t xml:space="preserve"> </w:t>
      </w:r>
      <w:r>
        <w:t xml:space="preserve">is the</w:t>
      </w:r>
      <w:r>
        <w:t xml:space="preserve"> </w:t>
      </w:r>
      <w:r>
        <w:t xml:space="preserve">equilibrium pollutant concentration in the solution (mg/L);</w:t>
      </w:r>
      <w:r>
        <w:t xml:space="preserve"> </w:t>
      </w:r>
      <w:r>
        <w:rPr>
          <w:iCs/>
          <w:i/>
        </w:rPr>
        <w:t xml:space="preserve">q</w:t>
      </w:r>
      <w:r>
        <w:rPr>
          <w:vertAlign w:val="subscript"/>
          <w:iCs/>
          <w:i/>
        </w:rPr>
        <w:t xml:space="preserve">m</w:t>
      </w:r>
      <w:r>
        <w:t xml:space="preserve"> </w:t>
      </w:r>
      <w:r>
        <w:t xml:space="preserve">is</w:t>
      </w:r>
      <w:r>
        <w:t xml:space="preserve"> </w:t>
      </w:r>
      <w:r>
        <w:t xml:space="preserve">the maximum capacity (mg/g);</w:t>
      </w:r>
      <w:r>
        <w:t xml:space="preserve"> </w:t>
      </w:r>
      <w:r>
        <w:rPr>
          <w:iCs/>
          <w:i/>
        </w:rPr>
        <w:t xml:space="preserve">K</w:t>
      </w:r>
      <w:r>
        <w:rPr>
          <w:vertAlign w:val="subscript"/>
          <w:iCs/>
          <w:i/>
        </w:rPr>
        <w:t xml:space="preserve">l</w:t>
      </w:r>
      <w:r>
        <w:t xml:space="preserve"> </w:t>
      </w:r>
      <w:r>
        <w:t xml:space="preserve">and</w:t>
      </w:r>
      <w:r>
        <w:t xml:space="preserve"> </w:t>
      </w:r>
      <w:r>
        <w:rPr>
          <w:iCs/>
          <w:i/>
        </w:rPr>
        <w:t xml:space="preserve">K</w:t>
      </w:r>
      <w:r>
        <w:rPr>
          <w:vertAlign w:val="subscript"/>
          <w:iCs/>
          <w:i/>
        </w:rPr>
        <w:t xml:space="preserve">s</w:t>
      </w:r>
      <w:r>
        <w:t xml:space="preserve"> </w:t>
      </w:r>
      <w:r>
        <w:t xml:space="preserve">are the Langmuir (L/mg)</w:t>
      </w:r>
      <w:r>
        <w:t xml:space="preserve"> </w:t>
      </w:r>
      <w:r>
        <w:t xml:space="preserve">and Sips affinity constants, respectively; n is the surface</w:t>
      </w:r>
      <w:r>
        <w:t xml:space="preserve"> </w:t>
      </w:r>
      <w:r>
        <w:t xml:space="preserve">heterogeneity parameter.</w:t>
      </w:r>
    </w:p>
    <w:p>
      <w:pPr>
        <w:pStyle w:val="BodyText"/>
      </w:pPr>
      <w:r>
        <w:t xml:space="preserve">The kinetics of the sorption process were analyzed using the following</w:t>
      </w:r>
      <w:r>
        <w:t xml:space="preserve"> </w:t>
      </w:r>
      <w:r>
        <w:t xml:space="preserve">equations:</w:t>
      </w:r>
    </w:p>
    <w:p>
      <w:pPr>
        <w:pStyle w:val="BodyText"/>
      </w:pPr>
      <w:r>
        <w:t xml:space="preserve">Pseudo-first-order model (Lagergren) (3):</w:t>
      </w:r>
    </w:p>
    <w:p>
      <w:pPr>
        <w:pStyle w:val="BodyText"/>
      </w:pPr>
      <w:r>
        <w:drawing>
          <wp:inline>
            <wp:extent cx="2889504" cy="466344"/>
            <wp:effectExtent b="0" l="0" r="0" t="0"/>
            <wp:docPr descr="" title="" id="27" name="Picture"/>
            <a:graphic>
              <a:graphicData uri="http://schemas.openxmlformats.org/drawingml/2006/picture">
                <pic:pic>
                  <pic:nvPicPr>
                    <pic:cNvPr descr="eq_images/eq3.png" id="28" name="Picture"/>
                    <pic:cNvPicPr>
                      <a:picLocks noChangeArrowheads="1" noChangeAspect="1"/>
                    </pic:cNvPicPr>
                  </pic:nvPicPr>
                  <pic:blipFill>
                    <a:blip r:embed="rId26"/>
                    <a:stretch>
                      <a:fillRect/>
                    </a:stretch>
                  </pic:blipFill>
                  <pic:spPr bwMode="auto">
                    <a:xfrm>
                      <a:off x="0" y="0"/>
                      <a:ext cx="2889504" cy="466344"/>
                    </a:xfrm>
                    <a:prstGeom prst="rect">
                      <a:avLst/>
                    </a:prstGeom>
                    <a:noFill/>
                    <a:ln w="9525">
                      <a:noFill/>
                      <a:headEnd/>
                      <a:tailEnd/>
                    </a:ln>
                  </pic:spPr>
                </pic:pic>
              </a:graphicData>
            </a:graphic>
          </wp:inline>
        </w:drawing>
      </w:r>
      <w:r>
        <w:t xml:space="preserve"> </w:t>
      </w:r>
      <w:r>
        <w:t xml:space="preserve">(3)</w:t>
      </w:r>
    </w:p>
    <w:p>
      <w:pPr>
        <w:pStyle w:val="BodyText"/>
      </w:pPr>
      <w:r>
        <w:t xml:space="preserve">Pseudo-second-order model (Ho–McKay) (4):</w:t>
      </w:r>
    </w:p>
    <w:p>
      <w:pPr>
        <w:pStyle w:val="BodyText"/>
      </w:pPr>
      <w:r>
        <w:drawing>
          <wp:inline>
            <wp:extent cx="1984248" cy="676656"/>
            <wp:effectExtent b="0" l="0" r="0" t="0"/>
            <wp:docPr descr="" title="" id="30" name="Picture"/>
            <a:graphic>
              <a:graphicData uri="http://schemas.openxmlformats.org/drawingml/2006/picture">
                <pic:pic>
                  <pic:nvPicPr>
                    <pic:cNvPr descr="eq_images/eq4.png" id="31" name="Picture"/>
                    <pic:cNvPicPr>
                      <a:picLocks noChangeArrowheads="1" noChangeAspect="1"/>
                    </pic:cNvPicPr>
                  </pic:nvPicPr>
                  <pic:blipFill>
                    <a:blip r:embed="rId29"/>
                    <a:stretch>
                      <a:fillRect/>
                    </a:stretch>
                  </pic:blipFill>
                  <pic:spPr bwMode="auto">
                    <a:xfrm>
                      <a:off x="0" y="0"/>
                      <a:ext cx="1984248" cy="676656"/>
                    </a:xfrm>
                    <a:prstGeom prst="rect">
                      <a:avLst/>
                    </a:prstGeom>
                    <a:noFill/>
                    <a:ln w="9525">
                      <a:noFill/>
                      <a:headEnd/>
                      <a:tailEnd/>
                    </a:ln>
                  </pic:spPr>
                </pic:pic>
              </a:graphicData>
            </a:graphic>
          </wp:inline>
        </w:drawing>
      </w:r>
      <w:r>
        <w:t xml:space="preserve"> </w:t>
      </w:r>
      <w:r>
        <w:t xml:space="preserve">(4)</w:t>
      </w:r>
    </w:p>
    <w:p>
      <w:pPr>
        <w:pStyle w:val="BodyText"/>
      </w:pPr>
      <w:r>
        <w:t xml:space="preserve">Elovich model (5):</w:t>
      </w:r>
    </w:p>
    <w:p>
      <w:pPr>
        <w:pStyle w:val="BodyText"/>
      </w:pPr>
      <w:r>
        <w:drawing>
          <wp:inline>
            <wp:extent cx="3099816" cy="576072"/>
            <wp:effectExtent b="0" l="0" r="0" t="0"/>
            <wp:docPr descr="" title="" id="33" name="Picture"/>
            <a:graphic>
              <a:graphicData uri="http://schemas.openxmlformats.org/drawingml/2006/picture">
                <pic:pic>
                  <pic:nvPicPr>
                    <pic:cNvPr descr="eq_images/eq5.png" id="34" name="Picture"/>
                    <pic:cNvPicPr>
                      <a:picLocks noChangeArrowheads="1" noChangeAspect="1"/>
                    </pic:cNvPicPr>
                  </pic:nvPicPr>
                  <pic:blipFill>
                    <a:blip r:embed="rId32"/>
                    <a:stretch>
                      <a:fillRect/>
                    </a:stretch>
                  </pic:blipFill>
                  <pic:spPr bwMode="auto">
                    <a:xfrm>
                      <a:off x="0" y="0"/>
                      <a:ext cx="3099816" cy="576072"/>
                    </a:xfrm>
                    <a:prstGeom prst="rect">
                      <a:avLst/>
                    </a:prstGeom>
                    <a:noFill/>
                    <a:ln w="9525">
                      <a:noFill/>
                      <a:headEnd/>
                      <a:tailEnd/>
                    </a:ln>
                  </pic:spPr>
                </pic:pic>
              </a:graphicData>
            </a:graphic>
          </wp:inline>
        </w:drawing>
      </w:r>
      <w:r>
        <w:t xml:space="preserve"> </w:t>
      </w:r>
      <w:r>
        <w:t xml:space="preserve">(5)</w:t>
      </w:r>
    </w:p>
    <w:p>
      <w:pPr>
        <w:pStyle w:val="BodyText"/>
      </w:pPr>
      <w:r>
        <w:t xml:space="preserve">where</w:t>
      </w:r>
      <w:r>
        <w:t xml:space="preserve"> </w:t>
      </w:r>
      <w:r>
        <w:rPr>
          <w:iCs/>
          <w:i/>
        </w:rPr>
        <w:t xml:space="preserve">q</w:t>
      </w:r>
      <w:r>
        <w:rPr>
          <w:vertAlign w:val="subscript"/>
          <w:iCs/>
          <w:i/>
        </w:rPr>
        <w:t xml:space="preserve">t</w:t>
      </w:r>
      <w:r>
        <w:t xml:space="preserve"> </w:t>
      </w:r>
      <w:r>
        <w:t xml:space="preserve">is the specific sorption at time</w:t>
      </w:r>
      <w:r>
        <w:t xml:space="preserve"> </w:t>
      </w:r>
      <w:r>
        <w:rPr>
          <w:iCs/>
          <w:i/>
        </w:rPr>
        <w:t xml:space="preserve">t</w:t>
      </w:r>
      <w:r>
        <w:t xml:space="preserve"> </w:t>
      </w:r>
      <w:r>
        <w:t xml:space="preserve">(mg/g);</w:t>
      </w:r>
      <w:r>
        <w:t xml:space="preserve"> </w:t>
      </w:r>
      <w:r>
        <w:rPr>
          <w:iCs/>
          <w:i/>
        </w:rPr>
        <w:t xml:space="preserve">k</w:t>
      </w:r>
      <w:r>
        <w:rPr>
          <w:vertAlign w:val="subscript"/>
          <w:iCs/>
          <w:i/>
        </w:rPr>
        <w:t xml:space="preserve">1</w:t>
      </w:r>
      <w:r>
        <w:t xml:space="preserve"> </w:t>
      </w:r>
      <w:r>
        <w:t xml:space="preserve">is the</w:t>
      </w:r>
      <w:r>
        <w:t xml:space="preserve"> </w:t>
      </w:r>
      <w:r>
        <w:t xml:space="preserve">pseudo-first-order rate constant (1/min);</w:t>
      </w:r>
      <w:r>
        <w:t xml:space="preserve"> </w:t>
      </w:r>
      <w:r>
        <w:rPr>
          <w:iCs/>
          <w:i/>
        </w:rPr>
        <w:t xml:space="preserve">k2</w:t>
      </w:r>
      <w:r>
        <w:t xml:space="preserve"> </w:t>
      </w:r>
      <w:r>
        <w:t xml:space="preserve">is the</w:t>
      </w:r>
      <w:r>
        <w:t xml:space="preserve"> </w:t>
      </w:r>
      <w:r>
        <w:t xml:space="preserve">pseudo-second-order rate constant (g/(mg·min));</w:t>
      </w:r>
      <w:r>
        <w:t xml:space="preserve"> </w:t>
      </w:r>
      <w:r>
        <w:rPr>
          <w:iCs/>
          <w:i/>
        </w:rPr>
        <w:t xml:space="preserve">α</w:t>
      </w:r>
      <w:r>
        <w:t xml:space="preserve"> </w:t>
      </w:r>
      <w:r>
        <w:t xml:space="preserve">is the initial</w:t>
      </w:r>
      <w:r>
        <w:t xml:space="preserve"> </w:t>
      </w:r>
      <w:r>
        <w:t xml:space="preserve">sorption rate (mg/(g·min));</w:t>
      </w:r>
      <w:r>
        <w:t xml:space="preserve"> </w:t>
      </w:r>
      <w:r>
        <w:rPr>
          <w:iCs/>
          <w:i/>
        </w:rPr>
        <w:t xml:space="preserve">β</w:t>
      </w:r>
      <w:r>
        <w:t xml:space="preserve"> </w:t>
      </w:r>
      <w:r>
        <w:t xml:space="preserve">is a constant characterizing the</w:t>
      </w:r>
      <w:r>
        <w:t xml:space="preserve"> </w:t>
      </w:r>
      <w:r>
        <w:t xml:space="preserve">chemisorption activation energy and the degree of surface coverage</w:t>
      </w:r>
      <w:r>
        <w:t xml:space="preserve"> </w:t>
      </w:r>
      <w:r>
        <w:t xml:space="preserve">(g/mg).</w:t>
      </w:r>
    </w:p>
    <w:bookmarkStart w:id="45" w:name="s5.-full-numerical-data"/>
    <w:p>
      <w:pPr>
        <w:pStyle w:val="Heading2"/>
      </w:pPr>
      <w:r>
        <w:t xml:space="preserve">S5. Full Numerical Data</w:t>
      </w:r>
    </w:p>
    <w:p>
      <w:pPr>
        <w:pStyle w:val="FirstParagraph"/>
      </w:pPr>
      <w:r>
        <w:rPr>
          <w:bCs/>
          <w:b/>
        </w:rPr>
        <w:t xml:space="preserve">Table S1. Content of water-soluble lead, mg/kg of dry soil (± u(C))</w:t>
      </w:r>
    </w:p>
    <w:tbl>
      <w:tblPr>
        <w:tblStyle w:val="Table"/>
        <w:tblW w:type="pct" w:w="4868"/>
        <w:tblLook w:firstRow="1" w:lastRow="0" w:firstColumn="0" w:lastColumn="0" w:noHBand="0" w:noVBand="0" w:val="0020"/>
        <w:jc w:val="start"/>
      </w:tblPr>
      <w:tblGrid>
        <w:gridCol w:w="1667"/>
        <w:gridCol w:w="1146"/>
        <w:gridCol w:w="1354"/>
        <w:gridCol w:w="1771"/>
        <w:gridCol w:w="1771"/>
      </w:tblGrid>
      <w:tr>
        <w:trPr>
          <w:tblHeader w:val="true"/>
        </w:trPr>
        <w:tc>
          <w:tcPr/>
          <w:p>
            <w:pPr>
              <w:pStyle w:val="Compact"/>
              <w:jc w:val="left"/>
            </w:pPr>
            <w:r>
              <w:rPr>
                <w:bCs/>
                <w:b/>
              </w:rPr>
              <w:t xml:space="preserve">Treatment</w:t>
            </w:r>
          </w:p>
        </w:tc>
        <w:tc>
          <w:tcPr/>
          <w:p>
            <w:pPr>
              <w:pStyle w:val="Compact"/>
              <w:jc w:val="left"/>
            </w:pPr>
            <w:r>
              <w:rPr>
                <w:bCs/>
                <w:b/>
              </w:rPr>
              <w:t xml:space="preserve">Time,</w:t>
            </w:r>
            <w:r>
              <w:rPr>
                <w:bCs/>
                <w:b/>
              </w:rPr>
              <w:t xml:space="preserve"> </w:t>
            </w:r>
            <w:r>
              <w:rPr>
                <w:bCs/>
                <w:b/>
              </w:rPr>
              <w:t xml:space="preserve">days</w:t>
            </w:r>
          </w:p>
        </w:tc>
        <w:tc>
          <w:tcPr/>
          <w:p>
            <w:pPr>
              <w:pStyle w:val="Compact"/>
              <w:jc w:val="left"/>
            </w:pPr>
            <w:r>
              <w:rPr>
                <w:bCs/>
                <w:b/>
              </w:rPr>
              <w:t xml:space="preserve">Low</w:t>
            </w:r>
          </w:p>
        </w:tc>
        <w:tc>
          <w:tcPr/>
          <w:p>
            <w:pPr>
              <w:pStyle w:val="Compact"/>
              <w:jc w:val="left"/>
            </w:pPr>
            <w:r>
              <w:rPr>
                <w:bCs/>
                <w:b/>
              </w:rPr>
              <w:t xml:space="preserve">Moderate</w:t>
            </w:r>
          </w:p>
        </w:tc>
        <w:tc>
          <w:tcPr/>
          <w:p>
            <w:pPr>
              <w:pStyle w:val="Compact"/>
              <w:jc w:val="left"/>
            </w:pPr>
            <w:r>
              <w:rPr>
                <w:bCs/>
                <w:b/>
              </w:rPr>
              <w:t xml:space="preserve">High</w:t>
            </w:r>
          </w:p>
        </w:tc>
      </w:tr>
      <w:tr>
        <w:tc>
          <w:tcPr/>
          <w:p>
            <w:pPr>
              <w:pStyle w:val="Compact"/>
              <w:jc w:val="left"/>
            </w:pPr>
            <w:r>
              <w:t xml:space="preserve">Control</w:t>
            </w:r>
          </w:p>
        </w:tc>
        <w:tc>
          <w:tcPr/>
          <w:p>
            <w:pPr>
              <w:pStyle w:val="Compact"/>
              <w:jc w:val="left"/>
            </w:pPr>
            <w:r>
              <w:t xml:space="preserve">8</w:t>
            </w:r>
          </w:p>
        </w:tc>
        <w:tc>
          <w:tcPr/>
          <w:p>
            <w:pPr>
              <w:pStyle w:val="Compact"/>
              <w:jc w:val="left"/>
            </w:pPr>
            <w:r>
              <w:t xml:space="preserve">41.48 ±</w:t>
            </w:r>
            <w:r>
              <w:t xml:space="preserve"> </w:t>
            </w:r>
            <w:r>
              <w:t xml:space="preserve">10.37</w:t>
            </w:r>
          </w:p>
        </w:tc>
        <w:tc>
          <w:tcPr/>
          <w:p>
            <w:pPr>
              <w:pStyle w:val="Compact"/>
              <w:jc w:val="left"/>
            </w:pPr>
            <w:r>
              <w:t xml:space="preserve">1630.88 ± 106.01</w:t>
            </w:r>
          </w:p>
        </w:tc>
        <w:tc>
          <w:tcPr/>
          <w:p>
            <w:pPr>
              <w:pStyle w:val="Compact"/>
              <w:jc w:val="left"/>
            </w:pPr>
            <w:r>
              <w:t xml:space="preserve">4144.90 ± 269.42</w:t>
            </w:r>
          </w:p>
        </w:tc>
      </w:tr>
      <w:tr>
        <w:tc>
          <w:tcPr/>
          <w:p>
            <w:pPr>
              <w:pStyle w:val="Compact"/>
              <w:jc w:val="left"/>
            </w:pPr>
            <w:r>
              <w:t xml:space="preserve">Biochar</w:t>
            </w:r>
          </w:p>
        </w:tc>
        <w:tc>
          <w:tcPr/>
          <w:p>
            <w:pPr>
              <w:pStyle w:val="Compact"/>
              <w:jc w:val="left"/>
            </w:pPr>
            <w:r>
              <w:t xml:space="preserve">8</w:t>
            </w:r>
          </w:p>
        </w:tc>
        <w:tc>
          <w:tcPr/>
          <w:p>
            <w:pPr>
              <w:pStyle w:val="Compact"/>
              <w:jc w:val="left"/>
            </w:pPr>
            <w:r>
              <w:t xml:space="preserve">30.32 ± 7.58</w:t>
            </w:r>
          </w:p>
        </w:tc>
        <w:tc>
          <w:tcPr/>
          <w:p>
            <w:pPr>
              <w:pStyle w:val="Compact"/>
              <w:jc w:val="left"/>
            </w:pPr>
            <w:r>
              <w:t xml:space="preserve">1317.60 ± 85.64</w:t>
            </w:r>
          </w:p>
        </w:tc>
        <w:tc>
          <w:tcPr/>
          <w:p>
            <w:pPr>
              <w:pStyle w:val="Compact"/>
              <w:jc w:val="left"/>
            </w:pPr>
            <w:r>
              <w:t xml:space="preserve">3592.20 ± 233.49</w:t>
            </w:r>
          </w:p>
        </w:tc>
      </w:tr>
      <w:tr>
        <w:tc>
          <w:tcPr/>
          <w:p>
            <w:pPr>
              <w:pStyle w:val="Compact"/>
              <w:jc w:val="left"/>
            </w:pPr>
            <w:r>
              <w:t xml:space="preserve">HAP</w:t>
            </w:r>
          </w:p>
        </w:tc>
        <w:tc>
          <w:tcPr/>
          <w:p>
            <w:pPr>
              <w:pStyle w:val="Compact"/>
              <w:jc w:val="left"/>
            </w:pPr>
            <w:r>
              <w:t xml:space="preserve">8</w:t>
            </w:r>
          </w:p>
        </w:tc>
        <w:tc>
          <w:tcPr/>
          <w:p>
            <w:pPr>
              <w:pStyle w:val="Compact"/>
              <w:jc w:val="left"/>
            </w:pPr>
            <w:r>
              <w:t xml:space="preserve">20.98 ± 5.25</w:t>
            </w:r>
          </w:p>
        </w:tc>
        <w:tc>
          <w:tcPr/>
          <w:p>
            <w:pPr>
              <w:pStyle w:val="Compact"/>
              <w:jc w:val="left"/>
            </w:pPr>
            <w:r>
              <w:t xml:space="preserve">1024.80 ± 66.61</w:t>
            </w:r>
          </w:p>
        </w:tc>
        <w:tc>
          <w:tcPr/>
          <w:p>
            <w:pPr>
              <w:pStyle w:val="Compact"/>
              <w:jc w:val="left"/>
            </w:pPr>
            <w:r>
              <w:t xml:space="preserve">2798.84 ± 181.93</w:t>
            </w:r>
          </w:p>
        </w:tc>
      </w:tr>
      <w:tr>
        <w:tc>
          <w:tcPr/>
          <w:p>
            <w:pPr>
              <w:pStyle w:val="Compact"/>
              <w:jc w:val="left"/>
            </w:pPr>
            <w:r>
              <w:t xml:space="preserve">Biochar + HAP</w:t>
            </w:r>
          </w:p>
        </w:tc>
        <w:tc>
          <w:tcPr/>
          <w:p>
            <w:pPr>
              <w:pStyle w:val="Compact"/>
              <w:jc w:val="left"/>
            </w:pPr>
            <w:r>
              <w:t xml:space="preserve">8</w:t>
            </w:r>
          </w:p>
        </w:tc>
        <w:tc>
          <w:tcPr/>
          <w:p>
            <w:pPr>
              <w:pStyle w:val="Compact"/>
              <w:jc w:val="left"/>
            </w:pPr>
            <w:r>
              <w:t xml:space="preserve">23.66 ± 5.92</w:t>
            </w:r>
          </w:p>
        </w:tc>
        <w:tc>
          <w:tcPr/>
          <w:p>
            <w:pPr>
              <w:pStyle w:val="Compact"/>
              <w:jc w:val="left"/>
            </w:pPr>
            <w:r>
              <w:t xml:space="preserve">973.56 ± 63.28</w:t>
            </w:r>
          </w:p>
        </w:tc>
        <w:tc>
          <w:tcPr/>
          <w:p>
            <w:pPr>
              <w:pStyle w:val="Compact"/>
              <w:jc w:val="left"/>
            </w:pPr>
            <w:r>
              <w:t xml:space="preserve">2806.00 ± 182.39</w:t>
            </w:r>
          </w:p>
        </w:tc>
      </w:tr>
      <w:tr>
        <w:tc>
          <w:tcPr/>
          <w:p>
            <w:pPr>
              <w:pStyle w:val="Compact"/>
              <w:jc w:val="left"/>
            </w:pPr>
            <w:r>
              <w:t xml:space="preserve">Control</w:t>
            </w:r>
          </w:p>
        </w:tc>
        <w:tc>
          <w:tcPr/>
          <w:p>
            <w:pPr>
              <w:pStyle w:val="Compact"/>
              <w:jc w:val="left"/>
            </w:pPr>
            <w:r>
              <w:t xml:space="preserve">46</w:t>
            </w:r>
          </w:p>
        </w:tc>
        <w:tc>
          <w:tcPr/>
          <w:p>
            <w:pPr>
              <w:pStyle w:val="Compact"/>
              <w:jc w:val="left"/>
            </w:pPr>
            <w:r>
              <w:t xml:space="preserve">10.80 ± 2.70</w:t>
            </w:r>
          </w:p>
        </w:tc>
        <w:tc>
          <w:tcPr/>
          <w:p>
            <w:pPr>
              <w:pStyle w:val="Compact"/>
              <w:jc w:val="left"/>
            </w:pPr>
            <w:r>
              <w:t xml:space="preserve">908.16 ± 59.03</w:t>
            </w:r>
          </w:p>
        </w:tc>
        <w:tc>
          <w:tcPr/>
          <w:p>
            <w:pPr>
              <w:pStyle w:val="Compact"/>
              <w:jc w:val="left"/>
            </w:pPr>
            <w:r>
              <w:t xml:space="preserve">2860.42 ± 185.93</w:t>
            </w:r>
          </w:p>
        </w:tc>
      </w:tr>
      <w:tr>
        <w:tc>
          <w:tcPr/>
          <w:p>
            <w:pPr>
              <w:pStyle w:val="Compact"/>
              <w:jc w:val="left"/>
            </w:pPr>
            <w:r>
              <w:t xml:space="preserve">Biochar</w:t>
            </w:r>
          </w:p>
        </w:tc>
        <w:tc>
          <w:tcPr/>
          <w:p>
            <w:pPr>
              <w:pStyle w:val="Compact"/>
              <w:jc w:val="left"/>
            </w:pPr>
            <w:r>
              <w:t xml:space="preserve">46</w:t>
            </w:r>
          </w:p>
        </w:tc>
        <w:tc>
          <w:tcPr/>
          <w:p>
            <w:pPr>
              <w:pStyle w:val="Compact"/>
              <w:jc w:val="left"/>
            </w:pPr>
            <w:r>
              <w:t xml:space="preserve">17.88 ± 4.47</w:t>
            </w:r>
          </w:p>
        </w:tc>
        <w:tc>
          <w:tcPr/>
          <w:p>
            <w:pPr>
              <w:pStyle w:val="Compact"/>
              <w:jc w:val="left"/>
            </w:pPr>
            <w:r>
              <w:t xml:space="preserve">824.96 ± 53.62</w:t>
            </w:r>
          </w:p>
        </w:tc>
        <w:tc>
          <w:tcPr/>
          <w:p>
            <w:pPr>
              <w:pStyle w:val="Compact"/>
              <w:jc w:val="left"/>
            </w:pPr>
            <w:r>
              <w:t xml:space="preserve">2790.88 ± 181.41</w:t>
            </w:r>
          </w:p>
        </w:tc>
      </w:tr>
      <w:tr>
        <w:tc>
          <w:tcPr/>
          <w:p>
            <w:pPr>
              <w:pStyle w:val="Compact"/>
              <w:jc w:val="left"/>
            </w:pPr>
            <w:r>
              <w:t xml:space="preserve">HAP</w:t>
            </w:r>
          </w:p>
        </w:tc>
        <w:tc>
          <w:tcPr/>
          <w:p>
            <w:pPr>
              <w:pStyle w:val="Compact"/>
              <w:jc w:val="left"/>
            </w:pPr>
            <w:r>
              <w:t xml:space="preserve">46</w:t>
            </w:r>
          </w:p>
        </w:tc>
        <w:tc>
          <w:tcPr/>
          <w:p>
            <w:pPr>
              <w:pStyle w:val="Compact"/>
              <w:jc w:val="left"/>
            </w:pPr>
            <w:r>
              <w:t xml:space="preserve">11.92 ± 2.98</w:t>
            </w:r>
          </w:p>
        </w:tc>
        <w:tc>
          <w:tcPr/>
          <w:p>
            <w:pPr>
              <w:pStyle w:val="Compact"/>
              <w:jc w:val="left"/>
            </w:pPr>
            <w:r>
              <w:t xml:space="preserve">728.56 ± 47.36</w:t>
            </w:r>
          </w:p>
        </w:tc>
        <w:tc>
          <w:tcPr/>
          <w:p>
            <w:pPr>
              <w:pStyle w:val="Compact"/>
              <w:jc w:val="left"/>
            </w:pPr>
            <w:r>
              <w:t xml:space="preserve">2331.56 ± 151.55</w:t>
            </w:r>
          </w:p>
        </w:tc>
      </w:tr>
      <w:tr>
        <w:tc>
          <w:tcPr/>
          <w:p>
            <w:pPr>
              <w:pStyle w:val="Compact"/>
              <w:jc w:val="left"/>
            </w:pPr>
            <w:r>
              <w:t xml:space="preserve">Biochar + HAP</w:t>
            </w:r>
          </w:p>
        </w:tc>
        <w:tc>
          <w:tcPr/>
          <w:p>
            <w:pPr>
              <w:pStyle w:val="Compact"/>
              <w:jc w:val="left"/>
            </w:pPr>
            <w:r>
              <w:t xml:space="preserve">46</w:t>
            </w:r>
          </w:p>
        </w:tc>
        <w:tc>
          <w:tcPr/>
          <w:p>
            <w:pPr>
              <w:pStyle w:val="Compact"/>
              <w:jc w:val="left"/>
            </w:pPr>
            <w:r>
              <w:t xml:space="preserve">14.42 ± 3.61</w:t>
            </w:r>
          </w:p>
        </w:tc>
        <w:tc>
          <w:tcPr/>
          <w:p>
            <w:pPr>
              <w:pStyle w:val="Compact"/>
              <w:jc w:val="left"/>
            </w:pPr>
            <w:r>
              <w:t xml:space="preserve">602.70 ± 39.18</w:t>
            </w:r>
          </w:p>
        </w:tc>
        <w:tc>
          <w:tcPr/>
          <w:p>
            <w:pPr>
              <w:pStyle w:val="Compact"/>
              <w:jc w:val="left"/>
            </w:pPr>
            <w:r>
              <w:t xml:space="preserve">2243.26 ± 145.81</w:t>
            </w:r>
          </w:p>
        </w:tc>
      </w:tr>
      <w:tr>
        <w:tc>
          <w:tcPr/>
          <w:p>
            <w:pPr>
              <w:pStyle w:val="Compact"/>
              <w:jc w:val="left"/>
            </w:pPr>
            <w:r>
              <w:t xml:space="preserve">Control</w:t>
            </w:r>
          </w:p>
        </w:tc>
        <w:tc>
          <w:tcPr/>
          <w:p>
            <w:pPr>
              <w:pStyle w:val="Compact"/>
              <w:jc w:val="left"/>
            </w:pPr>
            <w:r>
              <w:t xml:space="preserve">90</w:t>
            </w:r>
          </w:p>
        </w:tc>
        <w:tc>
          <w:tcPr/>
          <w:p>
            <w:pPr>
              <w:pStyle w:val="Compact"/>
              <w:jc w:val="left"/>
            </w:pPr>
            <w:r>
              <w:t xml:space="preserve">11.16 ± 2.79</w:t>
            </w:r>
          </w:p>
        </w:tc>
        <w:tc>
          <w:tcPr/>
          <w:p>
            <w:pPr>
              <w:pStyle w:val="Compact"/>
              <w:jc w:val="left"/>
            </w:pPr>
            <w:r>
              <w:t xml:space="preserve">1122.11 ± 72.94</w:t>
            </w:r>
          </w:p>
        </w:tc>
        <w:tc>
          <w:tcPr/>
          <w:p>
            <w:pPr>
              <w:pStyle w:val="Compact"/>
              <w:jc w:val="left"/>
            </w:pPr>
            <w:r>
              <w:t xml:space="preserve">2982.24 ± 193.85</w:t>
            </w:r>
          </w:p>
        </w:tc>
      </w:tr>
      <w:tr>
        <w:tc>
          <w:tcPr/>
          <w:p>
            <w:pPr>
              <w:pStyle w:val="Compact"/>
              <w:jc w:val="left"/>
            </w:pPr>
            <w:r>
              <w:t xml:space="preserve">Biochar</w:t>
            </w:r>
          </w:p>
        </w:tc>
        <w:tc>
          <w:tcPr/>
          <w:p>
            <w:pPr>
              <w:pStyle w:val="Compact"/>
              <w:jc w:val="left"/>
            </w:pPr>
            <w:r>
              <w:t xml:space="preserve">90</w:t>
            </w:r>
          </w:p>
        </w:tc>
        <w:tc>
          <w:tcPr/>
          <w:p>
            <w:pPr>
              <w:pStyle w:val="Compact"/>
              <w:jc w:val="left"/>
            </w:pPr>
            <w:r>
              <w:t xml:space="preserve">19.41 ± 4.85</w:t>
            </w:r>
          </w:p>
        </w:tc>
        <w:tc>
          <w:tcPr/>
          <w:p>
            <w:pPr>
              <w:pStyle w:val="Compact"/>
              <w:jc w:val="left"/>
            </w:pPr>
            <w:r>
              <w:t xml:space="preserve">851.43 ± 55.34</w:t>
            </w:r>
          </w:p>
        </w:tc>
        <w:tc>
          <w:tcPr/>
          <w:p>
            <w:pPr>
              <w:pStyle w:val="Compact"/>
              <w:jc w:val="left"/>
            </w:pPr>
            <w:r>
              <w:t xml:space="preserve">2731.29 ± 177.53</w:t>
            </w:r>
          </w:p>
        </w:tc>
      </w:tr>
      <w:tr>
        <w:tc>
          <w:tcPr/>
          <w:p>
            <w:pPr>
              <w:pStyle w:val="Compact"/>
              <w:jc w:val="left"/>
            </w:pPr>
            <w:r>
              <w:t xml:space="preserve">HAP</w:t>
            </w:r>
          </w:p>
        </w:tc>
        <w:tc>
          <w:tcPr/>
          <w:p>
            <w:pPr>
              <w:pStyle w:val="Compact"/>
              <w:jc w:val="left"/>
            </w:pPr>
            <w:r>
              <w:t xml:space="preserve">90</w:t>
            </w:r>
          </w:p>
        </w:tc>
        <w:tc>
          <w:tcPr/>
          <w:p>
            <w:pPr>
              <w:pStyle w:val="Compact"/>
              <w:jc w:val="left"/>
            </w:pPr>
            <w:r>
              <w:t xml:space="preserve">17.77 ± 4.44</w:t>
            </w:r>
          </w:p>
        </w:tc>
        <w:tc>
          <w:tcPr/>
          <w:p>
            <w:pPr>
              <w:pStyle w:val="Compact"/>
              <w:jc w:val="left"/>
            </w:pPr>
            <w:r>
              <w:t xml:space="preserve">458.61 ± 29.81</w:t>
            </w:r>
          </w:p>
        </w:tc>
        <w:tc>
          <w:tcPr/>
          <w:p>
            <w:pPr>
              <w:pStyle w:val="Compact"/>
              <w:jc w:val="left"/>
            </w:pPr>
            <w:r>
              <w:t xml:space="preserve">1721.06 ± 111.87</w:t>
            </w:r>
          </w:p>
        </w:tc>
      </w:tr>
      <w:tr>
        <w:tc>
          <w:tcPr/>
          <w:p>
            <w:pPr>
              <w:pStyle w:val="Compact"/>
              <w:jc w:val="left"/>
            </w:pPr>
            <w:r>
              <w:t xml:space="preserve">Biochar + HAP</w:t>
            </w:r>
          </w:p>
        </w:tc>
        <w:tc>
          <w:tcPr/>
          <w:p>
            <w:pPr>
              <w:pStyle w:val="Compact"/>
              <w:jc w:val="left"/>
            </w:pPr>
            <w:r>
              <w:t xml:space="preserve">90</w:t>
            </w:r>
          </w:p>
        </w:tc>
        <w:tc>
          <w:tcPr/>
          <w:p>
            <w:pPr>
              <w:pStyle w:val="Compact"/>
              <w:jc w:val="left"/>
            </w:pPr>
            <w:r>
              <w:t xml:space="preserve">16.15 ± 4.04</w:t>
            </w:r>
          </w:p>
        </w:tc>
        <w:tc>
          <w:tcPr/>
          <w:p>
            <w:pPr>
              <w:pStyle w:val="Compact"/>
              <w:jc w:val="left"/>
            </w:pPr>
            <w:r>
              <w:t xml:space="preserve">546.61 ± 35.53</w:t>
            </w:r>
          </w:p>
        </w:tc>
        <w:tc>
          <w:tcPr/>
          <w:p>
            <w:pPr>
              <w:pStyle w:val="Compact"/>
              <w:jc w:val="left"/>
            </w:pPr>
            <w:r>
              <w:t xml:space="preserve">1792.89 ± 116.54</w:t>
            </w:r>
          </w:p>
        </w:tc>
      </w:tr>
    </w:tbl>
    <w:p>
      <w:pPr>
        <w:pStyle w:val="BodyText"/>
      </w:pPr>
      <w:r>
        <w:rPr>
          <w:bCs/>
          <w:b/>
        </w:rPr>
        <w:t xml:space="preserve">Table S2. Reduction of water-soluble lead content relative to the</w:t>
      </w:r>
      <w:r>
        <w:rPr>
          <w:bCs/>
          <w:b/>
        </w:rPr>
        <w:t xml:space="preserve"> </w:t>
      </w:r>
      <w:r>
        <w:rPr>
          <w:bCs/>
          <w:b/>
        </w:rPr>
        <w:t xml:space="preserve">control, %</w:t>
      </w:r>
    </w:p>
    <w:tbl>
      <w:tblPr>
        <w:tblStyle w:val="Table"/>
        <w:tblW w:type="pct" w:w="4868"/>
        <w:tblLook w:firstRow="1" w:lastRow="0" w:firstColumn="0" w:lastColumn="0" w:noHBand="0" w:noVBand="0" w:val="0020"/>
        <w:jc w:val="start"/>
      </w:tblPr>
      <w:tblGrid>
        <w:gridCol w:w="2084"/>
        <w:gridCol w:w="1667"/>
        <w:gridCol w:w="1250"/>
        <w:gridCol w:w="1563"/>
        <w:gridCol w:w="1146"/>
      </w:tblGrid>
      <w:tr>
        <w:trPr>
          <w:tblHeader w:val="true"/>
        </w:trPr>
        <w:tc>
          <w:tcPr/>
          <w:p>
            <w:pPr>
              <w:pStyle w:val="Compact"/>
              <w:jc w:val="left"/>
            </w:pPr>
            <w:r>
              <w:rPr>
                <w:bCs/>
                <w:b/>
              </w:rPr>
              <w:t xml:space="preserve">Treatment</w:t>
            </w:r>
          </w:p>
        </w:tc>
        <w:tc>
          <w:tcPr/>
          <w:p>
            <w:pPr>
              <w:pStyle w:val="Compact"/>
              <w:jc w:val="left"/>
            </w:pPr>
            <w:r>
              <w:rPr>
                <w:bCs/>
                <w:b/>
              </w:rPr>
              <w:t xml:space="preserve">Time, days</w:t>
            </w:r>
          </w:p>
        </w:tc>
        <w:tc>
          <w:tcPr/>
          <w:p>
            <w:pPr>
              <w:pStyle w:val="Compact"/>
              <w:jc w:val="left"/>
            </w:pPr>
            <w:r>
              <w:rPr>
                <w:bCs/>
                <w:b/>
              </w:rPr>
              <w:t xml:space="preserve">Low*</w:t>
            </w:r>
          </w:p>
        </w:tc>
        <w:tc>
          <w:tcPr/>
          <w:p>
            <w:pPr>
              <w:pStyle w:val="Compact"/>
              <w:jc w:val="left"/>
            </w:pPr>
            <w:r>
              <w:rPr>
                <w:bCs/>
                <w:b/>
              </w:rPr>
              <w:t xml:space="preserve">Moderate</w:t>
            </w:r>
          </w:p>
        </w:tc>
        <w:tc>
          <w:tcPr/>
          <w:p>
            <w:pPr>
              <w:pStyle w:val="Compact"/>
              <w:jc w:val="left"/>
            </w:pPr>
            <w:r>
              <w:rPr>
                <w:bCs/>
                <w:b/>
              </w:rPr>
              <w:t xml:space="preserve">High</w:t>
            </w:r>
          </w:p>
        </w:tc>
      </w:tr>
      <w:tr>
        <w:tc>
          <w:tcPr/>
          <w:p>
            <w:pPr>
              <w:pStyle w:val="Compact"/>
              <w:jc w:val="left"/>
            </w:pPr>
            <w:r>
              <w:t xml:space="preserve">Biochar</w:t>
            </w:r>
          </w:p>
        </w:tc>
        <w:tc>
          <w:tcPr/>
          <w:p>
            <w:pPr>
              <w:pStyle w:val="Compact"/>
              <w:jc w:val="left"/>
            </w:pPr>
            <w:r>
              <w:t xml:space="preserve">8</w:t>
            </w:r>
          </w:p>
        </w:tc>
        <w:tc>
          <w:tcPr/>
          <w:p>
            <w:pPr>
              <w:pStyle w:val="Compact"/>
              <w:jc w:val="left"/>
            </w:pPr>
            <w:r>
              <w:t xml:space="preserve">26.9</w:t>
            </w:r>
          </w:p>
        </w:tc>
        <w:tc>
          <w:tcPr/>
          <w:p>
            <w:pPr>
              <w:pStyle w:val="Compact"/>
              <w:jc w:val="left"/>
            </w:pPr>
            <w:r>
              <w:t xml:space="preserve">19.2</w:t>
            </w:r>
          </w:p>
        </w:tc>
        <w:tc>
          <w:tcPr/>
          <w:p>
            <w:pPr>
              <w:pStyle w:val="Compact"/>
              <w:jc w:val="left"/>
            </w:pPr>
            <w:r>
              <w:t xml:space="preserve">13.3</w:t>
            </w:r>
          </w:p>
        </w:tc>
      </w:tr>
      <w:tr>
        <w:tc>
          <w:tcPr/>
          <w:p>
            <w:pPr>
              <w:pStyle w:val="Compact"/>
              <w:jc w:val="left"/>
            </w:pPr>
            <w:r>
              <w:t xml:space="preserve">HAP</w:t>
            </w:r>
          </w:p>
        </w:tc>
        <w:tc>
          <w:tcPr/>
          <w:p>
            <w:pPr>
              <w:pStyle w:val="Compact"/>
              <w:jc w:val="left"/>
            </w:pPr>
            <w:r>
              <w:t xml:space="preserve">8</w:t>
            </w:r>
          </w:p>
        </w:tc>
        <w:tc>
          <w:tcPr/>
          <w:p>
            <w:pPr>
              <w:pStyle w:val="Compact"/>
              <w:jc w:val="left"/>
            </w:pPr>
            <w:r>
              <w:t xml:space="preserve">49.4</w:t>
            </w:r>
          </w:p>
        </w:tc>
        <w:tc>
          <w:tcPr/>
          <w:p>
            <w:pPr>
              <w:pStyle w:val="Compact"/>
              <w:jc w:val="left"/>
            </w:pPr>
            <w:r>
              <w:t xml:space="preserve">37.2</w:t>
            </w:r>
          </w:p>
        </w:tc>
        <w:tc>
          <w:tcPr/>
          <w:p>
            <w:pPr>
              <w:pStyle w:val="Compact"/>
              <w:jc w:val="left"/>
            </w:pPr>
            <w:r>
              <w:t xml:space="preserve">32.5</w:t>
            </w:r>
          </w:p>
        </w:tc>
      </w:tr>
      <w:tr>
        <w:tc>
          <w:tcPr/>
          <w:p>
            <w:pPr>
              <w:pStyle w:val="Compact"/>
              <w:jc w:val="left"/>
            </w:pPr>
            <w:r>
              <w:t xml:space="preserve">Biochar + HAP</w:t>
            </w:r>
          </w:p>
        </w:tc>
        <w:tc>
          <w:tcPr/>
          <w:p>
            <w:pPr>
              <w:pStyle w:val="Compact"/>
              <w:jc w:val="left"/>
            </w:pPr>
            <w:r>
              <w:t xml:space="preserve">8</w:t>
            </w:r>
          </w:p>
        </w:tc>
        <w:tc>
          <w:tcPr/>
          <w:p>
            <w:pPr>
              <w:pStyle w:val="Compact"/>
              <w:jc w:val="left"/>
            </w:pPr>
            <w:r>
              <w:t xml:space="preserve">42.9</w:t>
            </w:r>
          </w:p>
        </w:tc>
        <w:tc>
          <w:tcPr/>
          <w:p>
            <w:pPr>
              <w:pStyle w:val="Compact"/>
              <w:jc w:val="left"/>
            </w:pPr>
            <w:r>
              <w:t xml:space="preserve">40.3</w:t>
            </w:r>
          </w:p>
        </w:tc>
        <w:tc>
          <w:tcPr/>
          <w:p>
            <w:pPr>
              <w:pStyle w:val="Compact"/>
              <w:jc w:val="left"/>
            </w:pPr>
            <w:r>
              <w:t xml:space="preserve">32.3</w:t>
            </w:r>
          </w:p>
        </w:tc>
      </w:tr>
      <w:tr>
        <w:tc>
          <w:tcPr/>
          <w:p>
            <w:pPr>
              <w:pStyle w:val="Compact"/>
              <w:jc w:val="left"/>
            </w:pPr>
            <w:r>
              <w:t xml:space="preserve">Biochar</w:t>
            </w:r>
          </w:p>
        </w:tc>
        <w:tc>
          <w:tcPr/>
          <w:p>
            <w:pPr>
              <w:pStyle w:val="Compact"/>
              <w:jc w:val="left"/>
            </w:pPr>
            <w:r>
              <w:t xml:space="preserve">46</w:t>
            </w:r>
          </w:p>
        </w:tc>
        <w:tc>
          <w:tcPr/>
          <w:p>
            <w:pPr>
              <w:pStyle w:val="Compact"/>
              <w:jc w:val="left"/>
            </w:pPr>
            <w:r>
              <w:t xml:space="preserve">−65.6*</w:t>
            </w:r>
          </w:p>
        </w:tc>
        <w:tc>
          <w:tcPr/>
          <w:p>
            <w:pPr>
              <w:pStyle w:val="Compact"/>
              <w:jc w:val="left"/>
            </w:pPr>
            <w:r>
              <w:t xml:space="preserve">9.2</w:t>
            </w:r>
          </w:p>
        </w:tc>
        <w:tc>
          <w:tcPr/>
          <w:p>
            <w:pPr>
              <w:pStyle w:val="Compact"/>
              <w:jc w:val="left"/>
            </w:pPr>
            <w:r>
              <w:t xml:space="preserve">2.4</w:t>
            </w:r>
          </w:p>
        </w:tc>
      </w:tr>
      <w:tr>
        <w:tc>
          <w:tcPr/>
          <w:p>
            <w:pPr>
              <w:pStyle w:val="Compact"/>
              <w:jc w:val="left"/>
            </w:pPr>
            <w:r>
              <w:t xml:space="preserve">HAP</w:t>
            </w:r>
          </w:p>
        </w:tc>
        <w:tc>
          <w:tcPr/>
          <w:p>
            <w:pPr>
              <w:pStyle w:val="Compact"/>
              <w:jc w:val="left"/>
            </w:pPr>
            <w:r>
              <w:t xml:space="preserve">46</w:t>
            </w:r>
          </w:p>
        </w:tc>
        <w:tc>
          <w:tcPr/>
          <w:p>
            <w:pPr>
              <w:pStyle w:val="Compact"/>
              <w:jc w:val="left"/>
            </w:pPr>
            <w:r>
              <w:t xml:space="preserve">−10.4*</w:t>
            </w:r>
          </w:p>
        </w:tc>
        <w:tc>
          <w:tcPr/>
          <w:p>
            <w:pPr>
              <w:pStyle w:val="Compact"/>
              <w:jc w:val="left"/>
            </w:pPr>
            <w:r>
              <w:t xml:space="preserve">19.8</w:t>
            </w:r>
          </w:p>
        </w:tc>
        <w:tc>
          <w:tcPr/>
          <w:p>
            <w:pPr>
              <w:pStyle w:val="Compact"/>
              <w:jc w:val="left"/>
            </w:pPr>
            <w:r>
              <w:t xml:space="preserve">18.5</w:t>
            </w:r>
          </w:p>
        </w:tc>
      </w:tr>
      <w:tr>
        <w:tc>
          <w:tcPr/>
          <w:p>
            <w:pPr>
              <w:pStyle w:val="Compact"/>
              <w:jc w:val="left"/>
            </w:pPr>
            <w:r>
              <w:t xml:space="preserve">Biochar + HAP</w:t>
            </w:r>
          </w:p>
        </w:tc>
        <w:tc>
          <w:tcPr/>
          <w:p>
            <w:pPr>
              <w:pStyle w:val="Compact"/>
              <w:jc w:val="left"/>
            </w:pPr>
            <w:r>
              <w:t xml:space="preserve">46</w:t>
            </w:r>
          </w:p>
        </w:tc>
        <w:tc>
          <w:tcPr/>
          <w:p>
            <w:pPr>
              <w:pStyle w:val="Compact"/>
              <w:jc w:val="left"/>
            </w:pPr>
            <w:r>
              <w:t xml:space="preserve">−33.6*</w:t>
            </w:r>
          </w:p>
        </w:tc>
        <w:tc>
          <w:tcPr/>
          <w:p>
            <w:pPr>
              <w:pStyle w:val="Compact"/>
              <w:jc w:val="left"/>
            </w:pPr>
            <w:r>
              <w:t xml:space="preserve">33.6</w:t>
            </w:r>
          </w:p>
        </w:tc>
        <w:tc>
          <w:tcPr/>
          <w:p>
            <w:pPr>
              <w:pStyle w:val="Compact"/>
              <w:jc w:val="left"/>
            </w:pPr>
            <w:r>
              <w:t xml:space="preserve">21.6</w:t>
            </w:r>
          </w:p>
        </w:tc>
      </w:tr>
      <w:tr>
        <w:tc>
          <w:tcPr/>
          <w:p>
            <w:pPr>
              <w:pStyle w:val="Compact"/>
              <w:jc w:val="left"/>
            </w:pPr>
            <w:r>
              <w:t xml:space="preserve">Biochar</w:t>
            </w:r>
          </w:p>
        </w:tc>
        <w:tc>
          <w:tcPr/>
          <w:p>
            <w:pPr>
              <w:pStyle w:val="Compact"/>
              <w:jc w:val="left"/>
            </w:pPr>
            <w:r>
              <w:t xml:space="preserve">90</w:t>
            </w:r>
          </w:p>
        </w:tc>
        <w:tc>
          <w:tcPr/>
          <w:p>
            <w:pPr>
              <w:pStyle w:val="Compact"/>
              <w:jc w:val="left"/>
            </w:pPr>
            <w:r>
              <w:t xml:space="preserve">−73.8*</w:t>
            </w:r>
          </w:p>
        </w:tc>
        <w:tc>
          <w:tcPr/>
          <w:p>
            <w:pPr>
              <w:pStyle w:val="Compact"/>
              <w:jc w:val="left"/>
            </w:pPr>
            <w:r>
              <w:t xml:space="preserve">24.1</w:t>
            </w:r>
          </w:p>
        </w:tc>
        <w:tc>
          <w:tcPr/>
          <w:p>
            <w:pPr>
              <w:pStyle w:val="Compact"/>
              <w:jc w:val="left"/>
            </w:pPr>
            <w:r>
              <w:t xml:space="preserve">8.4†</w:t>
            </w:r>
          </w:p>
        </w:tc>
      </w:tr>
      <w:tr>
        <w:tc>
          <w:tcPr/>
          <w:p>
            <w:pPr>
              <w:pStyle w:val="Compact"/>
              <w:jc w:val="left"/>
            </w:pPr>
            <w:r>
              <w:t xml:space="preserve">HAP</w:t>
            </w:r>
          </w:p>
        </w:tc>
        <w:tc>
          <w:tcPr/>
          <w:p>
            <w:pPr>
              <w:pStyle w:val="Compact"/>
              <w:jc w:val="left"/>
            </w:pPr>
            <w:r>
              <w:t xml:space="preserve">90</w:t>
            </w:r>
          </w:p>
        </w:tc>
        <w:tc>
          <w:tcPr/>
          <w:p>
            <w:pPr>
              <w:pStyle w:val="Compact"/>
              <w:jc w:val="left"/>
            </w:pPr>
            <w:r>
              <w:t xml:space="preserve">−59.2*</w:t>
            </w:r>
          </w:p>
        </w:tc>
        <w:tc>
          <w:tcPr/>
          <w:p>
            <w:pPr>
              <w:pStyle w:val="Compact"/>
              <w:jc w:val="left"/>
            </w:pPr>
            <w:r>
              <w:t xml:space="preserve">59.1</w:t>
            </w:r>
          </w:p>
        </w:tc>
        <w:tc>
          <w:tcPr/>
          <w:p>
            <w:pPr>
              <w:pStyle w:val="Compact"/>
              <w:jc w:val="left"/>
            </w:pPr>
            <w:r>
              <w:t xml:space="preserve">42.3</w:t>
            </w:r>
          </w:p>
        </w:tc>
      </w:tr>
      <w:tr>
        <w:tc>
          <w:tcPr/>
          <w:p>
            <w:pPr>
              <w:pStyle w:val="Compact"/>
              <w:jc w:val="left"/>
            </w:pPr>
            <w:r>
              <w:t xml:space="preserve">Biochar + HAP</w:t>
            </w:r>
          </w:p>
        </w:tc>
        <w:tc>
          <w:tcPr/>
          <w:p>
            <w:pPr>
              <w:pStyle w:val="Compact"/>
              <w:jc w:val="left"/>
            </w:pPr>
            <w:r>
              <w:t xml:space="preserve">90</w:t>
            </w:r>
          </w:p>
        </w:tc>
        <w:tc>
          <w:tcPr/>
          <w:p>
            <w:pPr>
              <w:pStyle w:val="Compact"/>
              <w:jc w:val="left"/>
            </w:pPr>
            <w:r>
              <w:t xml:space="preserve">−44.6*</w:t>
            </w:r>
          </w:p>
        </w:tc>
        <w:tc>
          <w:tcPr/>
          <w:p>
            <w:pPr>
              <w:pStyle w:val="Compact"/>
              <w:jc w:val="left"/>
            </w:pPr>
            <w:r>
              <w:t xml:space="preserve">51.3</w:t>
            </w:r>
          </w:p>
        </w:tc>
        <w:tc>
          <w:tcPr/>
          <w:p>
            <w:pPr>
              <w:pStyle w:val="Compact"/>
              <w:jc w:val="left"/>
            </w:pPr>
            <w:r>
              <w:t xml:space="preserve">39.9</w:t>
            </w:r>
          </w:p>
        </w:tc>
      </w:tr>
    </w:tbl>
    <w:p>
      <w:pPr>
        <w:pStyle w:val="BodyText"/>
      </w:pPr>
      <w:r>
        <w:t xml:space="preserve">* For the low contamination level, the elevated analytical error (±25%)</w:t>
      </w:r>
      <w:r>
        <w:t xml:space="preserve"> </w:t>
      </w:r>
      <w:r>
        <w:t xml:space="preserve">makes these values statistically indistinguishable from zero.</w:t>
      </w:r>
    </w:p>
    <w:p>
      <w:pPr>
        <w:pStyle w:val="BodyText"/>
      </w:pPr>
      <w:r>
        <w:rPr>
          <w:bCs/>
          <w:b/>
        </w:rPr>
        <w:t xml:space="preserve">Table S3. Content of exchangeable lead, mg/kg of dry soil (± u(C))</w:t>
      </w:r>
    </w:p>
    <w:tbl>
      <w:tblPr>
        <w:tblStyle w:val="Table"/>
        <w:tblW w:type="pct" w:w="4867"/>
        <w:tblLook w:firstRow="1" w:lastRow="0" w:firstColumn="0" w:lastColumn="0" w:noHBand="0" w:noVBand="0" w:val="0020"/>
        <w:jc w:val="start"/>
      </w:tblPr>
      <w:tblGrid>
        <w:gridCol w:w="1689"/>
        <w:gridCol w:w="1161"/>
        <w:gridCol w:w="1372"/>
        <w:gridCol w:w="1689"/>
        <w:gridCol w:w="1795"/>
      </w:tblGrid>
      <w:tr>
        <w:trPr>
          <w:tblHeader w:val="true"/>
        </w:trPr>
        <w:tc>
          <w:tcPr/>
          <w:p>
            <w:pPr>
              <w:pStyle w:val="Compact"/>
              <w:jc w:val="left"/>
            </w:pPr>
            <w:r>
              <w:rPr>
                <w:bCs/>
                <w:b/>
              </w:rPr>
              <w:t xml:space="preserve">Treatment</w:t>
            </w:r>
          </w:p>
        </w:tc>
        <w:tc>
          <w:tcPr/>
          <w:p>
            <w:pPr>
              <w:pStyle w:val="Compact"/>
              <w:jc w:val="left"/>
            </w:pPr>
            <w:r>
              <w:rPr>
                <w:bCs/>
                <w:b/>
              </w:rPr>
              <w:t xml:space="preserve">Time,</w:t>
            </w:r>
            <w:r>
              <w:rPr>
                <w:bCs/>
                <w:b/>
              </w:rPr>
              <w:t xml:space="preserve"> </w:t>
            </w:r>
            <w:r>
              <w:rPr>
                <w:bCs/>
                <w:b/>
              </w:rPr>
              <w:t xml:space="preserve">days</w:t>
            </w:r>
          </w:p>
        </w:tc>
        <w:tc>
          <w:tcPr/>
          <w:p>
            <w:pPr>
              <w:pStyle w:val="Compact"/>
              <w:jc w:val="left"/>
            </w:pPr>
            <w:r>
              <w:rPr>
                <w:bCs/>
                <w:b/>
              </w:rPr>
              <w:t xml:space="preserve">Low</w:t>
            </w:r>
          </w:p>
        </w:tc>
        <w:tc>
          <w:tcPr/>
          <w:p>
            <w:pPr>
              <w:pStyle w:val="Compact"/>
              <w:jc w:val="left"/>
            </w:pPr>
            <w:r>
              <w:rPr>
                <w:bCs/>
                <w:b/>
              </w:rPr>
              <w:t xml:space="preserve">Moderate</w:t>
            </w:r>
          </w:p>
        </w:tc>
        <w:tc>
          <w:tcPr/>
          <w:p>
            <w:pPr>
              <w:pStyle w:val="Compact"/>
              <w:jc w:val="left"/>
            </w:pPr>
            <w:r>
              <w:rPr>
                <w:bCs/>
                <w:b/>
              </w:rPr>
              <w:t xml:space="preserve">High</w:t>
            </w:r>
          </w:p>
        </w:tc>
      </w:tr>
      <w:tr>
        <w:tc>
          <w:tcPr/>
          <w:p>
            <w:pPr>
              <w:pStyle w:val="Compact"/>
              <w:jc w:val="left"/>
            </w:pPr>
            <w:r>
              <w:t xml:space="preserve">Control</w:t>
            </w:r>
          </w:p>
        </w:tc>
        <w:tc>
          <w:tcPr/>
          <w:p>
            <w:pPr>
              <w:pStyle w:val="Compact"/>
              <w:jc w:val="left"/>
            </w:pPr>
            <w:r>
              <w:t xml:space="preserve">8</w:t>
            </w:r>
          </w:p>
        </w:tc>
        <w:tc>
          <w:tcPr/>
          <w:p>
            <w:pPr>
              <w:pStyle w:val="Compact"/>
              <w:jc w:val="left"/>
            </w:pPr>
            <w:r>
              <w:t xml:space="preserve">57.44 ±</w:t>
            </w:r>
            <w:r>
              <w:t xml:space="preserve"> </w:t>
            </w:r>
            <w:r>
              <w:t xml:space="preserve">14.36</w:t>
            </w:r>
          </w:p>
        </w:tc>
        <w:tc>
          <w:tcPr/>
          <w:p>
            <w:pPr>
              <w:pStyle w:val="Compact"/>
              <w:jc w:val="left"/>
            </w:pPr>
            <w:r>
              <w:t xml:space="preserve">1691.22 ±</w:t>
            </w:r>
            <w:r>
              <w:t xml:space="preserve"> </w:t>
            </w:r>
            <w:r>
              <w:t xml:space="preserve">109.93</w:t>
            </w:r>
          </w:p>
        </w:tc>
        <w:tc>
          <w:tcPr/>
          <w:p>
            <w:pPr>
              <w:pStyle w:val="Compact"/>
              <w:jc w:val="left"/>
            </w:pPr>
            <w:r>
              <w:t xml:space="preserve">2572.26 ± 167.20</w:t>
            </w:r>
          </w:p>
        </w:tc>
      </w:tr>
      <w:tr>
        <w:tc>
          <w:tcPr/>
          <w:p>
            <w:pPr>
              <w:pStyle w:val="Compact"/>
              <w:jc w:val="left"/>
            </w:pPr>
            <w:r>
              <w:t xml:space="preserve">Biochar</w:t>
            </w:r>
          </w:p>
        </w:tc>
        <w:tc>
          <w:tcPr/>
          <w:p>
            <w:pPr>
              <w:pStyle w:val="Compact"/>
              <w:jc w:val="left"/>
            </w:pPr>
            <w:r>
              <w:t xml:space="preserve">8</w:t>
            </w:r>
          </w:p>
        </w:tc>
        <w:tc>
          <w:tcPr/>
          <w:p>
            <w:pPr>
              <w:pStyle w:val="Compact"/>
              <w:jc w:val="left"/>
            </w:pPr>
            <w:r>
              <w:t xml:space="preserve">53.24 ±</w:t>
            </w:r>
            <w:r>
              <w:t xml:space="preserve"> </w:t>
            </w:r>
            <w:r>
              <w:t xml:space="preserve">13.31</w:t>
            </w:r>
          </w:p>
        </w:tc>
        <w:tc>
          <w:tcPr/>
          <w:p>
            <w:pPr>
              <w:pStyle w:val="Compact"/>
              <w:jc w:val="left"/>
            </w:pPr>
            <w:r>
              <w:t xml:space="preserve">1483.10 ± 96.40</w:t>
            </w:r>
          </w:p>
        </w:tc>
        <w:tc>
          <w:tcPr/>
          <w:p>
            <w:pPr>
              <w:pStyle w:val="Compact"/>
              <w:jc w:val="left"/>
            </w:pPr>
            <w:r>
              <w:t xml:space="preserve">2586.00 ± 168.09</w:t>
            </w:r>
          </w:p>
        </w:tc>
      </w:tr>
      <w:tr>
        <w:tc>
          <w:tcPr/>
          <w:p>
            <w:pPr>
              <w:pStyle w:val="Compact"/>
              <w:jc w:val="left"/>
            </w:pPr>
            <w:r>
              <w:t xml:space="preserve">HAP</w:t>
            </w:r>
          </w:p>
        </w:tc>
        <w:tc>
          <w:tcPr/>
          <w:p>
            <w:pPr>
              <w:pStyle w:val="Compact"/>
              <w:jc w:val="left"/>
            </w:pPr>
            <w:r>
              <w:t xml:space="preserve">8</w:t>
            </w:r>
          </w:p>
        </w:tc>
        <w:tc>
          <w:tcPr/>
          <w:p>
            <w:pPr>
              <w:pStyle w:val="Compact"/>
              <w:jc w:val="left"/>
            </w:pPr>
            <w:r>
              <w:t xml:space="preserve">44.68 ±</w:t>
            </w:r>
            <w:r>
              <w:t xml:space="preserve"> </w:t>
            </w:r>
            <w:r>
              <w:t xml:space="preserve">11.17</w:t>
            </w:r>
          </w:p>
        </w:tc>
        <w:tc>
          <w:tcPr/>
          <w:p>
            <w:pPr>
              <w:pStyle w:val="Compact"/>
              <w:jc w:val="left"/>
            </w:pPr>
            <w:r>
              <w:t xml:space="preserve">1447.64 ± 94.10</w:t>
            </w:r>
          </w:p>
        </w:tc>
        <w:tc>
          <w:tcPr/>
          <w:p>
            <w:pPr>
              <w:pStyle w:val="Compact"/>
              <w:jc w:val="left"/>
            </w:pPr>
            <w:r>
              <w:t xml:space="preserve">2350.96 ± 152.81</w:t>
            </w:r>
          </w:p>
        </w:tc>
      </w:tr>
      <w:tr>
        <w:tc>
          <w:tcPr/>
          <w:p>
            <w:pPr>
              <w:pStyle w:val="Compact"/>
              <w:jc w:val="left"/>
            </w:pPr>
            <w:r>
              <w:t xml:space="preserve">Biochar + HAP</w:t>
            </w:r>
          </w:p>
        </w:tc>
        <w:tc>
          <w:tcPr/>
          <w:p>
            <w:pPr>
              <w:pStyle w:val="Compact"/>
              <w:jc w:val="left"/>
            </w:pPr>
            <w:r>
              <w:t xml:space="preserve">8</w:t>
            </w:r>
          </w:p>
        </w:tc>
        <w:tc>
          <w:tcPr/>
          <w:p>
            <w:pPr>
              <w:pStyle w:val="Compact"/>
              <w:jc w:val="left"/>
            </w:pPr>
            <w:r>
              <w:t xml:space="preserve">21.76 ± 5.44</w:t>
            </w:r>
          </w:p>
        </w:tc>
        <w:tc>
          <w:tcPr/>
          <w:p>
            <w:pPr>
              <w:pStyle w:val="Compact"/>
              <w:jc w:val="left"/>
            </w:pPr>
            <w:r>
              <w:t xml:space="preserve">1310.88 ± 85.21</w:t>
            </w:r>
          </w:p>
        </w:tc>
        <w:tc>
          <w:tcPr/>
          <w:p>
            <w:pPr>
              <w:pStyle w:val="Compact"/>
              <w:jc w:val="left"/>
            </w:pPr>
            <w:r>
              <w:t xml:space="preserve">2285.00 ± 148.53</w:t>
            </w:r>
          </w:p>
        </w:tc>
      </w:tr>
      <w:tr>
        <w:tc>
          <w:tcPr/>
          <w:p>
            <w:pPr>
              <w:pStyle w:val="Compact"/>
              <w:jc w:val="left"/>
            </w:pPr>
            <w:r>
              <w:t xml:space="preserve">Control</w:t>
            </w:r>
          </w:p>
        </w:tc>
        <w:tc>
          <w:tcPr/>
          <w:p>
            <w:pPr>
              <w:pStyle w:val="Compact"/>
              <w:jc w:val="left"/>
            </w:pPr>
            <w:r>
              <w:t xml:space="preserve">46</w:t>
            </w:r>
          </w:p>
        </w:tc>
        <w:tc>
          <w:tcPr/>
          <w:p>
            <w:pPr>
              <w:pStyle w:val="Compact"/>
              <w:jc w:val="left"/>
            </w:pPr>
            <w:r>
              <w:t xml:space="preserve">20.72 ± 5.18</w:t>
            </w:r>
          </w:p>
        </w:tc>
        <w:tc>
          <w:tcPr/>
          <w:p>
            <w:pPr>
              <w:pStyle w:val="Compact"/>
              <w:jc w:val="left"/>
            </w:pPr>
            <w:r>
              <w:t xml:space="preserve">1070.30 ± 69.57</w:t>
            </w:r>
          </w:p>
        </w:tc>
        <w:tc>
          <w:tcPr/>
          <w:p>
            <w:pPr>
              <w:pStyle w:val="Compact"/>
              <w:jc w:val="left"/>
            </w:pPr>
            <w:r>
              <w:t xml:space="preserve">1960.16 ± 127.41</w:t>
            </w:r>
          </w:p>
        </w:tc>
      </w:tr>
      <w:tr>
        <w:tc>
          <w:tcPr/>
          <w:p>
            <w:pPr>
              <w:pStyle w:val="Compact"/>
              <w:jc w:val="left"/>
            </w:pPr>
            <w:r>
              <w:t xml:space="preserve">Biochar</w:t>
            </w:r>
          </w:p>
        </w:tc>
        <w:tc>
          <w:tcPr/>
          <w:p>
            <w:pPr>
              <w:pStyle w:val="Compact"/>
              <w:jc w:val="left"/>
            </w:pPr>
            <w:r>
              <w:t xml:space="preserve">46</w:t>
            </w:r>
          </w:p>
        </w:tc>
        <w:tc>
          <w:tcPr/>
          <w:p>
            <w:pPr>
              <w:pStyle w:val="Compact"/>
              <w:jc w:val="left"/>
            </w:pPr>
            <w:r>
              <w:t xml:space="preserve">24.06 ± 6.01</w:t>
            </w:r>
          </w:p>
        </w:tc>
        <w:tc>
          <w:tcPr/>
          <w:p>
            <w:pPr>
              <w:pStyle w:val="Compact"/>
              <w:jc w:val="left"/>
            </w:pPr>
            <w:r>
              <w:t xml:space="preserve">1085.06 ± 70.53</w:t>
            </w:r>
          </w:p>
        </w:tc>
        <w:tc>
          <w:tcPr/>
          <w:p>
            <w:pPr>
              <w:pStyle w:val="Compact"/>
              <w:jc w:val="left"/>
            </w:pPr>
            <w:r>
              <w:t xml:space="preserve">1925.74 ± 125.17</w:t>
            </w:r>
          </w:p>
        </w:tc>
      </w:tr>
      <w:tr>
        <w:tc>
          <w:tcPr/>
          <w:p>
            <w:pPr>
              <w:pStyle w:val="Compact"/>
              <w:jc w:val="left"/>
            </w:pPr>
            <w:r>
              <w:t xml:space="preserve">HAP</w:t>
            </w:r>
          </w:p>
        </w:tc>
        <w:tc>
          <w:tcPr/>
          <w:p>
            <w:pPr>
              <w:pStyle w:val="Compact"/>
              <w:jc w:val="left"/>
            </w:pPr>
            <w:r>
              <w:t xml:space="preserve">46</w:t>
            </w:r>
          </w:p>
        </w:tc>
        <w:tc>
          <w:tcPr/>
          <w:p>
            <w:pPr>
              <w:pStyle w:val="Compact"/>
              <w:jc w:val="left"/>
            </w:pPr>
            <w:r>
              <w:t xml:space="preserve">16.30 ± 4.08</w:t>
            </w:r>
          </w:p>
        </w:tc>
        <w:tc>
          <w:tcPr/>
          <w:p>
            <w:pPr>
              <w:pStyle w:val="Compact"/>
              <w:jc w:val="left"/>
            </w:pPr>
            <w:r>
              <w:t xml:space="preserve">917.44 ± 59.63</w:t>
            </w:r>
          </w:p>
        </w:tc>
        <w:tc>
          <w:tcPr/>
          <w:p>
            <w:pPr>
              <w:pStyle w:val="Compact"/>
              <w:jc w:val="left"/>
            </w:pPr>
            <w:r>
              <w:t xml:space="preserve">1797.00 ± 116.81</w:t>
            </w:r>
          </w:p>
        </w:tc>
      </w:tr>
      <w:tr>
        <w:tc>
          <w:tcPr/>
          <w:p>
            <w:pPr>
              <w:pStyle w:val="Compact"/>
              <w:jc w:val="left"/>
            </w:pPr>
            <w:r>
              <w:t xml:space="preserve">Biochar + HAP</w:t>
            </w:r>
          </w:p>
        </w:tc>
        <w:tc>
          <w:tcPr/>
          <w:p>
            <w:pPr>
              <w:pStyle w:val="Compact"/>
              <w:jc w:val="left"/>
            </w:pPr>
            <w:r>
              <w:t xml:space="preserve">46</w:t>
            </w:r>
          </w:p>
        </w:tc>
        <w:tc>
          <w:tcPr/>
          <w:p>
            <w:pPr>
              <w:pStyle w:val="Compact"/>
              <w:jc w:val="left"/>
            </w:pPr>
            <w:r>
              <w:t xml:space="preserve">15.78 ± 3.94</w:t>
            </w:r>
          </w:p>
        </w:tc>
        <w:tc>
          <w:tcPr/>
          <w:p>
            <w:pPr>
              <w:pStyle w:val="Compact"/>
              <w:jc w:val="left"/>
            </w:pPr>
            <w:r>
              <w:t xml:space="preserve">870.72 ± 56.60</w:t>
            </w:r>
          </w:p>
        </w:tc>
        <w:tc>
          <w:tcPr/>
          <w:p>
            <w:pPr>
              <w:pStyle w:val="Compact"/>
              <w:jc w:val="left"/>
            </w:pPr>
            <w:r>
              <w:t xml:space="preserve">1770.50 ± 115.08</w:t>
            </w:r>
          </w:p>
        </w:tc>
      </w:tr>
      <w:tr>
        <w:tc>
          <w:tcPr/>
          <w:p>
            <w:pPr>
              <w:pStyle w:val="Compact"/>
              <w:jc w:val="left"/>
            </w:pPr>
            <w:r>
              <w:t xml:space="preserve">Control</w:t>
            </w:r>
          </w:p>
        </w:tc>
        <w:tc>
          <w:tcPr/>
          <w:p>
            <w:pPr>
              <w:pStyle w:val="Compact"/>
              <w:jc w:val="left"/>
            </w:pPr>
            <w:r>
              <w:t xml:space="preserve">90</w:t>
            </w:r>
          </w:p>
        </w:tc>
        <w:tc>
          <w:tcPr/>
          <w:p>
            <w:pPr>
              <w:pStyle w:val="Compact"/>
              <w:jc w:val="left"/>
            </w:pPr>
            <w:r>
              <w:t xml:space="preserve">28.08 ± 7.02</w:t>
            </w:r>
          </w:p>
        </w:tc>
        <w:tc>
          <w:tcPr/>
          <w:p>
            <w:pPr>
              <w:pStyle w:val="Compact"/>
              <w:jc w:val="left"/>
            </w:pPr>
            <w:r>
              <w:t xml:space="preserve">1407.51 ± 91.49</w:t>
            </w:r>
          </w:p>
        </w:tc>
        <w:tc>
          <w:tcPr/>
          <w:p>
            <w:pPr>
              <w:pStyle w:val="Compact"/>
              <w:jc w:val="left"/>
            </w:pPr>
            <w:r>
              <w:t xml:space="preserve">1912.61 ± 124.32</w:t>
            </w:r>
          </w:p>
        </w:tc>
      </w:tr>
      <w:tr>
        <w:tc>
          <w:tcPr/>
          <w:p>
            <w:pPr>
              <w:pStyle w:val="Compact"/>
              <w:jc w:val="left"/>
            </w:pPr>
            <w:r>
              <w:t xml:space="preserve">Biochar</w:t>
            </w:r>
          </w:p>
        </w:tc>
        <w:tc>
          <w:tcPr/>
          <w:p>
            <w:pPr>
              <w:pStyle w:val="Compact"/>
              <w:jc w:val="left"/>
            </w:pPr>
            <w:r>
              <w:t xml:space="preserve">90</w:t>
            </w:r>
          </w:p>
        </w:tc>
        <w:tc>
          <w:tcPr/>
          <w:p>
            <w:pPr>
              <w:pStyle w:val="Compact"/>
              <w:jc w:val="left"/>
            </w:pPr>
            <w:r>
              <w:t xml:space="preserve">27.97 ± 6.99</w:t>
            </w:r>
          </w:p>
        </w:tc>
        <w:tc>
          <w:tcPr/>
          <w:p>
            <w:pPr>
              <w:pStyle w:val="Compact"/>
              <w:jc w:val="left"/>
            </w:pPr>
            <w:r>
              <w:t xml:space="preserve">1112.01 ± 72.28</w:t>
            </w:r>
          </w:p>
        </w:tc>
        <w:tc>
          <w:tcPr/>
          <w:p>
            <w:pPr>
              <w:pStyle w:val="Compact"/>
              <w:jc w:val="left"/>
            </w:pPr>
            <w:r>
              <w:t xml:space="preserve">1829.15 ± 118.89</w:t>
            </w:r>
          </w:p>
        </w:tc>
      </w:tr>
      <w:tr>
        <w:tc>
          <w:tcPr/>
          <w:p>
            <w:pPr>
              <w:pStyle w:val="Compact"/>
              <w:jc w:val="left"/>
            </w:pPr>
            <w:r>
              <w:t xml:space="preserve">HAP</w:t>
            </w:r>
          </w:p>
        </w:tc>
        <w:tc>
          <w:tcPr/>
          <w:p>
            <w:pPr>
              <w:pStyle w:val="Compact"/>
              <w:jc w:val="left"/>
            </w:pPr>
            <w:r>
              <w:t xml:space="preserve">90</w:t>
            </w:r>
          </w:p>
        </w:tc>
        <w:tc>
          <w:tcPr/>
          <w:p>
            <w:pPr>
              <w:pStyle w:val="Compact"/>
              <w:jc w:val="left"/>
            </w:pPr>
            <w:r>
              <w:t xml:space="preserve">15.95 ± 3.99</w:t>
            </w:r>
          </w:p>
        </w:tc>
        <w:tc>
          <w:tcPr/>
          <w:p>
            <w:pPr>
              <w:pStyle w:val="Compact"/>
              <w:jc w:val="left"/>
            </w:pPr>
            <w:r>
              <w:t xml:space="preserve">754.65 ± 49.05</w:t>
            </w:r>
          </w:p>
        </w:tc>
        <w:tc>
          <w:tcPr/>
          <w:p>
            <w:pPr>
              <w:pStyle w:val="Compact"/>
              <w:jc w:val="left"/>
            </w:pPr>
            <w:r>
              <w:t xml:space="preserve">1360.48 ± 88.43</w:t>
            </w:r>
          </w:p>
        </w:tc>
      </w:tr>
      <w:tr>
        <w:tc>
          <w:tcPr/>
          <w:p>
            <w:pPr>
              <w:pStyle w:val="Compact"/>
              <w:jc w:val="left"/>
            </w:pPr>
            <w:r>
              <w:t xml:space="preserve">Biochar + HAP</w:t>
            </w:r>
          </w:p>
        </w:tc>
        <w:tc>
          <w:tcPr/>
          <w:p>
            <w:pPr>
              <w:pStyle w:val="Compact"/>
              <w:jc w:val="left"/>
            </w:pPr>
            <w:r>
              <w:t xml:space="preserve">90</w:t>
            </w:r>
          </w:p>
        </w:tc>
        <w:tc>
          <w:tcPr/>
          <w:p>
            <w:pPr>
              <w:pStyle w:val="Compact"/>
              <w:jc w:val="left"/>
            </w:pPr>
            <w:r>
              <w:t xml:space="preserve">18.45 ± 4.61</w:t>
            </w:r>
          </w:p>
        </w:tc>
        <w:tc>
          <w:tcPr/>
          <w:p>
            <w:pPr>
              <w:pStyle w:val="Compact"/>
              <w:jc w:val="left"/>
            </w:pPr>
            <w:r>
              <w:t xml:space="preserve">723.03 ± 47.00</w:t>
            </w:r>
          </w:p>
        </w:tc>
        <w:tc>
          <w:tcPr/>
          <w:p>
            <w:pPr>
              <w:pStyle w:val="Compact"/>
              <w:jc w:val="left"/>
            </w:pPr>
            <w:r>
              <w:t xml:space="preserve">1469.59 ± 95.52</w:t>
            </w:r>
          </w:p>
        </w:tc>
      </w:tr>
    </w:tbl>
    <w:p>
      <w:pPr>
        <w:pStyle w:val="BodyText"/>
      </w:pPr>
      <w:r>
        <w:rPr>
          <w:bCs/>
          <w:b/>
        </w:rPr>
        <w:t xml:space="preserve">Table S4.</w:t>
      </w:r>
      <w:r>
        <w:t xml:space="preserve"> </w:t>
      </w:r>
      <w:r>
        <w:t xml:space="preserve">Reduction of exchangeable lead content relative to the</w:t>
      </w:r>
      <w:r>
        <w:t xml:space="preserve"> </w:t>
      </w:r>
      <w:r>
        <w:t xml:space="preserve">control, %</w:t>
      </w:r>
    </w:p>
    <w:tbl>
      <w:tblPr>
        <w:tblStyle w:val="Table"/>
        <w:tblW w:type="pct" w:w="4877"/>
        <w:tblLook w:firstRow="1" w:lastRow="0" w:firstColumn="0" w:lastColumn="0" w:noHBand="0" w:noVBand="0" w:val="0020"/>
        <w:jc w:val="start"/>
      </w:tblPr>
      <w:tblGrid>
        <w:gridCol w:w="1564"/>
        <w:gridCol w:w="1271"/>
        <w:gridCol w:w="1466"/>
        <w:gridCol w:w="1466"/>
        <w:gridCol w:w="1955"/>
      </w:tblGrid>
      <w:tr>
        <w:trPr>
          <w:tblHeader w:val="true"/>
        </w:trPr>
        <w:tc>
          <w:tcPr/>
          <w:p>
            <w:pPr>
              <w:pStyle w:val="Compact"/>
              <w:jc w:val="left"/>
            </w:pPr>
            <w:r>
              <w:rPr>
                <w:bCs/>
                <w:b/>
              </w:rPr>
              <w:t xml:space="preserve">Treatment</w:t>
            </w:r>
          </w:p>
        </w:tc>
        <w:tc>
          <w:tcPr/>
          <w:p>
            <w:pPr>
              <w:pStyle w:val="Compact"/>
              <w:jc w:val="left"/>
            </w:pPr>
            <w:r>
              <w:rPr>
                <w:bCs/>
                <w:b/>
              </w:rPr>
              <w:t xml:space="preserve">Time,</w:t>
            </w:r>
            <w:r>
              <w:rPr>
                <w:bCs/>
                <w:b/>
              </w:rPr>
              <w:t xml:space="preserve"> </w:t>
            </w:r>
            <w:r>
              <w:rPr>
                <w:bCs/>
                <w:b/>
              </w:rPr>
              <w:t xml:space="preserve">days</w:t>
            </w:r>
          </w:p>
        </w:tc>
        <w:tc>
          <w:tcPr/>
          <w:p>
            <w:pPr>
              <w:pStyle w:val="Compact"/>
              <w:jc w:val="left"/>
            </w:pPr>
            <w:r>
              <w:rPr>
                <w:bCs/>
                <w:b/>
              </w:rPr>
              <w:t xml:space="preserve">Low*</w:t>
            </w:r>
          </w:p>
        </w:tc>
        <w:tc>
          <w:tcPr/>
          <w:p>
            <w:pPr>
              <w:pStyle w:val="Compact"/>
              <w:jc w:val="left"/>
            </w:pPr>
            <w:r>
              <w:rPr>
                <w:bCs/>
                <w:b/>
              </w:rPr>
              <w:t xml:space="preserve">Moderate</w:t>
            </w:r>
          </w:p>
        </w:tc>
        <w:tc>
          <w:tcPr/>
          <w:p>
            <w:pPr>
              <w:pStyle w:val="Compact"/>
              <w:jc w:val="left"/>
            </w:pPr>
            <w:r>
              <w:rPr>
                <w:bCs/>
                <w:b/>
              </w:rPr>
              <w:t xml:space="preserve">High</w:t>
            </w:r>
          </w:p>
        </w:tc>
      </w:tr>
      <w:tr>
        <w:tc>
          <w:tcPr/>
          <w:p>
            <w:pPr>
              <w:pStyle w:val="Compact"/>
              <w:jc w:val="left"/>
            </w:pPr>
            <w:r>
              <w:t xml:space="preserve">Biochar</w:t>
            </w:r>
          </w:p>
        </w:tc>
        <w:tc>
          <w:tcPr/>
          <w:p>
            <w:pPr>
              <w:pStyle w:val="Compact"/>
              <w:jc w:val="left"/>
            </w:pPr>
            <w:r>
              <w:t xml:space="preserve">8</w:t>
            </w:r>
          </w:p>
        </w:tc>
        <w:tc>
          <w:tcPr/>
          <w:p>
            <w:pPr>
              <w:pStyle w:val="Compact"/>
              <w:jc w:val="left"/>
            </w:pPr>
            <w:r>
              <w:t xml:space="preserve">7.3</w:t>
            </w:r>
          </w:p>
        </w:tc>
        <w:tc>
          <w:tcPr/>
          <w:p>
            <w:pPr>
              <w:pStyle w:val="Compact"/>
              <w:jc w:val="left"/>
            </w:pPr>
            <w:r>
              <w:t xml:space="preserve">12.3</w:t>
            </w:r>
          </w:p>
        </w:tc>
        <w:tc>
          <w:tcPr/>
          <w:p>
            <w:pPr>
              <w:pStyle w:val="Compact"/>
              <w:jc w:val="left"/>
            </w:pPr>
            <w:r>
              <w:t xml:space="preserve">−0.5</w:t>
            </w:r>
          </w:p>
        </w:tc>
      </w:tr>
      <w:tr>
        <w:tc>
          <w:tcPr/>
          <w:p>
            <w:pPr>
              <w:pStyle w:val="Compact"/>
              <w:jc w:val="left"/>
            </w:pPr>
            <w:r>
              <w:t xml:space="preserve">HAP</w:t>
            </w:r>
          </w:p>
        </w:tc>
        <w:tc>
          <w:tcPr/>
          <w:p>
            <w:pPr>
              <w:pStyle w:val="Compact"/>
              <w:jc w:val="left"/>
            </w:pPr>
            <w:r>
              <w:t xml:space="preserve">8</w:t>
            </w:r>
          </w:p>
        </w:tc>
        <w:tc>
          <w:tcPr/>
          <w:p>
            <w:pPr>
              <w:pStyle w:val="Compact"/>
              <w:jc w:val="left"/>
            </w:pPr>
            <w:r>
              <w:t xml:space="preserve">22.2</w:t>
            </w:r>
          </w:p>
        </w:tc>
        <w:tc>
          <w:tcPr/>
          <w:p>
            <w:pPr>
              <w:pStyle w:val="Compact"/>
              <w:jc w:val="left"/>
            </w:pPr>
            <w:r>
              <w:t xml:space="preserve">14.4</w:t>
            </w:r>
          </w:p>
        </w:tc>
        <w:tc>
          <w:tcPr/>
          <w:p>
            <w:pPr>
              <w:pStyle w:val="Compact"/>
              <w:jc w:val="left"/>
            </w:pPr>
            <w:r>
              <w:t xml:space="preserve">8.6</w:t>
            </w:r>
          </w:p>
        </w:tc>
      </w:tr>
      <w:tr>
        <w:tc>
          <w:tcPr/>
          <w:p>
            <w:pPr>
              <w:pStyle w:val="Compact"/>
              <w:jc w:val="left"/>
            </w:pPr>
            <w:r>
              <w:t xml:space="preserve">Biochar + HAP</w:t>
            </w:r>
          </w:p>
        </w:tc>
        <w:tc>
          <w:tcPr/>
          <w:p>
            <w:pPr>
              <w:pStyle w:val="Compact"/>
              <w:jc w:val="left"/>
            </w:pPr>
            <w:r>
              <w:t xml:space="preserve">8</w:t>
            </w:r>
          </w:p>
        </w:tc>
        <w:tc>
          <w:tcPr/>
          <w:p>
            <w:pPr>
              <w:pStyle w:val="Compact"/>
              <w:jc w:val="left"/>
            </w:pPr>
            <w:r>
              <w:t xml:space="preserve">62.1</w:t>
            </w:r>
          </w:p>
        </w:tc>
        <w:tc>
          <w:tcPr/>
          <w:p>
            <w:pPr>
              <w:pStyle w:val="Compact"/>
              <w:jc w:val="left"/>
            </w:pPr>
            <w:r>
              <w:t xml:space="preserve">22.5</w:t>
            </w:r>
          </w:p>
        </w:tc>
        <w:tc>
          <w:tcPr/>
          <w:p>
            <w:pPr>
              <w:pStyle w:val="Compact"/>
              <w:jc w:val="left"/>
            </w:pPr>
            <w:r>
              <w:t xml:space="preserve">11.2</w:t>
            </w:r>
          </w:p>
        </w:tc>
      </w:tr>
      <w:tr>
        <w:tc>
          <w:tcPr/>
          <w:p>
            <w:pPr>
              <w:pStyle w:val="Compact"/>
              <w:jc w:val="left"/>
            </w:pPr>
            <w:r>
              <w:t xml:space="preserve">Biochar</w:t>
            </w:r>
          </w:p>
        </w:tc>
        <w:tc>
          <w:tcPr/>
          <w:p>
            <w:pPr>
              <w:pStyle w:val="Compact"/>
              <w:jc w:val="left"/>
            </w:pPr>
            <w:r>
              <w:t xml:space="preserve">46</w:t>
            </w:r>
          </w:p>
        </w:tc>
        <w:tc>
          <w:tcPr/>
          <w:p>
            <w:pPr>
              <w:pStyle w:val="Compact"/>
              <w:jc w:val="left"/>
            </w:pPr>
            <w:r>
              <w:t xml:space="preserve">−16.1*</w:t>
            </w:r>
          </w:p>
        </w:tc>
        <w:tc>
          <w:tcPr/>
          <w:p>
            <w:pPr>
              <w:pStyle w:val="Compact"/>
              <w:jc w:val="left"/>
            </w:pPr>
            <w:r>
              <w:t xml:space="preserve">−1.4*</w:t>
            </w:r>
          </w:p>
        </w:tc>
        <w:tc>
          <w:tcPr/>
          <w:p>
            <w:pPr>
              <w:pStyle w:val="Compact"/>
              <w:jc w:val="left"/>
            </w:pPr>
            <w:r>
              <w:t xml:space="preserve">1.8</w:t>
            </w:r>
          </w:p>
        </w:tc>
      </w:tr>
      <w:tr>
        <w:tc>
          <w:tcPr/>
          <w:p>
            <w:pPr>
              <w:pStyle w:val="Compact"/>
              <w:jc w:val="left"/>
            </w:pPr>
            <w:r>
              <w:t xml:space="preserve">HAP</w:t>
            </w:r>
          </w:p>
        </w:tc>
        <w:tc>
          <w:tcPr/>
          <w:p>
            <w:pPr>
              <w:pStyle w:val="Compact"/>
              <w:jc w:val="left"/>
            </w:pPr>
            <w:r>
              <w:t xml:space="preserve">46</w:t>
            </w:r>
          </w:p>
        </w:tc>
        <w:tc>
          <w:tcPr/>
          <w:p>
            <w:pPr>
              <w:pStyle w:val="Compact"/>
              <w:jc w:val="left"/>
            </w:pPr>
            <w:r>
              <w:t xml:space="preserve">21.3</w:t>
            </w:r>
          </w:p>
        </w:tc>
        <w:tc>
          <w:tcPr/>
          <w:p>
            <w:pPr>
              <w:pStyle w:val="Compact"/>
              <w:jc w:val="left"/>
            </w:pPr>
            <w:r>
              <w:t xml:space="preserve">14.3</w:t>
            </w:r>
          </w:p>
        </w:tc>
        <w:tc>
          <w:tcPr/>
          <w:p>
            <w:pPr>
              <w:pStyle w:val="Compact"/>
              <w:jc w:val="left"/>
            </w:pPr>
            <w:r>
              <w:t xml:space="preserve">8.3†</w:t>
            </w:r>
          </w:p>
        </w:tc>
      </w:tr>
      <w:tr>
        <w:tc>
          <w:tcPr/>
          <w:p>
            <w:pPr>
              <w:pStyle w:val="Compact"/>
              <w:jc w:val="left"/>
            </w:pPr>
            <w:r>
              <w:t xml:space="preserve">Biochar + HAP</w:t>
            </w:r>
          </w:p>
        </w:tc>
        <w:tc>
          <w:tcPr/>
          <w:p>
            <w:pPr>
              <w:pStyle w:val="Compact"/>
              <w:jc w:val="left"/>
            </w:pPr>
            <w:r>
              <w:t xml:space="preserve">46</w:t>
            </w:r>
          </w:p>
        </w:tc>
        <w:tc>
          <w:tcPr/>
          <w:p>
            <w:pPr>
              <w:pStyle w:val="Compact"/>
              <w:jc w:val="left"/>
            </w:pPr>
            <w:r>
              <w:t xml:space="preserve">23.8</w:t>
            </w:r>
          </w:p>
        </w:tc>
        <w:tc>
          <w:tcPr/>
          <w:p>
            <w:pPr>
              <w:pStyle w:val="Compact"/>
              <w:jc w:val="left"/>
            </w:pPr>
            <w:r>
              <w:t xml:space="preserve">18.7</w:t>
            </w:r>
          </w:p>
        </w:tc>
        <w:tc>
          <w:tcPr/>
          <w:p>
            <w:pPr>
              <w:pStyle w:val="Compact"/>
              <w:jc w:val="left"/>
            </w:pPr>
            <w:r>
              <w:t xml:space="preserve">9.7</w:t>
            </w:r>
          </w:p>
        </w:tc>
      </w:tr>
      <w:tr>
        <w:tc>
          <w:tcPr/>
          <w:p>
            <w:pPr>
              <w:pStyle w:val="Compact"/>
              <w:jc w:val="left"/>
            </w:pPr>
            <w:r>
              <w:t xml:space="preserve">Biochar</w:t>
            </w:r>
          </w:p>
        </w:tc>
        <w:tc>
          <w:tcPr/>
          <w:p>
            <w:pPr>
              <w:pStyle w:val="Compact"/>
              <w:jc w:val="left"/>
            </w:pPr>
            <w:r>
              <w:t xml:space="preserve">90</w:t>
            </w:r>
          </w:p>
        </w:tc>
        <w:tc>
          <w:tcPr/>
          <w:p>
            <w:pPr>
              <w:pStyle w:val="Compact"/>
              <w:jc w:val="left"/>
            </w:pPr>
            <w:r>
              <w:t xml:space="preserve">0.4*</w:t>
            </w:r>
          </w:p>
        </w:tc>
        <w:tc>
          <w:tcPr/>
          <w:p>
            <w:pPr>
              <w:pStyle w:val="Compact"/>
              <w:jc w:val="left"/>
            </w:pPr>
            <w:r>
              <w:t xml:space="preserve">21.0</w:t>
            </w:r>
          </w:p>
        </w:tc>
        <w:tc>
          <w:tcPr/>
          <w:p>
            <w:pPr>
              <w:pStyle w:val="Compact"/>
              <w:jc w:val="left"/>
            </w:pPr>
            <w:r>
              <w:t xml:space="preserve">4.4</w:t>
            </w:r>
          </w:p>
        </w:tc>
      </w:tr>
      <w:tr>
        <w:tc>
          <w:tcPr/>
          <w:p>
            <w:pPr>
              <w:pStyle w:val="Compact"/>
              <w:jc w:val="left"/>
            </w:pPr>
            <w:r>
              <w:t xml:space="preserve">HAP</w:t>
            </w:r>
          </w:p>
        </w:tc>
        <w:tc>
          <w:tcPr/>
          <w:p>
            <w:pPr>
              <w:pStyle w:val="Compact"/>
              <w:jc w:val="left"/>
            </w:pPr>
            <w:r>
              <w:t xml:space="preserve">90</w:t>
            </w:r>
          </w:p>
        </w:tc>
        <w:tc>
          <w:tcPr/>
          <w:p>
            <w:pPr>
              <w:pStyle w:val="Compact"/>
              <w:jc w:val="left"/>
            </w:pPr>
            <w:r>
              <w:t xml:space="preserve">43.2</w:t>
            </w:r>
          </w:p>
        </w:tc>
        <w:tc>
          <w:tcPr/>
          <w:p>
            <w:pPr>
              <w:pStyle w:val="Compact"/>
              <w:jc w:val="left"/>
            </w:pPr>
            <w:r>
              <w:t xml:space="preserve">46.4</w:t>
            </w:r>
          </w:p>
        </w:tc>
        <w:tc>
          <w:tcPr/>
          <w:p>
            <w:pPr>
              <w:pStyle w:val="Compact"/>
              <w:jc w:val="left"/>
            </w:pPr>
            <w:r>
              <w:t xml:space="preserve">28.9</w:t>
            </w:r>
          </w:p>
        </w:tc>
      </w:tr>
      <w:tr>
        <w:tc>
          <w:tcPr/>
          <w:p>
            <w:pPr>
              <w:pStyle w:val="Compact"/>
              <w:jc w:val="left"/>
            </w:pPr>
            <w:r>
              <w:t xml:space="preserve">Biochar + HAP</w:t>
            </w:r>
          </w:p>
        </w:tc>
        <w:tc>
          <w:tcPr/>
          <w:p>
            <w:pPr>
              <w:pStyle w:val="Compact"/>
              <w:jc w:val="left"/>
            </w:pPr>
            <w:r>
              <w:t xml:space="preserve">90</w:t>
            </w:r>
          </w:p>
        </w:tc>
        <w:tc>
          <w:tcPr/>
          <w:p>
            <w:pPr>
              <w:pStyle w:val="Compact"/>
              <w:jc w:val="left"/>
            </w:pPr>
            <w:r>
              <w:t xml:space="preserve">34.3</w:t>
            </w:r>
          </w:p>
        </w:tc>
        <w:tc>
          <w:tcPr/>
          <w:p>
            <w:pPr>
              <w:pStyle w:val="Compact"/>
              <w:jc w:val="left"/>
            </w:pPr>
            <w:r>
              <w:t xml:space="preserve">48.6</w:t>
            </w:r>
          </w:p>
        </w:tc>
        <w:tc>
          <w:tcPr/>
          <w:p>
            <w:pPr>
              <w:pStyle w:val="Compact"/>
              <w:jc w:val="left"/>
            </w:pPr>
            <w:r>
              <w:t xml:space="preserve">23.2</w:t>
            </w:r>
          </w:p>
        </w:tc>
      </w:tr>
    </w:tbl>
    <w:p>
      <w:pPr>
        <w:pStyle w:val="BodyText"/>
      </w:pPr>
      <w:r>
        <w:rPr>
          <w:iCs/>
          <w:i/>
        </w:rPr>
        <w:t xml:space="preserve">* For the low contamination level, the elevated analytical error</w:t>
      </w:r>
      <w:r>
        <w:rPr>
          <w:iCs/>
          <w:i/>
        </w:rPr>
        <w:t xml:space="preserve"> </w:t>
      </w:r>
      <w:r>
        <w:rPr>
          <w:iCs/>
          <w:i/>
        </w:rPr>
        <w:t xml:space="preserve">(±25%) makes these values statistically indistinguishable from zero.</w:t>
      </w:r>
    </w:p>
    <w:p>
      <w:pPr>
        <w:pStyle w:val="BodyText"/>
      </w:pPr>
      <w:r>
        <w:t xml:space="preserve">†</w:t>
      </w:r>
      <w:r>
        <w:t xml:space="preserve"> </w:t>
      </w:r>
      <w:r>
        <w:rPr>
          <w:iCs/>
          <w:i/>
        </w:rPr>
        <w:t xml:space="preserve">The value is at the boundary of the detection threshold (for details,</w:t>
      </w:r>
      <w:r>
        <w:rPr>
          <w:iCs/>
          <w:i/>
        </w:rPr>
        <w:t xml:space="preserve"> </w:t>
      </w:r>
      <w:r>
        <w:rPr>
          <w:iCs/>
          <w:i/>
        </w:rPr>
        <w:t xml:space="preserve">see Section S3).</w:t>
      </w:r>
    </w:p>
    <w:p>
      <w:pPr>
        <w:pStyle w:val="BodyText"/>
      </w:pPr>
      <w:r>
        <w:rPr>
          <w:bCs/>
          <w:b/>
        </w:rPr>
        <w:t xml:space="preserve">Table S5.</w:t>
      </w:r>
      <w:r>
        <w:t xml:space="preserve"> </w:t>
      </w:r>
      <w:r>
        <w:t xml:space="preserve">Measured pH of the extracts</w:t>
      </w:r>
    </w:p>
    <w:tbl>
      <w:tblPr>
        <w:tblStyle w:val="Table"/>
        <w:tblW w:type="pct" w:w="4891"/>
        <w:tblLook w:firstRow="1" w:lastRow="0" w:firstColumn="0" w:lastColumn="0" w:noHBand="0" w:noVBand="0" w:val="0020"/>
        <w:jc w:val="start"/>
      </w:tblPr>
      <w:tblGrid>
        <w:gridCol w:w="1033"/>
        <w:gridCol w:w="860"/>
        <w:gridCol w:w="1377"/>
        <w:gridCol w:w="1205"/>
        <w:gridCol w:w="1205"/>
        <w:gridCol w:w="860"/>
        <w:gridCol w:w="1205"/>
      </w:tblGrid>
      <w:tr>
        <w:trPr>
          <w:tblHeader w:val="true"/>
        </w:trPr>
        <w:tc>
          <w:tcPr/>
          <w:p>
            <w:pPr>
              <w:pStyle w:val="Compact"/>
              <w:jc w:val="left"/>
            </w:pPr>
            <w:r>
              <w:rPr>
                <w:bCs/>
                <w:b/>
              </w:rPr>
              <w:t xml:space="preserve">Level</w:t>
            </w:r>
          </w:p>
        </w:tc>
        <w:tc>
          <w:tcPr/>
          <w:p>
            <w:pPr>
              <w:pStyle w:val="Compact"/>
              <w:jc w:val="left"/>
            </w:pPr>
            <w:r>
              <w:rPr>
                <w:bCs/>
                <w:b/>
              </w:rPr>
              <w:t xml:space="preserve">Time,</w:t>
            </w:r>
            <w:r>
              <w:rPr>
                <w:bCs/>
                <w:b/>
              </w:rPr>
              <w:t xml:space="preserve"> </w:t>
            </w:r>
            <w:r>
              <w:rPr>
                <w:bCs/>
                <w:b/>
              </w:rPr>
              <w:t xml:space="preserve">days</w:t>
            </w:r>
          </w:p>
        </w:tc>
        <w:tc>
          <w:tcPr/>
          <w:p>
            <w:pPr>
              <w:pStyle w:val="Compact"/>
              <w:jc w:val="left"/>
            </w:pPr>
            <w:r>
              <w:rPr>
                <w:bCs/>
                <w:b/>
              </w:rPr>
              <w:t xml:space="preserve">Fraction</w:t>
            </w:r>
          </w:p>
        </w:tc>
        <w:tc>
          <w:tcPr/>
          <w:p>
            <w:pPr>
              <w:pStyle w:val="Compact"/>
              <w:jc w:val="left"/>
            </w:pPr>
            <w:r>
              <w:rPr>
                <w:bCs/>
                <w:b/>
              </w:rPr>
              <w:t xml:space="preserve">Control</w:t>
            </w:r>
          </w:p>
        </w:tc>
        <w:tc>
          <w:tcPr/>
          <w:p>
            <w:pPr>
              <w:pStyle w:val="Compact"/>
              <w:jc w:val="left"/>
            </w:pPr>
            <w:r>
              <w:rPr>
                <w:bCs/>
                <w:b/>
              </w:rPr>
              <w:t xml:space="preserve">Biochar</w:t>
            </w:r>
          </w:p>
        </w:tc>
        <w:tc>
          <w:tcPr/>
          <w:p>
            <w:pPr>
              <w:pStyle w:val="Compact"/>
              <w:jc w:val="left"/>
            </w:pPr>
            <w:r>
              <w:rPr>
                <w:bCs/>
                <w:b/>
              </w:rPr>
              <w:t xml:space="preserve">HAP</w:t>
            </w:r>
          </w:p>
        </w:tc>
        <w:tc>
          <w:tcPr/>
          <w:p>
            <w:pPr>
              <w:pStyle w:val="Compact"/>
              <w:jc w:val="left"/>
            </w:pPr>
            <w:r>
              <w:rPr>
                <w:bCs/>
                <w:b/>
              </w:rPr>
              <w:t xml:space="preserve">Biochar +</w:t>
            </w:r>
            <w:r>
              <w:rPr>
                <w:bCs/>
                <w:b/>
              </w:rPr>
              <w:t xml:space="preserve"> </w:t>
            </w:r>
            <w:r>
              <w:rPr>
                <w:bCs/>
                <w:b/>
              </w:rPr>
              <w:t xml:space="preserve">HAP</w:t>
            </w:r>
          </w:p>
        </w:tc>
      </w:tr>
      <w:tr>
        <w:tc>
          <w:tcPr/>
          <w:p>
            <w:pPr>
              <w:pStyle w:val="Compact"/>
              <w:jc w:val="left"/>
            </w:pPr>
            <w:r>
              <w:t xml:space="preserve">Low</w:t>
            </w:r>
          </w:p>
        </w:tc>
        <w:tc>
          <w:tcPr/>
          <w:p>
            <w:pPr>
              <w:pStyle w:val="Compact"/>
              <w:jc w:val="left"/>
            </w:pPr>
            <w:r>
              <w:t xml:space="preserve">8</w:t>
            </w:r>
          </w:p>
        </w:tc>
        <w:tc>
          <w:tcPr/>
          <w:p>
            <w:pPr>
              <w:pStyle w:val="Compact"/>
              <w:jc w:val="left"/>
            </w:pPr>
            <w:r>
              <w:t xml:space="preserve">water-soluble</w:t>
            </w:r>
          </w:p>
        </w:tc>
        <w:tc>
          <w:tcPr/>
          <w:p>
            <w:pPr>
              <w:pStyle w:val="Compact"/>
              <w:jc w:val="left"/>
            </w:pPr>
            <w:r>
              <w:t xml:space="preserve">4.99</w:t>
            </w:r>
          </w:p>
        </w:tc>
        <w:tc>
          <w:tcPr/>
          <w:p>
            <w:pPr>
              <w:pStyle w:val="Compact"/>
              <w:jc w:val="left"/>
            </w:pPr>
            <w:r>
              <w:t xml:space="preserve">5.20</w:t>
            </w:r>
          </w:p>
        </w:tc>
        <w:tc>
          <w:tcPr/>
          <w:p>
            <w:pPr>
              <w:pStyle w:val="Compact"/>
              <w:jc w:val="left"/>
            </w:pPr>
            <w:r>
              <w:t xml:space="preserve">5.38</w:t>
            </w:r>
          </w:p>
        </w:tc>
        <w:tc>
          <w:tcPr/>
          <w:p>
            <w:pPr>
              <w:pStyle w:val="Compact"/>
              <w:jc w:val="left"/>
            </w:pPr>
            <w:r>
              <w:t xml:space="preserve">5.63</w:t>
            </w:r>
          </w:p>
        </w:tc>
      </w:tr>
      <w:tr>
        <w:tc>
          <w:tcPr/>
          <w:p>
            <w:pPr>
              <w:pStyle w:val="Compact"/>
              <w:jc w:val="left"/>
            </w:pPr>
            <w:r>
              <w:t xml:space="preserve">Low</w:t>
            </w:r>
          </w:p>
        </w:tc>
        <w:tc>
          <w:tcPr/>
          <w:p>
            <w:pPr>
              <w:pStyle w:val="Compact"/>
              <w:jc w:val="left"/>
            </w:pPr>
            <w:r>
              <w:t xml:space="preserve">8</w:t>
            </w:r>
          </w:p>
        </w:tc>
        <w:tc>
          <w:tcPr/>
          <w:p>
            <w:pPr>
              <w:pStyle w:val="Compact"/>
              <w:jc w:val="left"/>
            </w:pPr>
            <w:r>
              <w:t xml:space="preserve">exchangeable</w:t>
            </w:r>
          </w:p>
        </w:tc>
        <w:tc>
          <w:tcPr/>
          <w:p>
            <w:pPr>
              <w:pStyle w:val="Compact"/>
              <w:jc w:val="left"/>
            </w:pPr>
            <w:r>
              <w:t xml:space="preserve">5.35</w:t>
            </w:r>
          </w:p>
        </w:tc>
        <w:tc>
          <w:tcPr/>
          <w:p>
            <w:pPr>
              <w:pStyle w:val="Compact"/>
              <w:jc w:val="left"/>
            </w:pPr>
            <w:r>
              <w:t xml:space="preserve">5.39</w:t>
            </w:r>
          </w:p>
        </w:tc>
        <w:tc>
          <w:tcPr/>
          <w:p>
            <w:pPr>
              <w:pStyle w:val="Compact"/>
              <w:jc w:val="left"/>
            </w:pPr>
            <w:r>
              <w:t xml:space="preserve">5.46</w:t>
            </w:r>
          </w:p>
        </w:tc>
        <w:tc>
          <w:tcPr/>
          <w:p>
            <w:pPr>
              <w:pStyle w:val="Compact"/>
              <w:jc w:val="left"/>
            </w:pPr>
            <w:r>
              <w:t xml:space="preserve">5.61</w:t>
            </w:r>
          </w:p>
        </w:tc>
      </w:tr>
      <w:tr>
        <w:tc>
          <w:tcPr/>
          <w:p>
            <w:pPr>
              <w:pStyle w:val="Compact"/>
              <w:jc w:val="left"/>
            </w:pPr>
            <w:r>
              <w:t xml:space="preserve">Low</w:t>
            </w:r>
          </w:p>
        </w:tc>
        <w:tc>
          <w:tcPr/>
          <w:p>
            <w:pPr>
              <w:pStyle w:val="Compact"/>
              <w:jc w:val="left"/>
            </w:pPr>
            <w:r>
              <w:t xml:space="preserve">46</w:t>
            </w:r>
          </w:p>
        </w:tc>
        <w:tc>
          <w:tcPr/>
          <w:p>
            <w:pPr>
              <w:pStyle w:val="Compact"/>
              <w:jc w:val="left"/>
            </w:pPr>
            <w:r>
              <w:t xml:space="preserve">water-soluble</w:t>
            </w:r>
          </w:p>
        </w:tc>
        <w:tc>
          <w:tcPr/>
          <w:p>
            <w:pPr>
              <w:pStyle w:val="Compact"/>
              <w:jc w:val="left"/>
            </w:pPr>
            <w:r>
              <w:t xml:space="preserve">5.23</w:t>
            </w:r>
          </w:p>
        </w:tc>
        <w:tc>
          <w:tcPr/>
          <w:p>
            <w:pPr>
              <w:pStyle w:val="Compact"/>
              <w:jc w:val="left"/>
            </w:pPr>
            <w:r>
              <w:t xml:space="preserve">5.65</w:t>
            </w:r>
          </w:p>
        </w:tc>
        <w:tc>
          <w:tcPr/>
          <w:p>
            <w:pPr>
              <w:pStyle w:val="Compact"/>
              <w:jc w:val="left"/>
            </w:pPr>
            <w:r>
              <w:t xml:space="preserve">5.34</w:t>
            </w:r>
          </w:p>
        </w:tc>
        <w:tc>
          <w:tcPr/>
          <w:p>
            <w:pPr>
              <w:pStyle w:val="Compact"/>
              <w:jc w:val="left"/>
            </w:pPr>
            <w:r>
              <w:t xml:space="preserve">5.60</w:t>
            </w:r>
          </w:p>
        </w:tc>
      </w:tr>
      <w:tr>
        <w:tc>
          <w:tcPr/>
          <w:p>
            <w:pPr>
              <w:pStyle w:val="Compact"/>
              <w:jc w:val="left"/>
            </w:pPr>
            <w:r>
              <w:t xml:space="preserve">Low</w:t>
            </w:r>
          </w:p>
        </w:tc>
        <w:tc>
          <w:tcPr/>
          <w:p>
            <w:pPr>
              <w:pStyle w:val="Compact"/>
              <w:jc w:val="left"/>
            </w:pPr>
            <w:r>
              <w:t xml:space="preserve">46</w:t>
            </w:r>
          </w:p>
        </w:tc>
        <w:tc>
          <w:tcPr/>
          <w:p>
            <w:pPr>
              <w:pStyle w:val="Compact"/>
              <w:jc w:val="left"/>
            </w:pPr>
            <w:r>
              <w:t xml:space="preserve">exchangeable</w:t>
            </w:r>
          </w:p>
        </w:tc>
        <w:tc>
          <w:tcPr/>
          <w:p>
            <w:pPr>
              <w:pStyle w:val="Compact"/>
              <w:jc w:val="left"/>
            </w:pPr>
            <w:r>
              <w:t xml:space="preserve">5.29</w:t>
            </w:r>
          </w:p>
        </w:tc>
        <w:tc>
          <w:tcPr/>
          <w:p>
            <w:pPr>
              <w:pStyle w:val="Compact"/>
              <w:jc w:val="left"/>
            </w:pPr>
            <w:r>
              <w:t xml:space="preserve">5.20</w:t>
            </w:r>
          </w:p>
        </w:tc>
        <w:tc>
          <w:tcPr/>
          <w:p>
            <w:pPr>
              <w:pStyle w:val="Compact"/>
              <w:jc w:val="left"/>
            </w:pPr>
            <w:r>
              <w:t xml:space="preserve">4.99</w:t>
            </w:r>
          </w:p>
        </w:tc>
        <w:tc>
          <w:tcPr/>
          <w:p>
            <w:pPr>
              <w:pStyle w:val="Compact"/>
              <w:jc w:val="left"/>
            </w:pPr>
            <w:r>
              <w:t xml:space="preserve">5.03</w:t>
            </w:r>
          </w:p>
        </w:tc>
      </w:tr>
      <w:tr>
        <w:tc>
          <w:tcPr/>
          <w:p>
            <w:pPr>
              <w:pStyle w:val="Compact"/>
              <w:jc w:val="left"/>
            </w:pPr>
            <w:r>
              <w:t xml:space="preserve">Low</w:t>
            </w:r>
          </w:p>
        </w:tc>
        <w:tc>
          <w:tcPr/>
          <w:p>
            <w:pPr>
              <w:pStyle w:val="Compact"/>
              <w:jc w:val="left"/>
            </w:pPr>
            <w:r>
              <w:t xml:space="preserve">90</w:t>
            </w:r>
          </w:p>
        </w:tc>
        <w:tc>
          <w:tcPr/>
          <w:p>
            <w:pPr>
              <w:pStyle w:val="Compact"/>
              <w:jc w:val="left"/>
            </w:pPr>
            <w:r>
              <w:t xml:space="preserve">water-soluble</w:t>
            </w:r>
          </w:p>
        </w:tc>
        <w:tc>
          <w:tcPr/>
          <w:p>
            <w:pPr>
              <w:pStyle w:val="Compact"/>
              <w:jc w:val="left"/>
            </w:pPr>
            <w:r>
              <w:t xml:space="preserve">5.64</w:t>
            </w:r>
          </w:p>
        </w:tc>
        <w:tc>
          <w:tcPr/>
          <w:p>
            <w:pPr>
              <w:pStyle w:val="Compact"/>
              <w:jc w:val="left"/>
            </w:pPr>
            <w:r>
              <w:t xml:space="preserve">5.40</w:t>
            </w:r>
          </w:p>
        </w:tc>
        <w:tc>
          <w:tcPr/>
          <w:p>
            <w:pPr>
              <w:pStyle w:val="Compact"/>
              <w:jc w:val="left"/>
            </w:pPr>
            <w:r>
              <w:t xml:space="preserve">5.66</w:t>
            </w:r>
          </w:p>
        </w:tc>
        <w:tc>
          <w:tcPr/>
          <w:p>
            <w:pPr>
              <w:pStyle w:val="Compact"/>
              <w:jc w:val="left"/>
            </w:pPr>
            <w:r>
              <w:t xml:space="preserve">5.34</w:t>
            </w:r>
          </w:p>
        </w:tc>
      </w:tr>
      <w:tr>
        <w:tc>
          <w:tcPr/>
          <w:p>
            <w:pPr>
              <w:pStyle w:val="Compact"/>
              <w:jc w:val="left"/>
            </w:pPr>
            <w:r>
              <w:t xml:space="preserve">Low</w:t>
            </w:r>
          </w:p>
        </w:tc>
        <w:tc>
          <w:tcPr/>
          <w:p>
            <w:pPr>
              <w:pStyle w:val="Compact"/>
              <w:jc w:val="left"/>
            </w:pPr>
            <w:r>
              <w:t xml:space="preserve">90</w:t>
            </w:r>
          </w:p>
        </w:tc>
        <w:tc>
          <w:tcPr/>
          <w:p>
            <w:pPr>
              <w:pStyle w:val="Compact"/>
              <w:jc w:val="left"/>
            </w:pPr>
            <w:r>
              <w:t xml:space="preserve">exchangeable</w:t>
            </w:r>
          </w:p>
        </w:tc>
        <w:tc>
          <w:tcPr/>
          <w:p>
            <w:pPr>
              <w:pStyle w:val="Compact"/>
              <w:jc w:val="left"/>
            </w:pPr>
            <w:r>
              <w:t xml:space="preserve">4.89</w:t>
            </w:r>
          </w:p>
        </w:tc>
        <w:tc>
          <w:tcPr/>
          <w:p>
            <w:pPr>
              <w:pStyle w:val="Compact"/>
              <w:jc w:val="left"/>
            </w:pPr>
            <w:r>
              <w:t xml:space="preserve">5.24</w:t>
            </w:r>
          </w:p>
        </w:tc>
        <w:tc>
          <w:tcPr/>
          <w:p>
            <w:pPr>
              <w:pStyle w:val="Compact"/>
              <w:jc w:val="left"/>
            </w:pPr>
            <w:r>
              <w:t xml:space="preserve">5.26</w:t>
            </w:r>
          </w:p>
        </w:tc>
        <w:tc>
          <w:tcPr/>
          <w:p>
            <w:pPr>
              <w:pStyle w:val="Compact"/>
              <w:jc w:val="left"/>
            </w:pPr>
            <w:r>
              <w:t xml:space="preserve">5.23</w:t>
            </w:r>
          </w:p>
        </w:tc>
      </w:tr>
      <w:tr>
        <w:tc>
          <w:tcPr/>
          <w:p>
            <w:pPr>
              <w:pStyle w:val="Compact"/>
              <w:jc w:val="left"/>
            </w:pPr>
            <w:r>
              <w:t xml:space="preserve">Moderate</w:t>
            </w:r>
          </w:p>
        </w:tc>
        <w:tc>
          <w:tcPr/>
          <w:p>
            <w:pPr>
              <w:pStyle w:val="Compact"/>
              <w:jc w:val="left"/>
            </w:pPr>
            <w:r>
              <w:t xml:space="preserve">8</w:t>
            </w:r>
          </w:p>
        </w:tc>
        <w:tc>
          <w:tcPr/>
          <w:p>
            <w:pPr>
              <w:pStyle w:val="Compact"/>
              <w:jc w:val="left"/>
            </w:pPr>
            <w:r>
              <w:t xml:space="preserve">water-soluble</w:t>
            </w:r>
          </w:p>
        </w:tc>
        <w:tc>
          <w:tcPr/>
          <w:p>
            <w:pPr>
              <w:pStyle w:val="Compact"/>
              <w:jc w:val="left"/>
            </w:pPr>
            <w:r>
              <w:t xml:space="preserve">4.25</w:t>
            </w:r>
          </w:p>
        </w:tc>
        <w:tc>
          <w:tcPr/>
          <w:p>
            <w:pPr>
              <w:pStyle w:val="Compact"/>
              <w:jc w:val="left"/>
            </w:pPr>
            <w:r>
              <w:t xml:space="preserve">4.41</w:t>
            </w:r>
          </w:p>
        </w:tc>
        <w:tc>
          <w:tcPr/>
          <w:p>
            <w:pPr>
              <w:pStyle w:val="Compact"/>
              <w:jc w:val="left"/>
            </w:pPr>
            <w:r>
              <w:t xml:space="preserve">4.53</w:t>
            </w:r>
          </w:p>
        </w:tc>
        <w:tc>
          <w:tcPr/>
          <w:p>
            <w:pPr>
              <w:pStyle w:val="Compact"/>
              <w:jc w:val="left"/>
            </w:pPr>
            <w:r>
              <w:t xml:space="preserve">4.48</w:t>
            </w:r>
          </w:p>
        </w:tc>
      </w:tr>
      <w:tr>
        <w:tc>
          <w:tcPr/>
          <w:p>
            <w:pPr>
              <w:pStyle w:val="Compact"/>
              <w:jc w:val="left"/>
            </w:pPr>
            <w:r>
              <w:t xml:space="preserve">Moderate</w:t>
            </w:r>
          </w:p>
        </w:tc>
        <w:tc>
          <w:tcPr/>
          <w:p>
            <w:pPr>
              <w:pStyle w:val="Compact"/>
              <w:jc w:val="left"/>
            </w:pPr>
            <w:r>
              <w:t xml:space="preserve">8</w:t>
            </w:r>
          </w:p>
        </w:tc>
        <w:tc>
          <w:tcPr/>
          <w:p>
            <w:pPr>
              <w:pStyle w:val="Compact"/>
              <w:jc w:val="left"/>
            </w:pPr>
            <w:r>
              <w:t xml:space="preserve">exchangeable</w:t>
            </w:r>
          </w:p>
        </w:tc>
        <w:tc>
          <w:tcPr/>
          <w:p>
            <w:pPr>
              <w:pStyle w:val="Compact"/>
              <w:jc w:val="left"/>
            </w:pPr>
            <w:r>
              <w:t xml:space="preserve">4.32</w:t>
            </w:r>
          </w:p>
        </w:tc>
        <w:tc>
          <w:tcPr/>
          <w:p>
            <w:pPr>
              <w:pStyle w:val="Compact"/>
              <w:jc w:val="left"/>
            </w:pPr>
            <w:r>
              <w:t xml:space="preserve">4.44</w:t>
            </w:r>
          </w:p>
        </w:tc>
        <w:tc>
          <w:tcPr/>
          <w:p>
            <w:pPr>
              <w:pStyle w:val="Compact"/>
              <w:jc w:val="left"/>
            </w:pPr>
            <w:r>
              <w:t xml:space="preserve">4.46</w:t>
            </w:r>
          </w:p>
        </w:tc>
        <w:tc>
          <w:tcPr/>
          <w:p>
            <w:pPr>
              <w:pStyle w:val="Compact"/>
              <w:jc w:val="left"/>
            </w:pPr>
            <w:r>
              <w:t xml:space="preserve">4.46</w:t>
            </w:r>
          </w:p>
        </w:tc>
      </w:tr>
      <w:tr>
        <w:tc>
          <w:tcPr/>
          <w:p>
            <w:pPr>
              <w:pStyle w:val="Compact"/>
              <w:jc w:val="left"/>
            </w:pPr>
            <w:r>
              <w:t xml:space="preserve">Moderate</w:t>
            </w:r>
          </w:p>
        </w:tc>
        <w:tc>
          <w:tcPr/>
          <w:p>
            <w:pPr>
              <w:pStyle w:val="Compact"/>
              <w:jc w:val="left"/>
            </w:pPr>
            <w:r>
              <w:t xml:space="preserve">46</w:t>
            </w:r>
          </w:p>
        </w:tc>
        <w:tc>
          <w:tcPr/>
          <w:p>
            <w:pPr>
              <w:pStyle w:val="Compact"/>
              <w:jc w:val="left"/>
            </w:pPr>
            <w:r>
              <w:t xml:space="preserve">water-soluble</w:t>
            </w:r>
          </w:p>
        </w:tc>
        <w:tc>
          <w:tcPr/>
          <w:p>
            <w:pPr>
              <w:pStyle w:val="Compact"/>
              <w:jc w:val="left"/>
            </w:pPr>
            <w:r>
              <w:t xml:space="preserve">4.33</w:t>
            </w:r>
          </w:p>
        </w:tc>
        <w:tc>
          <w:tcPr/>
          <w:p>
            <w:pPr>
              <w:pStyle w:val="Compact"/>
              <w:jc w:val="left"/>
            </w:pPr>
            <w:r>
              <w:t xml:space="preserve">4.28</w:t>
            </w:r>
          </w:p>
        </w:tc>
        <w:tc>
          <w:tcPr/>
          <w:p>
            <w:pPr>
              <w:pStyle w:val="Compact"/>
              <w:jc w:val="left"/>
            </w:pPr>
            <w:r>
              <w:t xml:space="preserve">4.33</w:t>
            </w:r>
          </w:p>
        </w:tc>
        <w:tc>
          <w:tcPr/>
          <w:p>
            <w:pPr>
              <w:pStyle w:val="Compact"/>
              <w:jc w:val="left"/>
            </w:pPr>
            <w:r>
              <w:t xml:space="preserve">4.45</w:t>
            </w:r>
          </w:p>
        </w:tc>
      </w:tr>
      <w:tr>
        <w:tc>
          <w:tcPr/>
          <w:p>
            <w:pPr>
              <w:pStyle w:val="Compact"/>
              <w:jc w:val="left"/>
            </w:pPr>
            <w:r>
              <w:t xml:space="preserve">Moderate</w:t>
            </w:r>
          </w:p>
        </w:tc>
        <w:tc>
          <w:tcPr/>
          <w:p>
            <w:pPr>
              <w:pStyle w:val="Compact"/>
              <w:jc w:val="left"/>
            </w:pPr>
            <w:r>
              <w:t xml:space="preserve">46</w:t>
            </w:r>
          </w:p>
        </w:tc>
        <w:tc>
          <w:tcPr/>
          <w:p>
            <w:pPr>
              <w:pStyle w:val="Compact"/>
              <w:jc w:val="left"/>
            </w:pPr>
            <w:r>
              <w:t xml:space="preserve">exchangeable</w:t>
            </w:r>
          </w:p>
        </w:tc>
        <w:tc>
          <w:tcPr/>
          <w:p>
            <w:pPr>
              <w:pStyle w:val="Compact"/>
              <w:jc w:val="left"/>
            </w:pPr>
            <w:r>
              <w:t xml:space="preserve">4.23</w:t>
            </w:r>
          </w:p>
        </w:tc>
        <w:tc>
          <w:tcPr/>
          <w:p>
            <w:pPr>
              <w:pStyle w:val="Compact"/>
              <w:jc w:val="left"/>
            </w:pPr>
            <w:r>
              <w:t xml:space="preserve">4.12</w:t>
            </w:r>
          </w:p>
        </w:tc>
        <w:tc>
          <w:tcPr/>
          <w:p>
            <w:pPr>
              <w:pStyle w:val="Compact"/>
              <w:jc w:val="left"/>
            </w:pPr>
            <w:r>
              <w:t xml:space="preserve">4.25</w:t>
            </w:r>
          </w:p>
        </w:tc>
        <w:tc>
          <w:tcPr/>
          <w:p>
            <w:pPr>
              <w:pStyle w:val="Compact"/>
              <w:jc w:val="left"/>
            </w:pPr>
            <w:r>
              <w:t xml:space="preserve">4.30</w:t>
            </w:r>
          </w:p>
        </w:tc>
      </w:tr>
      <w:tr>
        <w:tc>
          <w:tcPr/>
          <w:p>
            <w:pPr>
              <w:pStyle w:val="Compact"/>
              <w:jc w:val="left"/>
            </w:pPr>
            <w:r>
              <w:t xml:space="preserve">Moderate</w:t>
            </w:r>
          </w:p>
        </w:tc>
        <w:tc>
          <w:tcPr/>
          <w:p>
            <w:pPr>
              <w:pStyle w:val="Compact"/>
              <w:jc w:val="left"/>
            </w:pPr>
            <w:r>
              <w:t xml:space="preserve">90</w:t>
            </w:r>
          </w:p>
        </w:tc>
        <w:tc>
          <w:tcPr/>
          <w:p>
            <w:pPr>
              <w:pStyle w:val="Compact"/>
              <w:jc w:val="left"/>
            </w:pPr>
            <w:r>
              <w:t xml:space="preserve">water-soluble</w:t>
            </w:r>
          </w:p>
        </w:tc>
        <w:tc>
          <w:tcPr/>
          <w:p>
            <w:pPr>
              <w:pStyle w:val="Compact"/>
              <w:jc w:val="left"/>
            </w:pPr>
            <w:r>
              <w:t xml:space="preserve">4.19</w:t>
            </w:r>
          </w:p>
        </w:tc>
        <w:tc>
          <w:tcPr/>
          <w:p>
            <w:pPr>
              <w:pStyle w:val="Compact"/>
              <w:jc w:val="left"/>
            </w:pPr>
            <w:r>
              <w:t xml:space="preserve">4.28</w:t>
            </w:r>
          </w:p>
        </w:tc>
        <w:tc>
          <w:tcPr/>
          <w:p>
            <w:pPr>
              <w:pStyle w:val="Compact"/>
              <w:jc w:val="left"/>
            </w:pPr>
            <w:r>
              <w:t xml:space="preserve">4.27</w:t>
            </w:r>
          </w:p>
        </w:tc>
        <w:tc>
          <w:tcPr/>
          <w:p>
            <w:pPr>
              <w:pStyle w:val="Compact"/>
              <w:jc w:val="left"/>
            </w:pPr>
            <w:r>
              <w:t xml:space="preserve">4.30</w:t>
            </w:r>
          </w:p>
        </w:tc>
      </w:tr>
      <w:tr>
        <w:tc>
          <w:tcPr/>
          <w:p>
            <w:pPr>
              <w:pStyle w:val="Compact"/>
              <w:jc w:val="left"/>
            </w:pPr>
            <w:r>
              <w:t xml:space="preserve">Moderate</w:t>
            </w:r>
          </w:p>
        </w:tc>
        <w:tc>
          <w:tcPr/>
          <w:p>
            <w:pPr>
              <w:pStyle w:val="Compact"/>
              <w:jc w:val="left"/>
            </w:pPr>
            <w:r>
              <w:t xml:space="preserve">90</w:t>
            </w:r>
          </w:p>
        </w:tc>
        <w:tc>
          <w:tcPr/>
          <w:p>
            <w:pPr>
              <w:pStyle w:val="Compact"/>
              <w:jc w:val="left"/>
            </w:pPr>
            <w:r>
              <w:t xml:space="preserve">exchangeable</w:t>
            </w:r>
          </w:p>
        </w:tc>
        <w:tc>
          <w:tcPr/>
          <w:p>
            <w:pPr>
              <w:pStyle w:val="Compact"/>
              <w:jc w:val="left"/>
            </w:pPr>
            <w:r>
              <w:t xml:space="preserve">3.79</w:t>
            </w:r>
          </w:p>
        </w:tc>
        <w:tc>
          <w:tcPr/>
          <w:p>
            <w:pPr>
              <w:pStyle w:val="Compact"/>
              <w:jc w:val="left"/>
            </w:pPr>
            <w:r>
              <w:t xml:space="preserve">3.89</w:t>
            </w:r>
          </w:p>
        </w:tc>
        <w:tc>
          <w:tcPr/>
          <w:p>
            <w:pPr>
              <w:pStyle w:val="Compact"/>
              <w:jc w:val="left"/>
            </w:pPr>
            <w:r>
              <w:t xml:space="preserve">3.76</w:t>
            </w:r>
          </w:p>
        </w:tc>
        <w:tc>
          <w:tcPr/>
          <w:p>
            <w:pPr>
              <w:pStyle w:val="Compact"/>
              <w:jc w:val="left"/>
            </w:pPr>
            <w:r>
              <w:t xml:space="preserve">3.74</w:t>
            </w:r>
          </w:p>
        </w:tc>
      </w:tr>
      <w:tr>
        <w:tc>
          <w:tcPr/>
          <w:p>
            <w:pPr>
              <w:pStyle w:val="Compact"/>
              <w:jc w:val="left"/>
            </w:pPr>
            <w:r>
              <w:t xml:space="preserve">High</w:t>
            </w:r>
          </w:p>
        </w:tc>
        <w:tc>
          <w:tcPr/>
          <w:p>
            <w:pPr>
              <w:pStyle w:val="Compact"/>
              <w:jc w:val="left"/>
            </w:pPr>
            <w:r>
              <w:t xml:space="preserve">8</w:t>
            </w:r>
          </w:p>
        </w:tc>
        <w:tc>
          <w:tcPr/>
          <w:p>
            <w:pPr>
              <w:pStyle w:val="Compact"/>
              <w:jc w:val="left"/>
            </w:pPr>
            <w:r>
              <w:t xml:space="preserve">water-soluble</w:t>
            </w:r>
          </w:p>
        </w:tc>
        <w:tc>
          <w:tcPr/>
          <w:p>
            <w:pPr>
              <w:pStyle w:val="Compact"/>
              <w:jc w:val="left"/>
            </w:pPr>
            <w:r>
              <w:t xml:space="preserve">4.21</w:t>
            </w:r>
          </w:p>
        </w:tc>
        <w:tc>
          <w:tcPr/>
          <w:p>
            <w:pPr>
              <w:pStyle w:val="Compact"/>
              <w:jc w:val="left"/>
            </w:pPr>
            <w:r>
              <w:t xml:space="preserve">4.29</w:t>
            </w:r>
          </w:p>
        </w:tc>
        <w:tc>
          <w:tcPr/>
          <w:p>
            <w:pPr>
              <w:pStyle w:val="Compact"/>
              <w:jc w:val="left"/>
            </w:pPr>
            <w:r>
              <w:t xml:space="preserve">4.38</w:t>
            </w:r>
          </w:p>
        </w:tc>
        <w:tc>
          <w:tcPr/>
          <w:p>
            <w:pPr>
              <w:pStyle w:val="Compact"/>
              <w:jc w:val="left"/>
            </w:pPr>
            <w:r>
              <w:t xml:space="preserve">4.33</w:t>
            </w:r>
          </w:p>
        </w:tc>
      </w:tr>
      <w:tr>
        <w:tc>
          <w:tcPr/>
          <w:p>
            <w:pPr>
              <w:pStyle w:val="Compact"/>
              <w:jc w:val="left"/>
            </w:pPr>
            <w:r>
              <w:t xml:space="preserve">High</w:t>
            </w:r>
          </w:p>
        </w:tc>
        <w:tc>
          <w:tcPr/>
          <w:p>
            <w:pPr>
              <w:pStyle w:val="Compact"/>
              <w:jc w:val="left"/>
            </w:pPr>
            <w:r>
              <w:t xml:space="preserve">8</w:t>
            </w:r>
          </w:p>
        </w:tc>
        <w:tc>
          <w:tcPr/>
          <w:p>
            <w:pPr>
              <w:pStyle w:val="Compact"/>
              <w:jc w:val="left"/>
            </w:pPr>
            <w:r>
              <w:t xml:space="preserve">exchangeable</w:t>
            </w:r>
          </w:p>
        </w:tc>
        <w:tc>
          <w:tcPr/>
          <w:p>
            <w:pPr>
              <w:pStyle w:val="Compact"/>
              <w:jc w:val="left"/>
            </w:pPr>
            <w:r>
              <w:t xml:space="preserve">3.98</w:t>
            </w:r>
          </w:p>
        </w:tc>
        <w:tc>
          <w:tcPr/>
          <w:p>
            <w:pPr>
              <w:pStyle w:val="Compact"/>
              <w:jc w:val="left"/>
            </w:pPr>
            <w:r>
              <w:t xml:space="preserve">3.87</w:t>
            </w:r>
          </w:p>
        </w:tc>
        <w:tc>
          <w:tcPr/>
          <w:p>
            <w:pPr>
              <w:pStyle w:val="Compact"/>
              <w:jc w:val="left"/>
            </w:pPr>
            <w:r>
              <w:t xml:space="preserve">4.08</w:t>
            </w:r>
          </w:p>
        </w:tc>
        <w:tc>
          <w:tcPr/>
          <w:p>
            <w:pPr>
              <w:pStyle w:val="Compact"/>
              <w:jc w:val="left"/>
            </w:pPr>
            <w:r>
              <w:t xml:space="preserve">4.08</w:t>
            </w:r>
          </w:p>
        </w:tc>
      </w:tr>
      <w:tr>
        <w:tc>
          <w:tcPr/>
          <w:p>
            <w:pPr>
              <w:pStyle w:val="Compact"/>
              <w:jc w:val="left"/>
            </w:pPr>
            <w:r>
              <w:t xml:space="preserve">High</w:t>
            </w:r>
          </w:p>
        </w:tc>
        <w:tc>
          <w:tcPr/>
          <w:p>
            <w:pPr>
              <w:pStyle w:val="Compact"/>
              <w:jc w:val="left"/>
            </w:pPr>
            <w:r>
              <w:t xml:space="preserve">46</w:t>
            </w:r>
          </w:p>
        </w:tc>
        <w:tc>
          <w:tcPr/>
          <w:p>
            <w:pPr>
              <w:pStyle w:val="Compact"/>
              <w:jc w:val="left"/>
            </w:pPr>
            <w:r>
              <w:t xml:space="preserve">water-soluble</w:t>
            </w:r>
          </w:p>
        </w:tc>
        <w:tc>
          <w:tcPr/>
          <w:p>
            <w:pPr>
              <w:pStyle w:val="Compact"/>
              <w:jc w:val="left"/>
            </w:pPr>
            <w:r>
              <w:t xml:space="preserve">3.70</w:t>
            </w:r>
          </w:p>
        </w:tc>
        <w:tc>
          <w:tcPr/>
          <w:p>
            <w:pPr>
              <w:pStyle w:val="Compact"/>
              <w:jc w:val="left"/>
            </w:pPr>
            <w:r>
              <w:t xml:space="preserve">3.97</w:t>
            </w:r>
          </w:p>
        </w:tc>
        <w:tc>
          <w:tcPr/>
          <w:p>
            <w:pPr>
              <w:pStyle w:val="Compact"/>
              <w:jc w:val="left"/>
            </w:pPr>
            <w:r>
              <w:t xml:space="preserve">4.07</w:t>
            </w:r>
          </w:p>
        </w:tc>
        <w:tc>
          <w:tcPr/>
          <w:p>
            <w:pPr>
              <w:pStyle w:val="Compact"/>
              <w:jc w:val="left"/>
            </w:pPr>
            <w:r>
              <w:t xml:space="preserve">4.09</w:t>
            </w:r>
          </w:p>
        </w:tc>
      </w:tr>
      <w:tr>
        <w:tc>
          <w:tcPr/>
          <w:p>
            <w:pPr>
              <w:pStyle w:val="Compact"/>
              <w:jc w:val="left"/>
            </w:pPr>
            <w:r>
              <w:t xml:space="preserve">High</w:t>
            </w:r>
          </w:p>
        </w:tc>
        <w:tc>
          <w:tcPr/>
          <w:p>
            <w:pPr>
              <w:pStyle w:val="Compact"/>
              <w:jc w:val="left"/>
            </w:pPr>
            <w:r>
              <w:t xml:space="preserve">46</w:t>
            </w:r>
          </w:p>
        </w:tc>
        <w:tc>
          <w:tcPr/>
          <w:p>
            <w:pPr>
              <w:pStyle w:val="Compact"/>
              <w:jc w:val="left"/>
            </w:pPr>
            <w:r>
              <w:t xml:space="preserve">exchangeable</w:t>
            </w:r>
          </w:p>
        </w:tc>
        <w:tc>
          <w:tcPr/>
          <w:p>
            <w:pPr>
              <w:pStyle w:val="Compact"/>
              <w:jc w:val="left"/>
            </w:pPr>
            <w:r>
              <w:t xml:space="preserve">4.35</w:t>
            </w:r>
          </w:p>
        </w:tc>
        <w:tc>
          <w:tcPr/>
          <w:p>
            <w:pPr>
              <w:pStyle w:val="Compact"/>
              <w:jc w:val="left"/>
            </w:pPr>
            <w:r>
              <w:t xml:space="preserve">4.30</w:t>
            </w:r>
          </w:p>
        </w:tc>
        <w:tc>
          <w:tcPr/>
          <w:p>
            <w:pPr>
              <w:pStyle w:val="Compact"/>
              <w:jc w:val="left"/>
            </w:pPr>
            <w:r>
              <w:t xml:space="preserve">4.32</w:t>
            </w:r>
          </w:p>
        </w:tc>
        <w:tc>
          <w:tcPr/>
          <w:p>
            <w:pPr>
              <w:pStyle w:val="Compact"/>
              <w:jc w:val="left"/>
            </w:pPr>
            <w:r>
              <w:t xml:space="preserve">4.25</w:t>
            </w:r>
          </w:p>
        </w:tc>
      </w:tr>
      <w:tr>
        <w:tc>
          <w:tcPr/>
          <w:p>
            <w:pPr>
              <w:pStyle w:val="Compact"/>
              <w:jc w:val="left"/>
            </w:pPr>
            <w:r>
              <w:t xml:space="preserve">High</w:t>
            </w:r>
          </w:p>
        </w:tc>
        <w:tc>
          <w:tcPr/>
          <w:p>
            <w:pPr>
              <w:pStyle w:val="Compact"/>
              <w:jc w:val="left"/>
            </w:pPr>
            <w:r>
              <w:t xml:space="preserve">90</w:t>
            </w:r>
          </w:p>
        </w:tc>
        <w:tc>
          <w:tcPr/>
          <w:p>
            <w:pPr>
              <w:pStyle w:val="Compact"/>
              <w:jc w:val="left"/>
            </w:pPr>
            <w:r>
              <w:t xml:space="preserve">water-soluble</w:t>
            </w:r>
          </w:p>
        </w:tc>
        <w:tc>
          <w:tcPr/>
          <w:p>
            <w:pPr>
              <w:pStyle w:val="Compact"/>
              <w:jc w:val="left"/>
            </w:pPr>
            <w:r>
              <w:t xml:space="preserve">3.90</w:t>
            </w:r>
          </w:p>
        </w:tc>
        <w:tc>
          <w:tcPr/>
          <w:p>
            <w:pPr>
              <w:pStyle w:val="Compact"/>
              <w:jc w:val="left"/>
            </w:pPr>
            <w:r>
              <w:t xml:space="preserve">3.94</w:t>
            </w:r>
          </w:p>
        </w:tc>
        <w:tc>
          <w:tcPr/>
          <w:p>
            <w:pPr>
              <w:pStyle w:val="Compact"/>
              <w:jc w:val="left"/>
            </w:pPr>
            <w:r>
              <w:t xml:space="preserve">4.02</w:t>
            </w:r>
          </w:p>
        </w:tc>
        <w:tc>
          <w:tcPr/>
          <w:p>
            <w:pPr>
              <w:pStyle w:val="Compact"/>
              <w:jc w:val="left"/>
            </w:pPr>
            <w:r>
              <w:t xml:space="preserve">3.90</w:t>
            </w:r>
          </w:p>
        </w:tc>
      </w:tr>
      <w:tr>
        <w:tc>
          <w:tcPr/>
          <w:p>
            <w:pPr>
              <w:pStyle w:val="Compact"/>
              <w:jc w:val="left"/>
            </w:pPr>
            <w:r>
              <w:t xml:space="preserve">High</w:t>
            </w:r>
          </w:p>
        </w:tc>
        <w:tc>
          <w:tcPr/>
          <w:p>
            <w:pPr>
              <w:pStyle w:val="Compact"/>
              <w:jc w:val="left"/>
            </w:pPr>
            <w:r>
              <w:t xml:space="preserve">90</w:t>
            </w:r>
          </w:p>
        </w:tc>
        <w:tc>
          <w:tcPr/>
          <w:p>
            <w:pPr>
              <w:pStyle w:val="Compact"/>
              <w:jc w:val="left"/>
            </w:pPr>
            <w:r>
              <w:t xml:space="preserve">exchangeable</w:t>
            </w:r>
          </w:p>
        </w:tc>
        <w:tc>
          <w:tcPr/>
          <w:p>
            <w:pPr>
              <w:pStyle w:val="Compact"/>
              <w:jc w:val="left"/>
            </w:pPr>
            <w:r>
              <w:t xml:space="preserve">3.72</w:t>
            </w:r>
          </w:p>
        </w:tc>
        <w:tc>
          <w:tcPr/>
          <w:p>
            <w:pPr>
              <w:pStyle w:val="Compact"/>
              <w:jc w:val="left"/>
            </w:pPr>
            <w:r>
              <w:t xml:space="preserve">3.71</w:t>
            </w:r>
          </w:p>
        </w:tc>
        <w:tc>
          <w:tcPr/>
          <w:p>
            <w:pPr>
              <w:pStyle w:val="Compact"/>
              <w:jc w:val="left"/>
            </w:pPr>
            <w:r>
              <w:t xml:space="preserve">3.86</w:t>
            </w:r>
          </w:p>
        </w:tc>
        <w:tc>
          <w:tcPr/>
          <w:p>
            <w:pPr>
              <w:pStyle w:val="Compact"/>
              <w:jc w:val="left"/>
            </w:pPr>
            <w:r>
              <w:t xml:space="preserve">3.89</w:t>
            </w:r>
          </w:p>
        </w:tc>
      </w:tr>
    </w:tbl>
    <w:p>
      <w:pPr>
        <w:pStyle w:val="BodyText"/>
      </w:pPr>
      <w:r>
        <w:rPr>
          <w:bCs/>
          <w:b/>
        </w:rPr>
        <w:t xml:space="preserve">Table S6.</w:t>
      </w:r>
      <w:r>
        <w:t xml:space="preserve"> </w:t>
      </w:r>
      <w:r>
        <w:t xml:space="preserve">Average pH shift relative to the control (ΔpH), n=9 per</w:t>
      </w:r>
      <w:r>
        <w:t xml:space="preserve"> </w:t>
      </w:r>
      <w:r>
        <w:t xml:space="preserve">treatment, all levels and durations</w:t>
      </w:r>
    </w:p>
    <w:tbl>
      <w:tblPr>
        <w:tblStyle w:val="Table"/>
        <w:tblW w:type="pct" w:w="4867"/>
        <w:tblLook w:firstRow="1" w:lastRow="0" w:firstColumn="0" w:lastColumn="0" w:noHBand="0" w:noVBand="0" w:val="0020"/>
        <w:jc w:val="start"/>
      </w:tblPr>
      <w:tblGrid>
        <w:gridCol w:w="2112"/>
        <w:gridCol w:w="2745"/>
        <w:gridCol w:w="2851"/>
      </w:tblGrid>
      <w:tr>
        <w:trPr>
          <w:tblHeader w:val="true"/>
        </w:trPr>
        <w:tc>
          <w:tcPr/>
          <w:p>
            <w:pPr>
              <w:pStyle w:val="Compact"/>
              <w:jc w:val="left"/>
            </w:pPr>
            <w:r>
              <w:rPr>
                <w:bCs/>
                <w:b/>
              </w:rPr>
              <w:t xml:space="preserve">Treatment</w:t>
            </w:r>
          </w:p>
        </w:tc>
        <w:tc>
          <w:tcPr/>
          <w:p>
            <w:pPr>
              <w:pStyle w:val="Compact"/>
              <w:jc w:val="left"/>
            </w:pPr>
            <w:r>
              <w:rPr>
                <w:bCs/>
                <w:b/>
              </w:rPr>
              <w:t xml:space="preserve">Δ pH, water-soluble</w:t>
            </w:r>
          </w:p>
        </w:tc>
        <w:tc>
          <w:tcPr/>
          <w:p>
            <w:pPr>
              <w:pStyle w:val="Compact"/>
              <w:jc w:val="left"/>
            </w:pPr>
            <w:r>
              <w:rPr>
                <w:bCs/>
                <w:b/>
              </w:rPr>
              <w:t xml:space="preserve">Δ pH, exchangeable</w:t>
            </w:r>
          </w:p>
        </w:tc>
      </w:tr>
      <w:tr>
        <w:tc>
          <w:tcPr/>
          <w:p>
            <w:pPr>
              <w:pStyle w:val="Compact"/>
              <w:jc w:val="left"/>
            </w:pPr>
            <w:r>
              <w:t xml:space="preserve">Biochar</w:t>
            </w:r>
          </w:p>
        </w:tc>
        <w:tc>
          <w:tcPr/>
          <w:p>
            <w:pPr>
              <w:pStyle w:val="Compact"/>
              <w:jc w:val="left"/>
            </w:pPr>
            <w:r>
              <w:t xml:space="preserve">+0.11</w:t>
            </w:r>
          </w:p>
        </w:tc>
        <w:tc>
          <w:tcPr/>
          <w:p>
            <w:pPr>
              <w:pStyle w:val="Compact"/>
              <w:jc w:val="left"/>
            </w:pPr>
            <w:r>
              <w:t xml:space="preserve">+0.03</w:t>
            </w:r>
          </w:p>
        </w:tc>
      </w:tr>
      <w:tr>
        <w:tc>
          <w:tcPr/>
          <w:p>
            <w:pPr>
              <w:pStyle w:val="Compact"/>
              <w:jc w:val="left"/>
            </w:pPr>
            <w:r>
              <w:t xml:space="preserve">HAP</w:t>
            </w:r>
          </w:p>
        </w:tc>
        <w:tc>
          <w:tcPr/>
          <w:p>
            <w:pPr>
              <w:pStyle w:val="Compact"/>
              <w:jc w:val="left"/>
            </w:pPr>
            <w:r>
              <w:t xml:space="preserve">+0.17</w:t>
            </w:r>
          </w:p>
        </w:tc>
        <w:tc>
          <w:tcPr/>
          <w:p>
            <w:pPr>
              <w:pStyle w:val="Compact"/>
              <w:jc w:val="left"/>
            </w:pPr>
            <w:r>
              <w:t xml:space="preserve">+0.06</w:t>
            </w:r>
          </w:p>
        </w:tc>
      </w:tr>
      <w:tr>
        <w:tc>
          <w:tcPr/>
          <w:p>
            <w:pPr>
              <w:pStyle w:val="Compact"/>
              <w:jc w:val="left"/>
            </w:pPr>
            <w:r>
              <w:t xml:space="preserve">Biochar + HAP</w:t>
            </w:r>
          </w:p>
        </w:tc>
        <w:tc>
          <w:tcPr/>
          <w:p>
            <w:pPr>
              <w:pStyle w:val="Compact"/>
              <w:jc w:val="left"/>
            </w:pPr>
            <w:r>
              <w:t xml:space="preserve">+0.19</w:t>
            </w:r>
          </w:p>
        </w:tc>
        <w:tc>
          <w:tcPr/>
          <w:p>
            <w:pPr>
              <w:pStyle w:val="Compact"/>
              <w:jc w:val="left"/>
            </w:pPr>
            <w:r>
              <w:t xml:space="preserve">+0.07</w:t>
            </w:r>
          </w:p>
        </w:tc>
      </w:tr>
    </w:tbl>
    <w:p>
      <w:pPr>
        <w:pStyle w:val="BodyText"/>
      </w:pPr>
      <w:r>
        <w:rPr>
          <w:bCs/>
          <w:b/>
        </w:rPr>
        <w:t xml:space="preserve">S6. Conditions and goodness-of-fit criteria for full-profile Rietveld</w:t>
      </w:r>
      <w:r>
        <w:rPr>
          <w:bCs/>
          <w:b/>
        </w:rPr>
        <w:t xml:space="preserve"> </w:t>
      </w:r>
      <w:r>
        <w:rPr>
          <w:bCs/>
          <w:b/>
        </w:rPr>
        <w:t xml:space="preserve">refinement (XRD)</w:t>
      </w:r>
    </w:p>
    <w:p>
      <w:pPr>
        <w:pStyle w:val="BodyText"/>
      </w:pPr>
      <w:r>
        <w:rPr>
          <w:bCs/>
          <w:b/>
        </w:rPr>
        <w:t xml:space="preserve">S6.1. Refinement conditions</w:t>
      </w:r>
    </w:p>
    <w:p>
      <w:pPr>
        <w:pStyle w:val="BodyText"/>
      </w:pPr>
      <w:r>
        <w:t xml:space="preserve">Quantitative phase analysis of the control sample was performed using</w:t>
      </w:r>
      <w:r>
        <w:t xml:space="preserve"> </w:t>
      </w:r>
      <w:r>
        <w:t xml:space="preserve">the full-profile Rietveld refinement method in the Profex/BGMN software</w:t>
      </w:r>
      <w:r>
        <w:t xml:space="preserve"> </w:t>
      </w:r>
      <w:r>
        <w:t xml:space="preserve">(BGMN version 4.2.23). The unit cell and profile parameters of</w:t>
      </w:r>
      <w:r>
        <w:t xml:space="preserve"> </w:t>
      </w:r>
      <w:r>
        <w:t xml:space="preserve">defect-free framework minerals (quartz, plagioclase) were fixed at the</w:t>
      </w:r>
      <w:r>
        <w:t xml:space="preserve"> </w:t>
      </w:r>
      <w:r>
        <w:t xml:space="preserve">values obtained for the control sample, whereas the parameters of labile</w:t>
      </w:r>
      <w:r>
        <w:t xml:space="preserve"> </w:t>
      </w:r>
      <w:r>
        <w:t xml:space="preserve">phyllosilicates (illite, vermiculite) were refined freely.</w:t>
      </w:r>
    </w:p>
    <w:p>
      <w:pPr>
        <w:pStyle w:val="BodyText"/>
      </w:pPr>
      <w:r>
        <w:rPr>
          <w:bCs/>
          <w:b/>
        </w:rPr>
        <w:t xml:space="preserve">S6.2. Goodness-of-fit criteria</w:t>
      </w:r>
    </w:p>
    <w:p>
      <w:pPr>
        <w:pStyle w:val="BodyText"/>
      </w:pPr>
      <w:r>
        <w:rPr>
          <w:bCs/>
          <w:b/>
        </w:rPr>
        <w:t xml:space="preserve">Table S7.</w:t>
      </w:r>
      <w:r>
        <w:t xml:space="preserve"> </w:t>
      </w:r>
      <w:r>
        <w:t xml:space="preserve">Goodness-of-fit criteria for the Rietveld refinement</w:t>
      </w:r>
    </w:p>
    <w:tbl>
      <w:tblPr>
        <w:tblStyle w:val="Table"/>
        <w:tblW w:type="pct" w:w="4865"/>
        <w:tblLook w:firstRow="1" w:lastRow="0" w:firstColumn="0" w:lastColumn="0" w:noHBand="0" w:noVBand="0" w:val="0020"/>
        <w:jc w:val="start"/>
      </w:tblPr>
      <w:tblGrid>
        <w:gridCol w:w="5030"/>
        <w:gridCol w:w="2675"/>
      </w:tblGrid>
      <w:tr>
        <w:trPr>
          <w:tblHeader w:val="true"/>
        </w:trPr>
        <w:tc>
          <w:tcPr/>
          <w:p>
            <w:pPr>
              <w:pStyle w:val="Compact"/>
              <w:jc w:val="left"/>
            </w:pPr>
            <w:r>
              <w:rPr>
                <w:bCs/>
                <w:b/>
              </w:rPr>
              <w:t xml:space="preserve">Parameter</w:t>
            </w:r>
          </w:p>
        </w:tc>
        <w:tc>
          <w:tcPr/>
          <w:p>
            <w:pPr>
              <w:pStyle w:val="Compact"/>
              <w:jc w:val="left"/>
            </w:pPr>
            <w:r>
              <w:rPr>
                <w:bCs/>
                <w:b/>
              </w:rPr>
              <w:t xml:space="preserve">Value</w:t>
            </w:r>
          </w:p>
        </w:tc>
      </w:tr>
      <w:tr>
        <w:tc>
          <w:tcPr/>
          <w:p>
            <w:pPr>
              <w:pStyle w:val="Compact"/>
              <w:jc w:val="left"/>
            </w:pPr>
            <w:r>
              <w:t xml:space="preserve">Rp</w:t>
            </w:r>
          </w:p>
        </w:tc>
        <w:tc>
          <w:tcPr/>
          <w:p>
            <w:pPr>
              <w:pStyle w:val="Compact"/>
              <w:jc w:val="left"/>
            </w:pPr>
            <w:r>
              <w:t xml:space="preserve">3.25 %</w:t>
            </w:r>
          </w:p>
        </w:tc>
      </w:tr>
      <w:tr>
        <w:tc>
          <w:tcPr/>
          <w:p>
            <w:pPr>
              <w:pStyle w:val="Compact"/>
              <w:jc w:val="left"/>
            </w:pPr>
            <w:r>
              <w:t xml:space="preserve">Rpb</w:t>
            </w:r>
          </w:p>
        </w:tc>
        <w:tc>
          <w:tcPr/>
          <w:p>
            <w:pPr>
              <w:pStyle w:val="Compact"/>
              <w:jc w:val="left"/>
            </w:pPr>
            <w:r>
              <w:t xml:space="preserve">40.11 %</w:t>
            </w:r>
          </w:p>
        </w:tc>
      </w:tr>
      <w:tr>
        <w:tc>
          <w:tcPr/>
          <w:p>
            <w:pPr>
              <w:pStyle w:val="Compact"/>
              <w:jc w:val="left"/>
            </w:pPr>
            <w:r>
              <w:t xml:space="preserve">R</w:t>
            </w:r>
          </w:p>
        </w:tc>
        <w:tc>
          <w:tcPr/>
          <w:p>
            <w:pPr>
              <w:pStyle w:val="Compact"/>
              <w:jc w:val="left"/>
            </w:pPr>
            <w:r>
              <w:t xml:space="preserve">4.32 %</w:t>
            </w:r>
          </w:p>
        </w:tc>
      </w:tr>
      <w:tr>
        <w:tc>
          <w:tcPr/>
          <w:p>
            <w:pPr>
              <w:pStyle w:val="Compact"/>
              <w:jc w:val="left"/>
            </w:pPr>
            <w:r>
              <w:t xml:space="preserve">Rwp</w:t>
            </w:r>
          </w:p>
        </w:tc>
        <w:tc>
          <w:tcPr/>
          <w:p>
            <w:pPr>
              <w:pStyle w:val="Compact"/>
              <w:jc w:val="left"/>
            </w:pPr>
            <w:r>
              <w:t xml:space="preserve">4.45 %</w:t>
            </w:r>
          </w:p>
        </w:tc>
      </w:tr>
      <w:tr>
        <w:tc>
          <w:tcPr/>
          <w:p>
            <w:pPr>
              <w:pStyle w:val="Compact"/>
              <w:jc w:val="left"/>
            </w:pPr>
            <w:r>
              <w:t xml:space="preserve">Rexp</w:t>
            </w:r>
          </w:p>
        </w:tc>
        <w:tc>
          <w:tcPr/>
          <w:p>
            <w:pPr>
              <w:pStyle w:val="Compact"/>
              <w:jc w:val="left"/>
            </w:pPr>
            <w:r>
              <w:t xml:space="preserve">2.29 %</w:t>
            </w:r>
          </w:p>
        </w:tc>
      </w:tr>
      <w:tr>
        <w:tc>
          <w:tcPr/>
          <w:p>
            <w:pPr>
              <w:pStyle w:val="Compact"/>
              <w:jc w:val="left"/>
            </w:pPr>
            <w:r>
              <w:t xml:space="preserve">χ² = (Rwp/Rexp)²</w:t>
            </w:r>
          </w:p>
        </w:tc>
        <w:tc>
          <w:tcPr/>
          <w:p>
            <w:pPr>
              <w:pStyle w:val="Compact"/>
              <w:jc w:val="left"/>
            </w:pPr>
            <w:r>
              <w:t xml:space="preserve">≈ 3.78</w:t>
            </w:r>
          </w:p>
        </w:tc>
      </w:tr>
      <w:tr>
        <w:tc>
          <w:tcPr/>
          <w:p>
            <w:pPr>
              <w:pStyle w:val="Compact"/>
              <w:jc w:val="left"/>
            </w:pPr>
            <w:r>
              <w:t xml:space="preserve">Durbin–Watson d</w:t>
            </w:r>
          </w:p>
        </w:tc>
        <w:tc>
          <w:tcPr/>
          <w:p>
            <w:pPr>
              <w:pStyle w:val="Compact"/>
              <w:jc w:val="left"/>
            </w:pPr>
            <w:r>
              <w:t xml:space="preserve">0.22</w:t>
            </w:r>
          </w:p>
        </w:tc>
      </w:tr>
      <w:tr>
        <w:tc>
          <w:tcPr/>
          <w:p>
            <w:pPr>
              <w:pStyle w:val="Compact"/>
              <w:jc w:val="left"/>
            </w:pPr>
            <w:r>
              <w:t xml:space="preserve">1-ρ</w:t>
            </w:r>
          </w:p>
        </w:tc>
        <w:tc>
          <w:tcPr/>
          <w:p>
            <w:pPr>
              <w:pStyle w:val="Compact"/>
              <w:jc w:val="left"/>
            </w:pPr>
            <w:r>
              <w:t xml:space="preserve">8.00 %</w:t>
            </w:r>
          </w:p>
        </w:tc>
      </w:tr>
    </w:tbl>
    <w:p>
      <w:pPr>
        <w:pStyle w:val="BodyText"/>
      </w:pPr>
      <w:r>
        <w:t xml:space="preserve">The obtained value of χ² ≈ 3.78 is acceptable for the quantitative phase</w:t>
      </w:r>
      <w:r>
        <w:t xml:space="preserve"> </w:t>
      </w:r>
      <w:r>
        <w:t xml:space="preserve">analysis of multiphase natural soil systems containing structurally</w:t>
      </w:r>
      <w:r>
        <w:t xml:space="preserve"> </w:t>
      </w:r>
      <w:r>
        <w:t xml:space="preserve">disordered clay minerals (illite, vermiculite). For such systems,</w:t>
      </w:r>
      <w:r>
        <w:t xml:space="preserve"> </w:t>
      </w:r>
      <w:r>
        <w:t xml:space="preserve">achieving χ² &lt; 2, which is typical for single-phase reference samples,</w:t>
      </w:r>
      <w:r>
        <w:t xml:space="preserve"> </w:t>
      </w:r>
      <w:r>
        <w:t xml:space="preserve">is hindered by the deviation of the actual structure of phyllosilicates</w:t>
      </w:r>
      <w:r>
        <w:t xml:space="preserve"> </w:t>
      </w:r>
      <w:r>
        <w:t xml:space="preserve">from idealized structural models.</w:t>
      </w:r>
    </w:p>
    <w:p>
      <w:pPr>
        <w:pStyle w:val="BodyText"/>
      </w:pPr>
      <w:r>
        <w:rPr>
          <w:bCs/>
          <w:b/>
        </w:rPr>
        <w:t xml:space="preserve">S6.3. Quantitative phase analysis results (GOALs)</w:t>
      </w:r>
    </w:p>
    <w:p>
      <w:pPr>
        <w:pStyle w:val="BodyText"/>
      </w:pPr>
      <w:r>
        <w:rPr>
          <w:bCs/>
          <w:b/>
        </w:rPr>
        <w:t xml:space="preserve">Table S8.</w:t>
      </w:r>
      <w:r>
        <w:t xml:space="preserve"> </w:t>
      </w:r>
      <w:r>
        <w:t xml:space="preserve">Quantitative phase analysis results (Rietveld method)</w:t>
      </w:r>
    </w:p>
    <w:tbl>
      <w:tblPr>
        <w:tblStyle w:val="Table"/>
        <w:tblW w:type="pct" w:w="4868"/>
        <w:tblLook w:firstRow="1" w:lastRow="0" w:firstColumn="0" w:lastColumn="0" w:noHBand="0" w:noVBand="0" w:val="0020"/>
        <w:jc w:val="start"/>
      </w:tblPr>
      <w:tblGrid>
        <w:gridCol w:w="2292"/>
        <w:gridCol w:w="2709"/>
        <w:gridCol w:w="2709"/>
      </w:tblGrid>
      <w:tr>
        <w:trPr>
          <w:tblHeader w:val="true"/>
        </w:trPr>
        <w:tc>
          <w:tcPr/>
          <w:p>
            <w:pPr>
              <w:pStyle w:val="Compact"/>
              <w:jc w:val="left"/>
            </w:pPr>
            <w:r>
              <w:rPr>
                <w:bCs/>
                <w:b/>
              </w:rPr>
              <w:t xml:space="preserve">Phase</w:t>
            </w:r>
          </w:p>
        </w:tc>
        <w:tc>
          <w:tcPr/>
          <w:p>
            <w:pPr>
              <w:pStyle w:val="Compact"/>
              <w:jc w:val="left"/>
            </w:pPr>
            <w:r>
              <w:rPr>
                <w:bCs/>
                <w:b/>
              </w:rPr>
              <w:t xml:space="preserve">Mass fraction</w:t>
            </w:r>
          </w:p>
        </w:tc>
        <w:tc>
          <w:tcPr/>
          <w:p>
            <w:pPr>
              <w:pStyle w:val="Compact"/>
              <w:jc w:val="left"/>
            </w:pPr>
            <w:r>
              <w:rPr>
                <w:bCs/>
                <w:b/>
              </w:rPr>
              <w:t xml:space="preserve">Uncertainty</w:t>
            </w:r>
          </w:p>
        </w:tc>
      </w:tr>
      <w:tr>
        <w:tc>
          <w:tcPr/>
          <w:p>
            <w:pPr>
              <w:pStyle w:val="Compact"/>
              <w:jc w:val="left"/>
            </w:pPr>
            <w:r>
              <w:t xml:space="preserve">Andesine</w:t>
            </w:r>
          </w:p>
        </w:tc>
        <w:tc>
          <w:tcPr/>
          <w:p>
            <w:pPr>
              <w:pStyle w:val="Compact"/>
              <w:jc w:val="left"/>
            </w:pPr>
            <w:r>
              <w:t xml:space="preserve">0.4408</w:t>
            </w:r>
          </w:p>
        </w:tc>
        <w:tc>
          <w:tcPr/>
          <w:p>
            <w:pPr>
              <w:pStyle w:val="Compact"/>
              <w:jc w:val="left"/>
            </w:pPr>
            <w:r>
              <w:t xml:space="preserve">± 0.0050</w:t>
            </w:r>
          </w:p>
        </w:tc>
      </w:tr>
      <w:tr>
        <w:tc>
          <w:tcPr/>
          <w:p>
            <w:pPr>
              <w:pStyle w:val="Compact"/>
              <w:jc w:val="left"/>
            </w:pPr>
            <w:r>
              <w:t xml:space="preserve">Quartz</w:t>
            </w:r>
          </w:p>
        </w:tc>
        <w:tc>
          <w:tcPr/>
          <w:p>
            <w:pPr>
              <w:pStyle w:val="Compact"/>
              <w:jc w:val="left"/>
            </w:pPr>
            <w:r>
              <w:t xml:space="preserve">0.2635</w:t>
            </w:r>
          </w:p>
        </w:tc>
        <w:tc>
          <w:tcPr/>
          <w:p>
            <w:pPr>
              <w:pStyle w:val="Compact"/>
              <w:jc w:val="left"/>
            </w:pPr>
            <w:r>
              <w:t xml:space="preserve">± 0.0035</w:t>
            </w:r>
          </w:p>
        </w:tc>
      </w:tr>
      <w:tr>
        <w:tc>
          <w:tcPr/>
          <w:p>
            <w:pPr>
              <w:pStyle w:val="Compact"/>
              <w:jc w:val="left"/>
            </w:pPr>
            <w:r>
              <w:t xml:space="preserve">Vermiculite</w:t>
            </w:r>
          </w:p>
        </w:tc>
        <w:tc>
          <w:tcPr/>
          <w:p>
            <w:pPr>
              <w:pStyle w:val="Compact"/>
              <w:jc w:val="left"/>
            </w:pPr>
            <w:r>
              <w:t xml:space="preserve">0.00948</w:t>
            </w:r>
          </w:p>
        </w:tc>
        <w:tc>
          <w:tcPr/>
          <w:p>
            <w:pPr>
              <w:pStyle w:val="Compact"/>
              <w:jc w:val="left"/>
            </w:pPr>
            <w:r>
              <w:t xml:space="preserve">± 0.00080</w:t>
            </w:r>
          </w:p>
        </w:tc>
      </w:tr>
      <w:tr>
        <w:tc>
          <w:tcPr/>
          <w:p>
            <w:pPr>
              <w:pStyle w:val="Compact"/>
              <w:jc w:val="left"/>
            </w:pPr>
            <w:r>
              <w:t xml:space="preserve">Illite</w:t>
            </w:r>
          </w:p>
        </w:tc>
        <w:tc>
          <w:tcPr/>
          <w:p>
            <w:pPr>
              <w:pStyle w:val="Compact"/>
              <w:jc w:val="left"/>
            </w:pPr>
            <w:r>
              <w:t xml:space="preserve">0.2862</w:t>
            </w:r>
          </w:p>
        </w:tc>
        <w:tc>
          <w:tcPr/>
          <w:p>
            <w:pPr>
              <w:pStyle w:val="Compact"/>
              <w:jc w:val="left"/>
            </w:pPr>
            <w:r>
              <w:t xml:space="preserve">± 0.0054</w:t>
            </w:r>
          </w:p>
        </w:tc>
      </w:tr>
    </w:tbl>
    <w:p>
      <w:pPr>
        <w:pStyle w:val="BodyText"/>
      </w:pPr>
      <w:r>
        <w:rPr>
          <w:bCs/>
          <w:b/>
        </w:rPr>
        <w:t xml:space="preserve">S7. Full Data of the Model "Biochar + HAP" Binary System</w:t>
      </w:r>
    </w:p>
    <w:p>
      <w:pPr>
        <w:pStyle w:val="BodyText"/>
      </w:pPr>
      <w:r>
        <w:t xml:space="preserve">Experimental conditions: Model solution — 0.01 M KNO3 (background</w:t>
      </w:r>
      <w:r>
        <w:t xml:space="preserve"> </w:t>
      </w:r>
      <w:r>
        <w:t xml:space="preserve">electrolyte), initial pH 5.0; solution volume (V) — 50 mL; biochar</w:t>
      </w:r>
      <w:r>
        <w:t xml:space="preserve"> </w:t>
      </w:r>
      <w:r>
        <w:t xml:space="preserve">dosage fixed at 0.200 g, mass of added hydroxyapatite (HAP) varied</w:t>
      </w:r>
      <w:r>
        <w:t xml:space="preserve"> </w:t>
      </w:r>
      <w:r>
        <w:t xml:space="preserve">(total sorbent mass in the system — from 0.200 to 0.240 g); initial</w:t>
      </w:r>
      <w:r>
        <w:t xml:space="preserve"> </w:t>
      </w:r>
      <w:r>
        <w:t xml:space="preserve">lead concentrations (C₀) were 10 and 100 mg/L; the experiment was</w:t>
      </w:r>
      <w:r>
        <w:t xml:space="preserve"> </w:t>
      </w:r>
      <w:r>
        <w:t xml:space="preserve">performed in triplicate (n = 3).</w:t>
      </w:r>
    </w:p>
    <w:p>
      <w:pPr>
        <w:pStyle w:val="BodyText"/>
      </w:pPr>
      <w:r>
        <w:rPr>
          <w:bCs/>
          <w:b/>
        </w:rPr>
        <w:t xml:space="preserve">Table S9.</w:t>
      </w:r>
      <w:r>
        <w:t xml:space="preserve"> </w:t>
      </w:r>
      <w:r>
        <w:t xml:space="preserve">Residual Pb concentration in solution, mg/L (mean ± SD,</w:t>
      </w:r>
      <w:r>
        <w:t xml:space="preserve"> </w:t>
      </w:r>
      <w:r>
        <w:t xml:space="preserve">n=3)</w:t>
      </w:r>
    </w:p>
    <w:tbl>
      <w:tblPr>
        <w:tblStyle w:val="Table"/>
        <w:tblW w:type="pct" w:w="4867"/>
        <w:tblLook w:firstRow="1" w:lastRow="0" w:firstColumn="0" w:lastColumn="0" w:noHBand="0" w:noVBand="0" w:val="0020"/>
        <w:jc w:val="start"/>
      </w:tblPr>
      <w:tblGrid>
        <w:gridCol w:w="2006"/>
        <w:gridCol w:w="2112"/>
        <w:gridCol w:w="1689"/>
        <w:gridCol w:w="1900"/>
      </w:tblGrid>
      <w:tr>
        <w:trPr>
          <w:tblHeader w:val="true"/>
        </w:trPr>
        <w:tc>
          <w:tcPr/>
          <w:p>
            <w:pPr>
              <w:pStyle w:val="Compact"/>
              <w:jc w:val="left"/>
            </w:pPr>
            <w:r>
              <w:rPr>
                <w:bCs/>
                <w:b/>
              </w:rPr>
              <w:t xml:space="preserve">Total dosage,</w:t>
            </w:r>
            <w:r>
              <w:rPr>
                <w:bCs/>
                <w:b/>
              </w:rPr>
              <w:t xml:space="preserve"> </w:t>
            </w:r>
            <w:r>
              <w:rPr>
                <w:bCs/>
                <w:b/>
              </w:rPr>
              <w:t xml:space="preserve">g</w:t>
            </w:r>
          </w:p>
        </w:tc>
        <w:tc>
          <w:tcPr/>
          <w:p>
            <w:pPr>
              <w:pStyle w:val="Compact"/>
              <w:jc w:val="left"/>
            </w:pPr>
            <w:r>
              <w:rPr>
                <w:bCs/>
                <w:b/>
              </w:rPr>
              <w:t xml:space="preserve">HAP proportion,</w:t>
            </w:r>
            <w:r>
              <w:rPr>
                <w:bCs/>
                <w:b/>
              </w:rPr>
              <w:t xml:space="preserve"> </w:t>
            </w:r>
            <w:r>
              <w:rPr>
                <w:bCs/>
                <w:b/>
              </w:rPr>
              <w:t xml:space="preserve">%</w:t>
            </w:r>
          </w:p>
        </w:tc>
        <w:tc>
          <w:tcPr/>
          <w:p>
            <w:pPr>
              <w:pStyle w:val="Compact"/>
              <w:jc w:val="left"/>
            </w:pPr>
            <w:r>
              <w:rPr>
                <w:bCs/>
                <w:b/>
              </w:rPr>
              <w:t xml:space="preserve">Cₑ (C₀=10</w:t>
            </w:r>
            <w:r>
              <w:rPr>
                <w:bCs/>
                <w:b/>
              </w:rPr>
              <w:t xml:space="preserve"> </w:t>
            </w:r>
            <w:r>
              <w:rPr>
                <w:bCs/>
                <w:b/>
              </w:rPr>
              <w:t xml:space="preserve">mg/L)</w:t>
            </w:r>
          </w:p>
        </w:tc>
        <w:tc>
          <w:tcPr/>
          <w:p>
            <w:pPr>
              <w:pStyle w:val="Compact"/>
              <w:jc w:val="left"/>
            </w:pPr>
            <w:r>
              <w:rPr>
                <w:bCs/>
                <w:b/>
              </w:rPr>
              <w:t xml:space="preserve">Cₑ (C₀=100</w:t>
            </w:r>
            <w:r>
              <w:rPr>
                <w:bCs/>
                <w:b/>
              </w:rPr>
              <w:t xml:space="preserve"> </w:t>
            </w:r>
            <w:r>
              <w:rPr>
                <w:bCs/>
                <w:b/>
              </w:rPr>
              <w:t xml:space="preserve">mg/L)</w:t>
            </w:r>
          </w:p>
        </w:tc>
      </w:tr>
      <w:tr>
        <w:tc>
          <w:tcPr/>
          <w:p>
            <w:pPr>
              <w:pStyle w:val="Compact"/>
              <w:jc w:val="left"/>
            </w:pPr>
            <w:r>
              <w:t xml:space="preserve">0.200 (biochar</w:t>
            </w:r>
            <w:r>
              <w:t xml:space="preserve"> </w:t>
            </w:r>
            <w:r>
              <w:t xml:space="preserve">only)</w:t>
            </w:r>
          </w:p>
        </w:tc>
        <w:tc>
          <w:tcPr/>
          <w:p>
            <w:pPr>
              <w:pStyle w:val="Compact"/>
              <w:jc w:val="left"/>
            </w:pPr>
            <w:r>
              <w:t xml:space="preserve">0.00</w:t>
            </w:r>
          </w:p>
        </w:tc>
        <w:tc>
          <w:tcPr/>
          <w:p>
            <w:pPr>
              <w:pStyle w:val="Compact"/>
              <w:jc w:val="left"/>
            </w:pPr>
            <w:r>
              <w:t xml:space="preserve">0.487 ± 0.158</w:t>
            </w:r>
          </w:p>
        </w:tc>
        <w:tc>
          <w:tcPr/>
          <w:p>
            <w:pPr>
              <w:pStyle w:val="Compact"/>
              <w:jc w:val="left"/>
            </w:pPr>
            <w:r>
              <w:t xml:space="preserve">32.26 ± 12.07</w:t>
            </w:r>
          </w:p>
        </w:tc>
      </w:tr>
      <w:tr>
        <w:tc>
          <w:tcPr/>
          <w:p>
            <w:pPr>
              <w:pStyle w:val="Compact"/>
              <w:jc w:val="left"/>
            </w:pPr>
            <w:r>
              <w:t xml:space="preserve">0.202</w:t>
            </w:r>
          </w:p>
        </w:tc>
        <w:tc>
          <w:tcPr/>
          <w:p>
            <w:pPr>
              <w:pStyle w:val="Compact"/>
              <w:jc w:val="left"/>
            </w:pPr>
            <w:r>
              <w:t xml:space="preserve">0.99</w:t>
            </w:r>
          </w:p>
        </w:tc>
        <w:tc>
          <w:tcPr/>
          <w:p>
            <w:pPr>
              <w:pStyle w:val="Compact"/>
              <w:jc w:val="left"/>
            </w:pPr>
            <w:r>
              <w:t xml:space="preserve">0.315 ± 0.163</w:t>
            </w:r>
          </w:p>
        </w:tc>
        <w:tc>
          <w:tcPr/>
          <w:p>
            <w:pPr>
              <w:pStyle w:val="Compact"/>
              <w:jc w:val="left"/>
            </w:pPr>
            <w:r>
              <w:t xml:space="preserve">19.87 ± 7.79</w:t>
            </w:r>
          </w:p>
        </w:tc>
      </w:tr>
      <w:tr>
        <w:tc>
          <w:tcPr/>
          <w:p>
            <w:pPr>
              <w:pStyle w:val="Compact"/>
              <w:jc w:val="left"/>
            </w:pPr>
            <w:r>
              <w:t xml:space="preserve">0.205</w:t>
            </w:r>
          </w:p>
        </w:tc>
        <w:tc>
          <w:tcPr/>
          <w:p>
            <w:pPr>
              <w:pStyle w:val="Compact"/>
              <w:jc w:val="left"/>
            </w:pPr>
            <w:r>
              <w:t xml:space="preserve">2.44</w:t>
            </w:r>
          </w:p>
        </w:tc>
        <w:tc>
          <w:tcPr/>
          <w:p>
            <w:pPr>
              <w:pStyle w:val="Compact"/>
              <w:jc w:val="left"/>
            </w:pPr>
            <w:r>
              <w:t xml:space="preserve">0.298 ± 0.119</w:t>
            </w:r>
          </w:p>
        </w:tc>
        <w:tc>
          <w:tcPr/>
          <w:p>
            <w:pPr>
              <w:pStyle w:val="Compact"/>
              <w:jc w:val="left"/>
            </w:pPr>
            <w:r>
              <w:t xml:space="preserve">0.78 ± 0.56</w:t>
            </w:r>
          </w:p>
        </w:tc>
      </w:tr>
      <w:tr>
        <w:tc>
          <w:tcPr/>
          <w:p>
            <w:pPr>
              <w:pStyle w:val="Compact"/>
              <w:jc w:val="left"/>
            </w:pPr>
            <w:r>
              <w:t xml:space="preserve">0.210</w:t>
            </w:r>
          </w:p>
        </w:tc>
        <w:tc>
          <w:tcPr/>
          <w:p>
            <w:pPr>
              <w:pStyle w:val="Compact"/>
              <w:jc w:val="left"/>
            </w:pPr>
            <w:r>
              <w:t xml:space="preserve">4.76</w:t>
            </w:r>
          </w:p>
        </w:tc>
        <w:tc>
          <w:tcPr/>
          <w:p>
            <w:pPr>
              <w:pStyle w:val="Compact"/>
              <w:jc w:val="left"/>
            </w:pPr>
            <w:r>
              <w:t xml:space="preserve">0.246 ± 0.078</w:t>
            </w:r>
          </w:p>
        </w:tc>
        <w:tc>
          <w:tcPr/>
          <w:p>
            <w:pPr>
              <w:pStyle w:val="Compact"/>
              <w:jc w:val="left"/>
            </w:pPr>
            <w:r>
              <w:t xml:space="preserve">0.32 ± 0.09</w:t>
            </w:r>
          </w:p>
        </w:tc>
      </w:tr>
      <w:tr>
        <w:tc>
          <w:tcPr/>
          <w:p>
            <w:pPr>
              <w:pStyle w:val="Compact"/>
              <w:jc w:val="left"/>
            </w:pPr>
            <w:r>
              <w:t xml:space="preserve">0.222</w:t>
            </w:r>
          </w:p>
        </w:tc>
        <w:tc>
          <w:tcPr/>
          <w:p>
            <w:pPr>
              <w:pStyle w:val="Compact"/>
              <w:jc w:val="left"/>
            </w:pPr>
            <w:r>
              <w:t xml:space="preserve">9.91</w:t>
            </w:r>
          </w:p>
        </w:tc>
        <w:tc>
          <w:tcPr/>
          <w:p>
            <w:pPr>
              <w:pStyle w:val="Compact"/>
              <w:jc w:val="left"/>
            </w:pPr>
            <w:r>
              <w:t xml:space="preserve">0.264 ± 0.014</w:t>
            </w:r>
          </w:p>
        </w:tc>
        <w:tc>
          <w:tcPr/>
          <w:p>
            <w:pPr>
              <w:pStyle w:val="Compact"/>
              <w:jc w:val="left"/>
            </w:pPr>
            <w:r>
              <w:t xml:space="preserve">0.22 ± 0.13</w:t>
            </w:r>
          </w:p>
        </w:tc>
      </w:tr>
      <w:tr>
        <w:tc>
          <w:tcPr/>
          <w:p>
            <w:pPr>
              <w:pStyle w:val="Compact"/>
              <w:jc w:val="left"/>
            </w:pPr>
            <w:r>
              <w:t xml:space="preserve">0.240</w:t>
            </w:r>
          </w:p>
        </w:tc>
        <w:tc>
          <w:tcPr/>
          <w:p>
            <w:pPr>
              <w:pStyle w:val="Compact"/>
              <w:jc w:val="left"/>
            </w:pPr>
            <w:r>
              <w:t xml:space="preserve">16.67</w:t>
            </w:r>
          </w:p>
        </w:tc>
        <w:tc>
          <w:tcPr/>
          <w:p>
            <w:pPr>
              <w:pStyle w:val="Compact"/>
              <w:jc w:val="left"/>
            </w:pPr>
            <w:r>
              <w:t xml:space="preserve">0.321 ± 0.159</w:t>
            </w:r>
          </w:p>
        </w:tc>
        <w:tc>
          <w:tcPr/>
          <w:p>
            <w:pPr>
              <w:pStyle w:val="Compact"/>
              <w:jc w:val="left"/>
            </w:pPr>
            <w:r>
              <w:t xml:space="preserve">0.28 ± 0.14</w:t>
            </w:r>
          </w:p>
        </w:tc>
      </w:tr>
    </w:tbl>
    <w:p>
      <w:pPr>
        <w:pStyle w:val="BodyText"/>
      </w:pPr>
      <w:r>
        <w:rPr>
          <w:bCs/>
          <w:b/>
        </w:rPr>
        <w:t xml:space="preserve">Table S10.</w:t>
      </w:r>
      <w:r>
        <w:t xml:space="preserve"> </w:t>
      </w:r>
      <w:r>
        <w:t xml:space="preserve">Equilibrium capacity of the mixture qₑ (mg Pb/g of total</w:t>
      </w:r>
      <w:r>
        <w:t xml:space="preserve"> </w:t>
      </w:r>
      <w:r>
        <w:t xml:space="preserve">dosage) and removal efficiency, %</w:t>
      </w:r>
    </w:p>
    <w:tbl>
      <w:tblPr>
        <w:tblStyle w:val="Table"/>
        <w:tblW w:type="pct" w:w="4875"/>
        <w:tblLook w:firstRow="1" w:lastRow="0" w:firstColumn="0" w:lastColumn="0" w:noHBand="0" w:noVBand="0" w:val="0020"/>
        <w:jc w:val="start"/>
      </w:tblPr>
      <w:tblGrid>
        <w:gridCol w:w="1089"/>
        <w:gridCol w:w="1485"/>
        <w:gridCol w:w="990"/>
        <w:gridCol w:w="1485"/>
        <w:gridCol w:w="1089"/>
        <w:gridCol w:w="1584"/>
      </w:tblGrid>
      <w:tr>
        <w:trPr>
          <w:tblHeader w:val="true"/>
        </w:trPr>
        <w:tc>
          <w:tcPr/>
          <w:p>
            <w:pPr>
              <w:pStyle w:val="Compact"/>
              <w:jc w:val="left"/>
            </w:pPr>
            <w:r>
              <w:rPr>
                <w:bCs/>
                <w:b/>
              </w:rPr>
              <w:t xml:space="preserve">Total</w:t>
            </w:r>
            <w:r>
              <w:rPr>
                <w:bCs/>
                <w:b/>
              </w:rPr>
              <w:t xml:space="preserve"> </w:t>
            </w:r>
            <w:r>
              <w:rPr>
                <w:bCs/>
                <w:b/>
              </w:rPr>
              <w:t xml:space="preserve">dosage,</w:t>
            </w:r>
            <w:r>
              <w:rPr>
                <w:bCs/>
                <w:b/>
              </w:rPr>
              <w:t xml:space="preserve"> </w:t>
            </w:r>
            <w:r>
              <w:rPr>
                <w:bCs/>
                <w:b/>
              </w:rPr>
              <w:t xml:space="preserve">g</w:t>
            </w:r>
          </w:p>
        </w:tc>
        <w:tc>
          <w:tcPr/>
          <w:p>
            <w:pPr>
              <w:pStyle w:val="Compact"/>
              <w:jc w:val="left"/>
            </w:pPr>
            <w:r>
              <w:rPr>
                <w:bCs/>
                <w:b/>
              </w:rPr>
              <w:t xml:space="preserve">HAP</w:t>
            </w:r>
            <w:r>
              <w:rPr>
                <w:bCs/>
                <w:b/>
              </w:rPr>
              <w:t xml:space="preserve"> </w:t>
            </w:r>
            <w:r>
              <w:rPr>
                <w:bCs/>
                <w:b/>
              </w:rPr>
              <w:t xml:space="preserve">proportion,</w:t>
            </w:r>
            <w:r>
              <w:rPr>
                <w:bCs/>
                <w:b/>
              </w:rPr>
              <w:t xml:space="preserve"> </w:t>
            </w:r>
            <w:r>
              <w:rPr>
                <w:bCs/>
                <w:b/>
              </w:rPr>
              <w:t xml:space="preserve">%</w:t>
            </w:r>
          </w:p>
        </w:tc>
        <w:tc>
          <w:tcPr/>
          <w:p>
            <w:pPr>
              <w:pStyle w:val="Compact"/>
              <w:jc w:val="left"/>
            </w:pPr>
            <w:r>
              <w:rPr>
                <w:bCs/>
                <w:b/>
              </w:rPr>
              <w:t xml:space="preserve">qₑ,</w:t>
            </w:r>
            <w:r>
              <w:rPr>
                <w:bCs/>
                <w:b/>
              </w:rPr>
              <w:t xml:space="preserve"> </w:t>
            </w:r>
            <w:r>
              <w:rPr>
                <w:bCs/>
                <w:b/>
              </w:rPr>
              <w:t xml:space="preserve">C₀=10</w:t>
            </w:r>
          </w:p>
        </w:tc>
        <w:tc>
          <w:tcPr/>
          <w:p>
            <w:pPr>
              <w:pStyle w:val="Compact"/>
              <w:jc w:val="left"/>
            </w:pPr>
            <w:r>
              <w:rPr>
                <w:bCs/>
                <w:b/>
              </w:rPr>
              <w:t xml:space="preserve">Removed, %</w:t>
            </w:r>
            <w:r>
              <w:rPr>
                <w:bCs/>
                <w:b/>
              </w:rPr>
              <w:t xml:space="preserve"> </w:t>
            </w:r>
            <w:r>
              <w:rPr>
                <w:bCs/>
                <w:b/>
              </w:rPr>
              <w:t xml:space="preserve">(C₀=10)</w:t>
            </w:r>
          </w:p>
        </w:tc>
        <w:tc>
          <w:tcPr/>
          <w:p>
            <w:pPr>
              <w:pStyle w:val="Compact"/>
              <w:jc w:val="left"/>
            </w:pPr>
            <w:r>
              <w:rPr>
                <w:bCs/>
                <w:b/>
              </w:rPr>
              <w:t xml:space="preserve">qₑ,</w:t>
            </w:r>
            <w:r>
              <w:rPr>
                <w:bCs/>
                <w:b/>
              </w:rPr>
              <w:t xml:space="preserve"> </w:t>
            </w:r>
            <w:r>
              <w:rPr>
                <w:bCs/>
                <w:b/>
              </w:rPr>
              <w:t xml:space="preserve">C₀=100</w:t>
            </w:r>
          </w:p>
        </w:tc>
        <w:tc>
          <w:tcPr/>
          <w:p>
            <w:pPr>
              <w:pStyle w:val="Compact"/>
              <w:jc w:val="left"/>
            </w:pPr>
            <w:r>
              <w:rPr>
                <w:bCs/>
                <w:b/>
              </w:rPr>
              <w:t xml:space="preserve">Removed, %</w:t>
            </w:r>
            <w:r>
              <w:rPr>
                <w:bCs/>
                <w:b/>
              </w:rPr>
              <w:t xml:space="preserve"> </w:t>
            </w:r>
            <w:r>
              <w:rPr>
                <w:bCs/>
                <w:b/>
              </w:rPr>
              <w:t xml:space="preserve">(C₀=100)</w:t>
            </w:r>
          </w:p>
        </w:tc>
      </w:tr>
      <w:tr>
        <w:tc>
          <w:tcPr/>
          <w:p>
            <w:pPr>
              <w:pStyle w:val="Compact"/>
              <w:jc w:val="left"/>
            </w:pPr>
            <w:r>
              <w:t xml:space="preserve">0.200</w:t>
            </w:r>
          </w:p>
        </w:tc>
        <w:tc>
          <w:tcPr/>
          <w:p>
            <w:pPr>
              <w:pStyle w:val="Compact"/>
              <w:jc w:val="left"/>
            </w:pPr>
            <w:r>
              <w:t xml:space="preserve">0.00</w:t>
            </w:r>
          </w:p>
        </w:tc>
        <w:tc>
          <w:tcPr/>
          <w:p>
            <w:pPr>
              <w:pStyle w:val="Compact"/>
              <w:jc w:val="left"/>
            </w:pPr>
            <w:r>
              <w:t xml:space="preserve">2.378</w:t>
            </w:r>
          </w:p>
        </w:tc>
        <w:tc>
          <w:tcPr/>
          <w:p>
            <w:pPr>
              <w:pStyle w:val="Compact"/>
              <w:jc w:val="left"/>
            </w:pPr>
            <w:r>
              <w:t xml:space="preserve">95.13</w:t>
            </w:r>
          </w:p>
        </w:tc>
        <w:tc>
          <w:tcPr/>
          <w:p>
            <w:pPr>
              <w:pStyle w:val="Compact"/>
              <w:jc w:val="left"/>
            </w:pPr>
            <w:r>
              <w:t xml:space="preserve">16.94</w:t>
            </w:r>
          </w:p>
        </w:tc>
        <w:tc>
          <w:tcPr/>
          <w:p>
            <w:pPr>
              <w:pStyle w:val="Compact"/>
              <w:jc w:val="left"/>
            </w:pPr>
            <w:r>
              <w:t xml:space="preserve">67.74</w:t>
            </w:r>
          </w:p>
        </w:tc>
      </w:tr>
      <w:tr>
        <w:tc>
          <w:tcPr/>
          <w:p>
            <w:pPr>
              <w:pStyle w:val="Compact"/>
              <w:jc w:val="left"/>
            </w:pPr>
            <w:r>
              <w:t xml:space="preserve">0.202</w:t>
            </w:r>
          </w:p>
        </w:tc>
        <w:tc>
          <w:tcPr/>
          <w:p>
            <w:pPr>
              <w:pStyle w:val="Compact"/>
              <w:jc w:val="left"/>
            </w:pPr>
            <w:r>
              <w:t xml:space="preserve">0.99</w:t>
            </w:r>
          </w:p>
        </w:tc>
        <w:tc>
          <w:tcPr/>
          <w:p>
            <w:pPr>
              <w:pStyle w:val="Compact"/>
              <w:jc w:val="left"/>
            </w:pPr>
            <w:r>
              <w:t xml:space="preserve">2.397</w:t>
            </w:r>
          </w:p>
        </w:tc>
        <w:tc>
          <w:tcPr/>
          <w:p>
            <w:pPr>
              <w:pStyle w:val="Compact"/>
              <w:jc w:val="left"/>
            </w:pPr>
            <w:r>
              <w:t xml:space="preserve">96.85</w:t>
            </w:r>
          </w:p>
        </w:tc>
        <w:tc>
          <w:tcPr/>
          <w:p>
            <w:pPr>
              <w:pStyle w:val="Compact"/>
              <w:jc w:val="left"/>
            </w:pPr>
            <w:r>
              <w:t xml:space="preserve">19.83</w:t>
            </w:r>
          </w:p>
        </w:tc>
        <w:tc>
          <w:tcPr/>
          <w:p>
            <w:pPr>
              <w:pStyle w:val="Compact"/>
              <w:jc w:val="left"/>
            </w:pPr>
            <w:r>
              <w:t xml:space="preserve">80.12</w:t>
            </w:r>
          </w:p>
        </w:tc>
      </w:tr>
      <w:tr>
        <w:tc>
          <w:tcPr/>
          <w:p>
            <w:pPr>
              <w:pStyle w:val="Compact"/>
              <w:jc w:val="left"/>
            </w:pPr>
            <w:r>
              <w:t xml:space="preserve">0.205</w:t>
            </w:r>
          </w:p>
        </w:tc>
        <w:tc>
          <w:tcPr/>
          <w:p>
            <w:pPr>
              <w:pStyle w:val="Compact"/>
              <w:jc w:val="left"/>
            </w:pPr>
            <w:r>
              <w:t xml:space="preserve">2.44</w:t>
            </w:r>
          </w:p>
        </w:tc>
        <w:tc>
          <w:tcPr/>
          <w:p>
            <w:pPr>
              <w:pStyle w:val="Compact"/>
              <w:jc w:val="left"/>
            </w:pPr>
            <w:r>
              <w:t xml:space="preserve">2.366</w:t>
            </w:r>
          </w:p>
        </w:tc>
        <w:tc>
          <w:tcPr/>
          <w:p>
            <w:pPr>
              <w:pStyle w:val="Compact"/>
              <w:jc w:val="left"/>
            </w:pPr>
            <w:r>
              <w:t xml:space="preserve">97.02</w:t>
            </w:r>
          </w:p>
        </w:tc>
        <w:tc>
          <w:tcPr/>
          <w:p>
            <w:pPr>
              <w:pStyle w:val="Compact"/>
              <w:jc w:val="left"/>
            </w:pPr>
            <w:r>
              <w:t xml:space="preserve">24.20</w:t>
            </w:r>
          </w:p>
        </w:tc>
        <w:tc>
          <w:tcPr/>
          <w:p>
            <w:pPr>
              <w:pStyle w:val="Compact"/>
              <w:jc w:val="left"/>
            </w:pPr>
            <w:r>
              <w:t xml:space="preserve">99.22</w:t>
            </w:r>
          </w:p>
        </w:tc>
      </w:tr>
      <w:tr>
        <w:tc>
          <w:tcPr/>
          <w:p>
            <w:pPr>
              <w:pStyle w:val="Compact"/>
              <w:jc w:val="left"/>
            </w:pPr>
            <w:r>
              <w:t xml:space="preserve">0.210</w:t>
            </w:r>
          </w:p>
        </w:tc>
        <w:tc>
          <w:tcPr/>
          <w:p>
            <w:pPr>
              <w:pStyle w:val="Compact"/>
              <w:jc w:val="left"/>
            </w:pPr>
            <w:r>
              <w:t xml:space="preserve">4.76</w:t>
            </w:r>
          </w:p>
        </w:tc>
        <w:tc>
          <w:tcPr/>
          <w:p>
            <w:pPr>
              <w:pStyle w:val="Compact"/>
              <w:jc w:val="left"/>
            </w:pPr>
            <w:r>
              <w:t xml:space="preserve">2.322</w:t>
            </w:r>
          </w:p>
        </w:tc>
        <w:tc>
          <w:tcPr/>
          <w:p>
            <w:pPr>
              <w:pStyle w:val="Compact"/>
              <w:jc w:val="left"/>
            </w:pPr>
            <w:r>
              <w:t xml:space="preserve">97.54</w:t>
            </w:r>
          </w:p>
        </w:tc>
        <w:tc>
          <w:tcPr/>
          <w:p>
            <w:pPr>
              <w:pStyle w:val="Compact"/>
              <w:jc w:val="left"/>
            </w:pPr>
            <w:r>
              <w:t xml:space="preserve">23.73</w:t>
            </w:r>
          </w:p>
        </w:tc>
        <w:tc>
          <w:tcPr/>
          <w:p>
            <w:pPr>
              <w:pStyle w:val="Compact"/>
              <w:jc w:val="left"/>
            </w:pPr>
            <w:r>
              <w:t xml:space="preserve">99.68</w:t>
            </w:r>
          </w:p>
        </w:tc>
      </w:tr>
      <w:tr>
        <w:tc>
          <w:tcPr/>
          <w:p>
            <w:pPr>
              <w:pStyle w:val="Compact"/>
              <w:jc w:val="left"/>
            </w:pPr>
            <w:r>
              <w:t xml:space="preserve">0.222</w:t>
            </w:r>
          </w:p>
        </w:tc>
        <w:tc>
          <w:tcPr/>
          <w:p>
            <w:pPr>
              <w:pStyle w:val="Compact"/>
              <w:jc w:val="left"/>
            </w:pPr>
            <w:r>
              <w:t xml:space="preserve">9.91</w:t>
            </w:r>
          </w:p>
        </w:tc>
        <w:tc>
          <w:tcPr/>
          <w:p>
            <w:pPr>
              <w:pStyle w:val="Compact"/>
              <w:jc w:val="left"/>
            </w:pPr>
            <w:r>
              <w:t xml:space="preserve">2.193</w:t>
            </w:r>
          </w:p>
        </w:tc>
        <w:tc>
          <w:tcPr/>
          <w:p>
            <w:pPr>
              <w:pStyle w:val="Compact"/>
              <w:jc w:val="left"/>
            </w:pPr>
            <w:r>
              <w:t xml:space="preserve">97.36</w:t>
            </w:r>
          </w:p>
        </w:tc>
        <w:tc>
          <w:tcPr/>
          <w:p>
            <w:pPr>
              <w:pStyle w:val="Compact"/>
              <w:jc w:val="left"/>
            </w:pPr>
            <w:r>
              <w:t xml:space="preserve">22.47</w:t>
            </w:r>
          </w:p>
        </w:tc>
        <w:tc>
          <w:tcPr/>
          <w:p>
            <w:pPr>
              <w:pStyle w:val="Compact"/>
              <w:jc w:val="left"/>
            </w:pPr>
            <w:r>
              <w:t xml:space="preserve">99.78</w:t>
            </w:r>
          </w:p>
        </w:tc>
      </w:tr>
      <w:tr>
        <w:tc>
          <w:tcPr/>
          <w:p>
            <w:pPr>
              <w:pStyle w:val="Compact"/>
              <w:jc w:val="left"/>
            </w:pPr>
            <w:r>
              <w:t xml:space="preserve">0.240</w:t>
            </w:r>
          </w:p>
        </w:tc>
        <w:tc>
          <w:tcPr/>
          <w:p>
            <w:pPr>
              <w:pStyle w:val="Compact"/>
              <w:jc w:val="left"/>
            </w:pPr>
            <w:r>
              <w:t xml:space="preserve">16.67</w:t>
            </w:r>
          </w:p>
        </w:tc>
        <w:tc>
          <w:tcPr/>
          <w:p>
            <w:pPr>
              <w:pStyle w:val="Compact"/>
              <w:jc w:val="left"/>
            </w:pPr>
            <w:r>
              <w:t xml:space="preserve">2.016</w:t>
            </w:r>
          </w:p>
        </w:tc>
        <w:tc>
          <w:tcPr/>
          <w:p>
            <w:pPr>
              <w:pStyle w:val="Compact"/>
              <w:jc w:val="left"/>
            </w:pPr>
            <w:r>
              <w:t xml:space="preserve">96.79</w:t>
            </w:r>
          </w:p>
        </w:tc>
        <w:tc>
          <w:tcPr/>
          <w:p>
            <w:pPr>
              <w:pStyle w:val="Compact"/>
              <w:jc w:val="left"/>
            </w:pPr>
            <w:r>
              <w:t xml:space="preserve">20.78</w:t>
            </w:r>
          </w:p>
        </w:tc>
        <w:tc>
          <w:tcPr/>
          <w:p>
            <w:pPr>
              <w:pStyle w:val="Compact"/>
              <w:jc w:val="left"/>
            </w:pPr>
            <w:r>
              <w:t xml:space="preserve">99.72</w:t>
            </w:r>
          </w:p>
        </w:tc>
      </w:tr>
    </w:tbl>
    <w:p>
      <w:pPr>
        <w:pStyle w:val="BodyText"/>
      </w:pPr>
      <w:r>
        <w:rPr>
          <w:bCs/>
          <w:b/>
        </w:rPr>
        <w:t xml:space="preserve">Table S11.</w:t>
      </w:r>
      <w:r>
        <w:t xml:space="preserve"> </w:t>
      </w:r>
      <w:r>
        <w:t xml:space="preserve">Boundaries of the specific capacity attributed directly</w:t>
      </w:r>
      <w:r>
        <w:t xml:space="preserve"> </w:t>
      </w:r>
      <w:r>
        <w:t xml:space="preserve">to HAP under two limiting assumptions regarding the partitioning of</w:t>
      </w:r>
      <w:r>
        <w:t xml:space="preserve"> </w:t>
      </w:r>
      <w:r>
        <w:t xml:space="preserve">bound Pb between the components</w:t>
      </w:r>
    </w:p>
    <w:tbl>
      <w:tblPr>
        <w:tblStyle w:val="Table"/>
        <w:tblW w:type="pct" w:w="4873"/>
        <w:tblLook w:firstRow="1" w:lastRow="0" w:firstColumn="0" w:lastColumn="0" w:noHBand="0" w:noVBand="0" w:val="0020"/>
        <w:jc w:val="start"/>
      </w:tblPr>
      <w:tblGrid>
        <w:gridCol w:w="1203"/>
        <w:gridCol w:w="1403"/>
        <w:gridCol w:w="1904"/>
        <w:gridCol w:w="1904"/>
        <w:gridCol w:w="1303"/>
      </w:tblGrid>
      <w:tr>
        <w:trPr>
          <w:tblHeader w:val="true"/>
        </w:trPr>
        <w:tc>
          <w:tcPr/>
          <w:p>
            <w:pPr>
              <w:pStyle w:val="Compact"/>
              <w:jc w:val="left"/>
            </w:pPr>
            <w:r>
              <w:rPr>
                <w:bCs/>
                <w:b/>
              </w:rPr>
              <w:t xml:space="preserve">m(HAP),</w:t>
            </w:r>
            <w:r>
              <w:rPr>
                <w:bCs/>
                <w:b/>
              </w:rPr>
              <w:t xml:space="preserve"> </w:t>
            </w:r>
            <w:r>
              <w:rPr>
                <w:bCs/>
                <w:b/>
              </w:rPr>
              <w:t xml:space="preserve">g</w:t>
            </w:r>
          </w:p>
        </w:tc>
        <w:tc>
          <w:tcPr/>
          <w:p>
            <w:pPr>
              <w:pStyle w:val="Compact"/>
              <w:jc w:val="left"/>
            </w:pPr>
            <w:r>
              <w:rPr>
                <w:bCs/>
                <w:b/>
              </w:rPr>
              <w:t xml:space="preserve">HAP</w:t>
            </w:r>
            <w:r>
              <w:rPr>
                <w:bCs/>
                <w:b/>
              </w:rPr>
              <w:t xml:space="preserve"> </w:t>
            </w:r>
            <w:r>
              <w:rPr>
                <w:bCs/>
                <w:b/>
              </w:rPr>
              <w:t xml:space="preserve">proportion,</w:t>
            </w:r>
            <w:r>
              <w:rPr>
                <w:bCs/>
                <w:b/>
              </w:rPr>
              <w:t xml:space="preserve"> </w:t>
            </w:r>
            <w:r>
              <w:rPr>
                <w:bCs/>
                <w:b/>
              </w:rPr>
              <w:t xml:space="preserve">%</w:t>
            </w:r>
          </w:p>
        </w:tc>
        <w:tc>
          <w:tcPr/>
          <w:p>
            <w:pPr>
              <w:pStyle w:val="Compact"/>
              <w:jc w:val="left"/>
            </w:pPr>
            <w:r>
              <w:rPr>
                <w:bCs/>
                <w:b/>
              </w:rPr>
              <w:t xml:space="preserve">Lower boundary,</w:t>
            </w:r>
            <w:r>
              <w:rPr>
                <w:bCs/>
                <w:b/>
              </w:rPr>
              <w:t xml:space="preserve"> </w:t>
            </w:r>
            <w:r>
              <w:rPr>
                <w:bCs/>
                <w:b/>
              </w:rPr>
              <w:t xml:space="preserve">mg/g (C₀=100)</w:t>
            </w:r>
          </w:p>
        </w:tc>
        <w:tc>
          <w:tcPr/>
          <w:p>
            <w:pPr>
              <w:pStyle w:val="Compact"/>
              <w:jc w:val="left"/>
            </w:pPr>
            <w:r>
              <w:rPr>
                <w:bCs/>
                <w:b/>
              </w:rPr>
              <w:t xml:space="preserve">Upper boundary,</w:t>
            </w:r>
            <w:r>
              <w:rPr>
                <w:bCs/>
                <w:b/>
              </w:rPr>
              <w:t xml:space="preserve"> </w:t>
            </w:r>
            <w:r>
              <w:rPr>
                <w:bCs/>
                <w:b/>
              </w:rPr>
              <w:t xml:space="preserve">mg/g (C₀=100)</w:t>
            </w:r>
          </w:p>
        </w:tc>
        <w:tc>
          <w:tcPr/>
          <w:p>
            <w:pPr>
              <w:pStyle w:val="Compact"/>
              <w:jc w:val="left"/>
            </w:pPr>
            <w:r>
              <w:rPr>
                <w:bCs/>
                <w:b/>
              </w:rPr>
              <w:t xml:space="preserve">Upper to</w:t>
            </w:r>
            <w:r>
              <w:rPr>
                <w:bCs/>
                <w:b/>
              </w:rPr>
              <w:t xml:space="preserve"> </w:t>
            </w:r>
            <w:r>
              <w:rPr>
                <w:bCs/>
                <w:b/>
              </w:rPr>
              <w:t xml:space="preserve">lower</w:t>
            </w:r>
            <w:r>
              <w:rPr>
                <w:bCs/>
                <w:b/>
              </w:rPr>
              <w:t xml:space="preserve"> </w:t>
            </w:r>
            <w:r>
              <w:rPr>
                <w:bCs/>
                <w:b/>
              </w:rPr>
              <w:t xml:space="preserve">ratio</w:t>
            </w:r>
          </w:p>
        </w:tc>
      </w:tr>
      <w:tr>
        <w:tc>
          <w:tcPr/>
          <w:p>
            <w:pPr>
              <w:pStyle w:val="Compact"/>
              <w:jc w:val="left"/>
            </w:pPr>
            <w:r>
              <w:t xml:space="preserve">0.002</w:t>
            </w:r>
          </w:p>
        </w:tc>
        <w:tc>
          <w:tcPr/>
          <w:p>
            <w:pPr>
              <w:pStyle w:val="Compact"/>
              <w:jc w:val="left"/>
            </w:pPr>
            <w:r>
              <w:t xml:space="preserve">0.99</w:t>
            </w:r>
          </w:p>
        </w:tc>
        <w:tc>
          <w:tcPr/>
          <w:p>
            <w:pPr>
              <w:pStyle w:val="Compact"/>
              <w:jc w:val="left"/>
            </w:pPr>
            <w:r>
              <w:t xml:space="preserve">309.8</w:t>
            </w:r>
          </w:p>
        </w:tc>
        <w:tc>
          <w:tcPr/>
          <w:p>
            <w:pPr>
              <w:pStyle w:val="Compact"/>
              <w:jc w:val="left"/>
            </w:pPr>
            <w:r>
              <w:t xml:space="preserve">2003.3</w:t>
            </w:r>
          </w:p>
        </w:tc>
        <w:tc>
          <w:tcPr/>
          <w:p>
            <w:pPr>
              <w:pStyle w:val="Compact"/>
              <w:jc w:val="left"/>
            </w:pPr>
            <w:r>
              <w:t xml:space="preserve">6.5</w:t>
            </w:r>
          </w:p>
        </w:tc>
      </w:tr>
      <w:tr>
        <w:tc>
          <w:tcPr/>
          <w:p>
            <w:pPr>
              <w:pStyle w:val="Compact"/>
              <w:jc w:val="left"/>
            </w:pPr>
            <w:r>
              <w:t xml:space="preserve">0.005</w:t>
            </w:r>
          </w:p>
        </w:tc>
        <w:tc>
          <w:tcPr/>
          <w:p>
            <w:pPr>
              <w:pStyle w:val="Compact"/>
              <w:jc w:val="left"/>
            </w:pPr>
            <w:r>
              <w:t xml:space="preserve">2.44</w:t>
            </w:r>
          </w:p>
        </w:tc>
        <w:tc>
          <w:tcPr/>
          <w:p>
            <w:pPr>
              <w:pStyle w:val="Compact"/>
              <w:jc w:val="left"/>
            </w:pPr>
            <w:r>
              <w:t xml:space="preserve">314.8</w:t>
            </w:r>
          </w:p>
        </w:tc>
        <w:tc>
          <w:tcPr/>
          <w:p>
            <w:pPr>
              <w:pStyle w:val="Compact"/>
              <w:jc w:val="left"/>
            </w:pPr>
            <w:r>
              <w:t xml:space="preserve">992.2</w:t>
            </w:r>
          </w:p>
        </w:tc>
        <w:tc>
          <w:tcPr/>
          <w:p>
            <w:pPr>
              <w:pStyle w:val="Compact"/>
              <w:jc w:val="left"/>
            </w:pPr>
            <w:r>
              <w:t xml:space="preserve">3.2</w:t>
            </w:r>
          </w:p>
        </w:tc>
      </w:tr>
      <w:tr>
        <w:tc>
          <w:tcPr/>
          <w:p>
            <w:pPr>
              <w:pStyle w:val="Compact"/>
              <w:jc w:val="left"/>
            </w:pPr>
            <w:r>
              <w:t xml:space="preserve">0.010</w:t>
            </w:r>
          </w:p>
        </w:tc>
        <w:tc>
          <w:tcPr/>
          <w:p>
            <w:pPr>
              <w:pStyle w:val="Compact"/>
              <w:jc w:val="left"/>
            </w:pPr>
            <w:r>
              <w:t xml:space="preserve">4.76</w:t>
            </w:r>
          </w:p>
        </w:tc>
        <w:tc>
          <w:tcPr/>
          <w:p>
            <w:pPr>
              <w:pStyle w:val="Compact"/>
              <w:jc w:val="left"/>
            </w:pPr>
            <w:r>
              <w:t xml:space="preserve">159.7</w:t>
            </w:r>
          </w:p>
        </w:tc>
        <w:tc>
          <w:tcPr/>
          <w:p>
            <w:pPr>
              <w:pStyle w:val="Compact"/>
              <w:jc w:val="left"/>
            </w:pPr>
            <w:r>
              <w:t xml:space="preserve">498.4</w:t>
            </w:r>
          </w:p>
        </w:tc>
        <w:tc>
          <w:tcPr/>
          <w:p>
            <w:pPr>
              <w:pStyle w:val="Compact"/>
              <w:jc w:val="left"/>
            </w:pPr>
            <w:r>
              <w:t xml:space="preserve">3.1</w:t>
            </w:r>
          </w:p>
        </w:tc>
      </w:tr>
      <w:tr>
        <w:tc>
          <w:tcPr/>
          <w:p>
            <w:pPr>
              <w:pStyle w:val="Compact"/>
              <w:jc w:val="left"/>
            </w:pPr>
            <w:r>
              <w:t xml:space="preserve">0.022</w:t>
            </w:r>
          </w:p>
        </w:tc>
        <w:tc>
          <w:tcPr/>
          <w:p>
            <w:pPr>
              <w:pStyle w:val="Compact"/>
              <w:jc w:val="left"/>
            </w:pPr>
            <w:r>
              <w:t xml:space="preserve">9.91</w:t>
            </w:r>
          </w:p>
        </w:tc>
        <w:tc>
          <w:tcPr/>
          <w:p>
            <w:pPr>
              <w:pStyle w:val="Compact"/>
              <w:jc w:val="left"/>
            </w:pPr>
            <w:r>
              <w:t xml:space="preserve">72.8</w:t>
            </w:r>
          </w:p>
        </w:tc>
        <w:tc>
          <w:tcPr/>
          <w:p>
            <w:pPr>
              <w:pStyle w:val="Compact"/>
              <w:jc w:val="left"/>
            </w:pPr>
            <w:r>
              <w:t xml:space="preserve">226.8</w:t>
            </w:r>
          </w:p>
        </w:tc>
        <w:tc>
          <w:tcPr/>
          <w:p>
            <w:pPr>
              <w:pStyle w:val="Compact"/>
              <w:jc w:val="left"/>
            </w:pPr>
            <w:r>
              <w:t xml:space="preserve">3.1</w:t>
            </w:r>
          </w:p>
        </w:tc>
      </w:tr>
      <w:tr>
        <w:tc>
          <w:tcPr/>
          <w:p>
            <w:pPr>
              <w:pStyle w:val="Compact"/>
              <w:jc w:val="left"/>
            </w:pPr>
            <w:r>
              <w:t xml:space="preserve">0.040</w:t>
            </w:r>
          </w:p>
        </w:tc>
        <w:tc>
          <w:tcPr/>
          <w:p>
            <w:pPr>
              <w:pStyle w:val="Compact"/>
              <w:jc w:val="left"/>
            </w:pPr>
            <w:r>
              <w:t xml:space="preserve">16.67</w:t>
            </w:r>
          </w:p>
        </w:tc>
        <w:tc>
          <w:tcPr/>
          <w:p>
            <w:pPr>
              <w:pStyle w:val="Compact"/>
              <w:jc w:val="left"/>
            </w:pPr>
            <w:r>
              <w:t xml:space="preserve">40.0</w:t>
            </w:r>
          </w:p>
        </w:tc>
        <w:tc>
          <w:tcPr/>
          <w:p>
            <w:pPr>
              <w:pStyle w:val="Compact"/>
              <w:jc w:val="left"/>
            </w:pPr>
            <w:r>
              <w:t xml:space="preserve">124.7</w:t>
            </w:r>
          </w:p>
        </w:tc>
        <w:tc>
          <w:tcPr/>
          <w:p>
            <w:pPr>
              <w:pStyle w:val="Compact"/>
              <w:jc w:val="left"/>
            </w:pPr>
            <w:r>
              <w:t xml:space="preserve">3.1</w:t>
            </w:r>
          </w:p>
        </w:tc>
      </w:tr>
    </w:tbl>
    <w:p>
      <w:pPr>
        <w:pStyle w:val="BodyText"/>
      </w:pPr>
      <w:r>
        <w:t xml:space="preserve">The lower boundary was calculated based on the assumption of complete</w:t>
      </w:r>
      <w:r>
        <w:t xml:space="preserve"> </w:t>
      </w:r>
      <w:r>
        <w:t xml:space="preserve">additivity (biochar in the mixture retains the same capacity as in the</w:t>
      </w:r>
      <w:r>
        <w:t xml:space="preserve"> </w:t>
      </w:r>
      <w:r>
        <w:t xml:space="preserve">isolated system) (6):</w:t>
      </w:r>
    </w:p>
    <w:p>
      <w:pPr>
        <w:pStyle w:val="BodyText"/>
      </w:pPr>
      <w:r>
        <w:drawing>
          <wp:inline>
            <wp:extent cx="3465576" cy="585216"/>
            <wp:effectExtent b="0" l="0" r="0" t="0"/>
            <wp:docPr descr="" title="" id="36" name="Picture"/>
            <a:graphic>
              <a:graphicData uri="http://schemas.openxmlformats.org/drawingml/2006/picture">
                <pic:pic>
                  <pic:nvPicPr>
                    <pic:cNvPr descr="eq_images/eq6.png" id="37" name="Picture"/>
                    <pic:cNvPicPr>
                      <a:picLocks noChangeArrowheads="1" noChangeAspect="1"/>
                    </pic:cNvPicPr>
                  </pic:nvPicPr>
                  <pic:blipFill>
                    <a:blip r:embed="rId35"/>
                    <a:stretch>
                      <a:fillRect/>
                    </a:stretch>
                  </pic:blipFill>
                  <pic:spPr bwMode="auto">
                    <a:xfrm>
                      <a:off x="0" y="0"/>
                      <a:ext cx="3465576" cy="585216"/>
                    </a:xfrm>
                    <a:prstGeom prst="rect">
                      <a:avLst/>
                    </a:prstGeom>
                    <a:noFill/>
                    <a:ln w="9525">
                      <a:noFill/>
                      <a:headEnd/>
                      <a:tailEnd/>
                    </a:ln>
                  </pic:spPr>
                </pic:pic>
              </a:graphicData>
            </a:graphic>
          </wp:inline>
        </w:drawing>
      </w:r>
    </w:p>
    <w:p>
      <w:pPr>
        <w:pStyle w:val="BodyText"/>
      </w:pPr>
      <w:r>
        <w:t xml:space="preserve">The upper boundary was calculated based on the assumption of complete</w:t>
      </w:r>
      <w:r>
        <w:t xml:space="preserve"> </w:t>
      </w:r>
      <w:r>
        <w:t xml:space="preserve">kinetic suppression of biochar (all Pb bound by the mixture is</w:t>
      </w:r>
      <w:r>
        <w:t xml:space="preserve"> </w:t>
      </w:r>
      <w:r>
        <w:t xml:space="preserve">attributed to HAP) (7):</w:t>
      </w:r>
    </w:p>
    <w:p>
      <w:pPr>
        <w:pStyle w:val="BodyText"/>
      </w:pPr>
      <w:r>
        <w:drawing>
          <wp:inline>
            <wp:extent cx="3200400" cy="585216"/>
            <wp:effectExtent b="0" l="0" r="0" t="0"/>
            <wp:docPr descr="" title="" id="39" name="Picture"/>
            <a:graphic>
              <a:graphicData uri="http://schemas.openxmlformats.org/drawingml/2006/picture">
                <pic:pic>
                  <pic:nvPicPr>
                    <pic:cNvPr descr="eq_images/eq7.png" id="40" name="Picture"/>
                    <pic:cNvPicPr>
                      <a:picLocks noChangeArrowheads="1" noChangeAspect="1"/>
                    </pic:cNvPicPr>
                  </pic:nvPicPr>
                  <pic:blipFill>
                    <a:blip r:embed="rId38"/>
                    <a:stretch>
                      <a:fillRect/>
                    </a:stretch>
                  </pic:blipFill>
                  <pic:spPr bwMode="auto">
                    <a:xfrm>
                      <a:off x="0" y="0"/>
                      <a:ext cx="3200400" cy="585216"/>
                    </a:xfrm>
                    <a:prstGeom prst="rect">
                      <a:avLst/>
                    </a:prstGeom>
                    <a:noFill/>
                    <a:ln w="9525">
                      <a:noFill/>
                      <a:headEnd/>
                      <a:tailEnd/>
                    </a:ln>
                  </pic:spPr>
                </pic:pic>
              </a:graphicData>
            </a:graphic>
          </wp:inline>
        </w:drawing>
      </w:r>
    </w:p>
    <w:p>
      <w:pPr>
        <w:pStyle w:val="BodyText"/>
      </w:pPr>
      <w:r>
        <w:t xml:space="preserve">Where C₀ is the initial Pb concentration in the solution (mg/L); Ce,mix</w:t>
      </w:r>
      <w:r>
        <w:t xml:space="preserve"> </w:t>
      </w:r>
      <w:r>
        <w:t xml:space="preserve">is the equilibrium (residual) Pb concentration in the solution for the</w:t>
      </w:r>
      <w:r>
        <w:t xml:space="preserve"> </w:t>
      </w:r>
      <w:r>
        <w:t xml:space="preserve">biochar + HAP mixture (mg/L); Ce,ctrl is the equilibrium Pb</w:t>
      </w:r>
      <w:r>
        <w:t xml:space="preserve"> </w:t>
      </w:r>
      <w:r>
        <w:t xml:space="preserve">concentration in the solution for the control (biochar only, mg/L); V is</w:t>
      </w:r>
      <w:r>
        <w:t xml:space="preserve"> </w:t>
      </w:r>
      <w:r>
        <w:t xml:space="preserve">the solution volume (L); mHAP is the mass of added HAP (g).</w:t>
      </w:r>
    </w:p>
    <w:p>
      <w:pPr>
        <w:pStyle w:val="BodyText"/>
      </w:pPr>
      <w:r>
        <w:t xml:space="preserve">Both estimates were performed using the mean Cₑ values from Table S9.</w:t>
      </w:r>
    </w:p>
    <w:p>
      <w:pPr>
        <w:pStyle w:val="BodyText"/>
      </w:pPr>
      <w:r>
        <w:t xml:space="preserve">For the initial concentration of C₀ = 10 mg/L, the estimation of the</w:t>
      </w:r>
      <w:r>
        <w:t xml:space="preserve"> </w:t>
      </w:r>
      <w:r>
        <w:t xml:space="preserve">limiting boundaries is not provided, as the absolute capacity values are</w:t>
      </w:r>
      <w:r>
        <w:t xml:space="preserve"> </w:t>
      </w:r>
      <w:r>
        <w:t xml:space="preserve">small, and the structural uncertainty of the contribution partitioning</w:t>
      </w:r>
      <w:r>
        <w:t xml:space="preserve"> </w:t>
      </w:r>
      <w:r>
        <w:t xml:space="preserve">method is commensurate with the determined values. The total amount of</w:t>
      </w:r>
      <w:r>
        <w:t xml:space="preserve"> </w:t>
      </w:r>
      <w:r>
        <w:t xml:space="preserve">Pb in the system at C₀ = 100 mg/L and V = 50 mL is 5.0 mg. Starting from</w:t>
      </w:r>
      <w:r>
        <w:t xml:space="preserve"> </w:t>
      </w:r>
      <w:r>
        <w:t xml:space="preserve">an HAP proportion of 2.44% of the total sorbent mass, 4.96 to 4.99 mg</w:t>
      </w:r>
      <w:r>
        <w:t xml:space="preserve"> </w:t>
      </w:r>
      <w:r>
        <w:t xml:space="preserve">out of 5.0 mg (99.2–99.8%) is bound. Thus, the calculated decrease in</w:t>
      </w:r>
      <w:r>
        <w:t xml:space="preserve"> </w:t>
      </w:r>
      <w:r>
        <w:t xml:space="preserve">the specific capacity of HAP with a further increase in its dose (across</w:t>
      </w:r>
      <w:r>
        <w:t xml:space="preserve"> </w:t>
      </w:r>
      <w:r>
        <w:t xml:space="preserve">both estimation boundaries) is caused by the approach toward the</w:t>
      </w:r>
      <w:r>
        <w:t xml:space="preserve"> </w:t>
      </w:r>
      <w:r>
        <w:t xml:space="preserve">complete exhaustion of the available lead pool in the solution, rather</w:t>
      </w:r>
      <w:r>
        <w:t xml:space="preserve"> </w:t>
      </w:r>
      <w:r>
        <w:t xml:space="preserve">than by an antagonistic interaction between the components of the binary</w:t>
      </w:r>
      <w:r>
        <w:t xml:space="preserve"> </w:t>
      </w:r>
      <w:r>
        <w:t xml:space="preserve">mixture. The interpretation of these results and the justification for</w:t>
      </w:r>
      <w:r>
        <w:t xml:space="preserve"> </w:t>
      </w:r>
      <w:r>
        <w:t xml:space="preserve">the choice between the boundary estimates are presented in the main text</w:t>
      </w:r>
      <w:r>
        <w:t xml:space="preserve"> </w:t>
      </w:r>
      <w:r>
        <w:t xml:space="preserve">of the article.</w:t>
      </w:r>
    </w:p>
    <w:p>
      <w:pPr>
        <w:pStyle w:val="BodyText"/>
      </w:pPr>
      <w:r>
        <w:rPr>
          <w:bCs/>
          <w:b/>
        </w:rPr>
        <w:t xml:space="preserve">References</w:t>
      </w:r>
    </w:p>
    <w:p>
      <w:pPr>
        <w:numPr>
          <w:ilvl w:val="0"/>
          <w:numId w:val="1001"/>
        </w:numPr>
      </w:pPr>
      <w:r>
        <w:t xml:space="preserve">ISO 17402:2008. Soil quality — Requirements and guidance for the selection and application of methods for the assessment of bioavailability of contaminants in soil and soil materials : published 2008-04. – Geneva : International Organization for Standardization, 2008. – 27 p. – URL:</w:t>
      </w:r>
      <w:r>
        <w:t xml:space="preserve"> </w:t>
      </w:r>
      <w:hyperlink r:id="rId41">
        <w:r>
          <w:rPr>
            <w:rStyle w:val="Hyperlink"/>
          </w:rPr>
          <w:t xml:space="preserve">https://www.iso.org/standard/38349.html</w:t>
        </w:r>
      </w:hyperlink>
      <w:r>
        <w:t xml:space="preserve"> </w:t>
      </w:r>
      <w:r>
        <w:t xml:space="preserve">(accessed: 20.07.2026).</w:t>
      </w:r>
    </w:p>
    <w:p>
      <w:pPr>
        <w:numPr>
          <w:ilvl w:val="0"/>
          <w:numId w:val="1001"/>
        </w:numPr>
      </w:pPr>
      <w:r>
        <w:t xml:space="preserve">Wang Z., Tang W., Ding X., Chen Z., He L., Yang L., Lin C. Different extractable pools of Cd and Pb in agricultural soil under amendments: Water-soluble concentration sensitively indicates metal availability // Journal of Environmental Sciences. – 2025. – Vol. 150. – P. 297–308. DOI: 10.1016/j.jes.2024.03.015.</w:t>
      </w:r>
    </w:p>
    <w:p>
      <w:pPr>
        <w:numPr>
          <w:ilvl w:val="0"/>
          <w:numId w:val="1001"/>
        </w:numPr>
      </w:pPr>
      <w:r>
        <w:t xml:space="preserve">Houba V. J. G., Temminghoff E. J. M., Gaikhorst G. A., Van Vark W. Soil analysis procedures using 0.01 M calcium chloride as extraction reagent // Communications in Soil Science and Plant Analysis. – 2000. – Vol. 31, Iss. 9-10. – P. 1299–1396. DOI: 10.1080/00103620009370514.</w:t>
      </w:r>
    </w:p>
    <w:p>
      <w:pPr>
        <w:numPr>
          <w:ilvl w:val="0"/>
          <w:numId w:val="1001"/>
        </w:numPr>
      </w:pPr>
      <w:r>
        <w:t xml:space="preserve">Meers E., Du Laing G., Tack F. M. G., Verloo M. G. Heavy metal displacement by exchangeable bases (Ca, Mg, K, Na) in soils and sediments // Soil Science. – 2009. – Vol. 174, Iss. 4. – P. 202–209. DOI: 10.1097/SS.0b013e3181a1795c.</w:t>
      </w:r>
    </w:p>
    <w:p>
      <w:pPr>
        <w:numPr>
          <w:ilvl w:val="0"/>
          <w:numId w:val="1001"/>
        </w:numPr>
      </w:pPr>
      <w:r>
        <w:t xml:space="preserve">Du L., Cuss C. W., Dyck M., Shotyk W. Size fractionation of dissolved (&lt; 0.45 µm) trace elements from extracted soil with water and CaCl2 using AF4-UV-ICPMS to predict their bioavailability // Geoderma. – 2023. – Vol. 440. – P. 116686. DOI: 10.1016/j.geoderma.2023.116686.</w:t>
      </w:r>
    </w:p>
    <w:p>
      <w:pPr>
        <w:numPr>
          <w:ilvl w:val="0"/>
          <w:numId w:val="1001"/>
        </w:numPr>
      </w:pPr>
      <w:r>
        <w:t xml:space="preserve">Wasay S. A., Parker W. J., VanGeel P. J. Removal of lead from a calcareous soil by chloride complexation // Soil and Sediment Contamination. – 2002. – Vol. 11, Iss. 6. – P. 841–859. DOI: 10.1080/20025891107087.</w:t>
      </w:r>
    </w:p>
    <w:p>
      <w:pPr>
        <w:numPr>
          <w:ilvl w:val="0"/>
          <w:numId w:val="1001"/>
        </w:numPr>
      </w:pPr>
      <w:r>
        <w:t xml:space="preserve">US EPA Method 1311. Toxicity Characteristic Leaching Procedure (TCLP). Part of Test Methods for Evaluating Solid Waste, Physical/Chemical Methods (SW-846). – Washington, DC : U.S. Environmental Protection Agency, 1992. – 35 p. – URL:</w:t>
      </w:r>
      <w:r>
        <w:t xml:space="preserve"> </w:t>
      </w:r>
      <w:hyperlink r:id="rId42">
        <w:r>
          <w:rPr>
            <w:rStyle w:val="Hyperlink"/>
          </w:rPr>
          <w:t xml:space="preserve">https://www.epa.gov/hw-sw846/sw-846-test-method-1311-toxicity-characteristic-leaching-procedure</w:t>
        </w:r>
      </w:hyperlink>
      <w:r>
        <w:t xml:space="preserve"> </w:t>
      </w:r>
      <w:r>
        <w:t xml:space="preserve">(accessed: 20.07.2026).</w:t>
      </w:r>
    </w:p>
    <w:p>
      <w:pPr>
        <w:numPr>
          <w:ilvl w:val="0"/>
          <w:numId w:val="1001"/>
        </w:numPr>
      </w:pPr>
      <w:r>
        <w:t xml:space="preserve">Rauret G., López-Sánchez J. F., Sahuquillo A., Rubio R., Davidson C., Ure A., Quevauviller Ph. Improvement of the BCR three step sequential extraction procedure prior to the certification of new sediment and soil reference materials // Journal of Environmental Monitoring. – 1999. – Vol. 1, Iss. 1. – P. 57–61. DOI: 10.1039/A807854E.</w:t>
      </w:r>
    </w:p>
    <w:p>
      <w:pPr>
        <w:numPr>
          <w:ilvl w:val="0"/>
          <w:numId w:val="1001"/>
        </w:numPr>
      </w:pPr>
      <w:r>
        <w:t xml:space="preserve">Ure A. M., Quevauviller Ph., Muntau H., Griepink B. Speciation of heavy metals in soils and sediments. An account of the improvement and harmonization of extraction techniques undertaken under the auspices of the BCR of the Commission of the European Communities // International Journal of Environmental Analytical Chemistry. – 1993. – Vol. 51, Iss. 1-4. – P. 135–151. DOI: 10.1080/03067319308027619.</w:t>
      </w:r>
    </w:p>
    <w:p>
      <w:pPr>
        <w:numPr>
          <w:ilvl w:val="0"/>
          <w:numId w:val="1001"/>
        </w:numPr>
      </w:pPr>
      <w:r>
        <w:t xml:space="preserve">ISO 21268-1:2019. Soil quality — Leaching procedures for subsequent chemical and ecotoxicological testing of soil and soil-like materials — Part 1: Batch test using a liquid to solid ratio of 2 l/kg dry matter : published 2019-10. – Geneva : International Organization for Standardization, 2019. – 32 p. – URL:</w:t>
      </w:r>
      <w:r>
        <w:t xml:space="preserve"> </w:t>
      </w:r>
      <w:hyperlink r:id="rId43">
        <w:r>
          <w:rPr>
            <w:rStyle w:val="Hyperlink"/>
          </w:rPr>
          <w:t xml:space="preserve">https://www.iso.org/standard/68250.html</w:t>
        </w:r>
      </w:hyperlink>
      <w:r>
        <w:t xml:space="preserve"> </w:t>
      </w:r>
      <w:r>
        <w:t xml:space="preserve">(accessed: 20.07.2026).</w:t>
      </w:r>
    </w:p>
    <w:p>
      <w:pPr>
        <w:numPr>
          <w:ilvl w:val="0"/>
          <w:numId w:val="1001"/>
        </w:numPr>
      </w:pPr>
      <w:r>
        <w:t xml:space="preserve">ISO 21268-2:2019. Soil quality — Leaching procedures for subsequent chemical and ecotoxicological testing of soil and soil-like materials — Part 2: Batch test using a liquid to solid ratio of 10 l/kg dry matter : published 2019-10. – Geneva : International Organization for Standardization, 2019. – 32 p. – URL:</w:t>
      </w:r>
      <w:r>
        <w:t xml:space="preserve"> </w:t>
      </w:r>
      <w:hyperlink r:id="rId44">
        <w:r>
          <w:rPr>
            <w:rStyle w:val="Hyperlink"/>
          </w:rPr>
          <w:t xml:space="preserve">https://www.iso.org/standard/68251.html</w:t>
        </w:r>
      </w:hyperlink>
      <w:r>
        <w:t xml:space="preserve"> </w:t>
      </w:r>
      <w:r>
        <w:t xml:space="preserve">(accessed: 20.07.2026).</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2"/>
        <w:szCs w:val="22"/>
        <w:lang w:bidi="ar-SA" w:eastAsia="en-US" w:val="en-US"/>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hyperlink" Id="rId42" Target="https://www.epa.gov/hw-sw846/sw-846-test-method-1311-toxicity-characteristic-leaching-procedure" TargetMode="External" /><Relationship Type="http://schemas.openxmlformats.org/officeDocument/2006/relationships/hyperlink" Id="rId41" Target="https://www.iso.org/standard/38349.html" TargetMode="External" /><Relationship Type="http://schemas.openxmlformats.org/officeDocument/2006/relationships/hyperlink" Id="rId43" Target="https://www.iso.org/standard/68250.html" TargetMode="External" /><Relationship Type="http://schemas.openxmlformats.org/officeDocument/2006/relationships/hyperlink" Id="rId44" Target="https://www.iso.org/standard/68251.html" TargetMode="External" /></Relationships>
</file>

<file path=word/_rels/footnotes.xml.rels><?xml version="1.0" encoding="UTF-8"?><Relationships xmlns="http://schemas.openxmlformats.org/package/2006/relationships"><Relationship Type="http://schemas.openxmlformats.org/officeDocument/2006/relationships/hyperlink" Id="rId42" Target="https://www.epa.gov/hw-sw846/sw-846-test-method-1311-toxicity-characteristic-leaching-procedure" TargetMode="External" /><Relationship Type="http://schemas.openxmlformats.org/officeDocument/2006/relationships/hyperlink" Id="rId41" Target="https://www.iso.org/standard/38349.html" TargetMode="External" /><Relationship Type="http://schemas.openxmlformats.org/officeDocument/2006/relationships/hyperlink" Id="rId43" Target="https://www.iso.org/standard/68250.html" TargetMode="External" /><Relationship Type="http://schemas.openxmlformats.org/officeDocument/2006/relationships/hyperlink" Id="rId44" Target="https://www.iso.org/standard/682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2026-08-14T05:45:22Z</dcterms:created>
  <dcterms:modified xsi:type="dcterms:W3CDTF">2026-08-14T05:45:22Z</dcterms:modified>
</cp:coreProperties>
</file>

<file path=docProps/custom.xml><?xml version="1.0" encoding="utf-8"?>
<Properties xmlns="http://schemas.openxmlformats.org/officeDocument/2006/custom-properties" xmlns:vt="http://schemas.openxmlformats.org/officeDocument/2006/docPropsVTypes"/>
</file>