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6E252">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Table.</w:t>
      </w:r>
      <w:r>
        <w:rPr>
          <w:rFonts w:hint="eastAsia" w:ascii="Times New Roman" w:hAnsi="Times New Roman" w:eastAsia="宋体" w:cs="Times New Roman"/>
          <w:b/>
          <w:bCs/>
          <w:sz w:val="20"/>
          <w:szCs w:val="20"/>
          <w:lang w:val="en-US" w:eastAsia="zh-CN"/>
        </w:rPr>
        <w:t>1</w:t>
      </w:r>
      <w:r>
        <w:rPr>
          <w:rFonts w:ascii="Times New Roman" w:hAnsi="Times New Roman" w:eastAsia="Times New Roman" w:cs="Times New Roman"/>
          <w:b/>
          <w:bCs/>
          <w:sz w:val="20"/>
          <w:szCs w:val="20"/>
        </w:rPr>
        <w:t xml:space="preserve"> Composite Scoring System for General Condition Assessment</w:t>
      </w:r>
    </w:p>
    <w:tbl>
      <w:tblPr>
        <w:tblStyle w:val="3"/>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2081"/>
        <w:gridCol w:w="2081"/>
        <w:gridCol w:w="2082"/>
        <w:gridCol w:w="2082"/>
      </w:tblGrid>
      <w:tr w14:paraId="0023EC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250" w:type="pct"/>
            <w:tcBorders>
              <w:bottom w:val="single" w:color="auto" w:sz="8" w:space="0"/>
            </w:tcBorders>
            <w:shd w:val="solid" w:color="D9E2F3" w:fill="auto"/>
            <w:vAlign w:val="center"/>
          </w:tcPr>
          <w:p w14:paraId="1F15474C">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Domain</w:t>
            </w:r>
          </w:p>
        </w:tc>
        <w:tc>
          <w:tcPr>
            <w:tcW w:w="1250" w:type="pct"/>
            <w:tcBorders>
              <w:bottom w:val="single" w:color="auto" w:sz="8" w:space="0"/>
            </w:tcBorders>
            <w:shd w:val="solid" w:color="D9E2F3" w:fill="auto"/>
            <w:vAlign w:val="center"/>
          </w:tcPr>
          <w:p w14:paraId="0E5CEA7B">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2 Points</w:t>
            </w:r>
          </w:p>
        </w:tc>
        <w:tc>
          <w:tcPr>
            <w:tcW w:w="1250" w:type="pct"/>
            <w:tcBorders>
              <w:bottom w:val="single" w:color="auto" w:sz="8" w:space="0"/>
            </w:tcBorders>
            <w:shd w:val="solid" w:color="D9E2F3" w:fill="auto"/>
            <w:vAlign w:val="center"/>
          </w:tcPr>
          <w:p w14:paraId="1D9C292F">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1 Point</w:t>
            </w:r>
          </w:p>
        </w:tc>
        <w:tc>
          <w:tcPr>
            <w:tcW w:w="1250" w:type="pct"/>
            <w:tcBorders>
              <w:bottom w:val="single" w:color="auto" w:sz="8" w:space="0"/>
            </w:tcBorders>
            <w:shd w:val="solid" w:color="D9E2F3" w:fill="auto"/>
            <w:vAlign w:val="center"/>
          </w:tcPr>
          <w:p w14:paraId="0AE4A1E8">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0 Points</w:t>
            </w:r>
          </w:p>
        </w:tc>
      </w:tr>
      <w:tr w14:paraId="765178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250" w:type="pct"/>
            <w:tcBorders>
              <w:top w:val="single" w:color="auto" w:sz="8" w:space="0"/>
              <w:tl2br w:val="nil"/>
              <w:tr2bl w:val="nil"/>
            </w:tcBorders>
            <w:vAlign w:val="center"/>
          </w:tcPr>
          <w:p w14:paraId="7D3DF5FC">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Mental status</w:t>
            </w:r>
          </w:p>
        </w:tc>
        <w:tc>
          <w:tcPr>
            <w:tcW w:w="1250" w:type="pct"/>
            <w:tcBorders>
              <w:top w:val="single" w:color="auto" w:sz="8" w:space="0"/>
              <w:tl2br w:val="nil"/>
              <w:tr2bl w:val="nil"/>
            </w:tcBorders>
            <w:vAlign w:val="center"/>
          </w:tcPr>
          <w:p w14:paraId="4D12B0E5">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Alert and responsive</w:t>
            </w:r>
          </w:p>
        </w:tc>
        <w:tc>
          <w:tcPr>
            <w:tcW w:w="1250" w:type="pct"/>
            <w:tcBorders>
              <w:top w:val="single" w:color="auto" w:sz="8" w:space="0"/>
              <w:tl2br w:val="nil"/>
              <w:tr2bl w:val="nil"/>
            </w:tcBorders>
            <w:vAlign w:val="center"/>
          </w:tcPr>
          <w:p w14:paraId="61191C14">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Lethargic</w:t>
            </w:r>
          </w:p>
        </w:tc>
        <w:tc>
          <w:tcPr>
            <w:tcW w:w="1250" w:type="pct"/>
            <w:tcBorders>
              <w:top w:val="single" w:color="auto" w:sz="8" w:space="0"/>
              <w:tl2br w:val="nil"/>
              <w:tr2bl w:val="nil"/>
            </w:tcBorders>
            <w:vAlign w:val="center"/>
          </w:tcPr>
          <w:p w14:paraId="1B5711C5">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Obtunded / non-responsive</w:t>
            </w:r>
          </w:p>
        </w:tc>
      </w:tr>
      <w:tr w14:paraId="7DCAFD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250" w:type="pct"/>
            <w:tcBorders>
              <w:tl2br w:val="nil"/>
              <w:tr2bl w:val="nil"/>
            </w:tcBorders>
            <w:vAlign w:val="center"/>
          </w:tcPr>
          <w:p w14:paraId="2E8D6599">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Food intake</w:t>
            </w:r>
          </w:p>
        </w:tc>
        <w:tc>
          <w:tcPr>
            <w:tcW w:w="1250" w:type="pct"/>
            <w:tcBorders>
              <w:tl2br w:val="nil"/>
              <w:tr2bl w:val="nil"/>
            </w:tcBorders>
            <w:vAlign w:val="center"/>
          </w:tcPr>
          <w:p w14:paraId="017F5F8D">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Normal</w:t>
            </w:r>
          </w:p>
        </w:tc>
        <w:tc>
          <w:tcPr>
            <w:tcW w:w="1250" w:type="pct"/>
            <w:tcBorders>
              <w:tl2br w:val="nil"/>
              <w:tr2bl w:val="nil"/>
            </w:tcBorders>
            <w:vAlign w:val="center"/>
          </w:tcPr>
          <w:p w14:paraId="0E8143D9">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Reduced by ~50%</w:t>
            </w:r>
          </w:p>
        </w:tc>
        <w:tc>
          <w:tcPr>
            <w:tcW w:w="1250" w:type="pct"/>
            <w:tcBorders>
              <w:tl2br w:val="nil"/>
              <w:tr2bl w:val="nil"/>
            </w:tcBorders>
            <w:vAlign w:val="center"/>
          </w:tcPr>
          <w:p w14:paraId="101481FA">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Minimal or absent</w:t>
            </w:r>
          </w:p>
        </w:tc>
      </w:tr>
      <w:tr w14:paraId="626C9B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250" w:type="pct"/>
            <w:tcBorders>
              <w:tl2br w:val="nil"/>
              <w:tr2bl w:val="nil"/>
            </w:tcBorders>
            <w:vAlign w:val="center"/>
          </w:tcPr>
          <w:p w14:paraId="6F7B0082">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Spontaneous activity</w:t>
            </w:r>
          </w:p>
        </w:tc>
        <w:tc>
          <w:tcPr>
            <w:tcW w:w="1250" w:type="pct"/>
            <w:tcBorders>
              <w:tl2br w:val="nil"/>
              <w:tr2bl w:val="nil"/>
            </w:tcBorders>
            <w:vAlign w:val="center"/>
          </w:tcPr>
          <w:p w14:paraId="5CCF7A61">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Unrestricted movement</w:t>
            </w:r>
          </w:p>
        </w:tc>
        <w:tc>
          <w:tcPr>
            <w:tcW w:w="1250" w:type="pct"/>
            <w:tcBorders>
              <w:tl2br w:val="nil"/>
              <w:tr2bl w:val="nil"/>
            </w:tcBorders>
            <w:vAlign w:val="center"/>
          </w:tcPr>
          <w:p w14:paraId="1E96BE85">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Moderately restricted</w:t>
            </w:r>
          </w:p>
        </w:tc>
        <w:tc>
          <w:tcPr>
            <w:tcW w:w="1250" w:type="pct"/>
            <w:tcBorders>
              <w:tl2br w:val="nil"/>
              <w:tr2bl w:val="nil"/>
            </w:tcBorders>
            <w:vAlign w:val="center"/>
          </w:tcPr>
          <w:p w14:paraId="1817C1A5">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Severely reduced</w:t>
            </w:r>
          </w:p>
        </w:tc>
      </w:tr>
      <w:tr w14:paraId="7C2BBA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250" w:type="pct"/>
            <w:tcBorders>
              <w:tl2br w:val="nil"/>
              <w:tr2bl w:val="nil"/>
            </w:tcBorders>
            <w:vAlign w:val="center"/>
          </w:tcPr>
          <w:p w14:paraId="7BA1DE89">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Response to external stimuli</w:t>
            </w:r>
          </w:p>
        </w:tc>
        <w:tc>
          <w:tcPr>
            <w:tcW w:w="1250" w:type="pct"/>
            <w:tcBorders>
              <w:tl2br w:val="nil"/>
              <w:tr2bl w:val="nil"/>
            </w:tcBorders>
            <w:vAlign w:val="center"/>
          </w:tcPr>
          <w:p w14:paraId="0BE33086">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Prompt response</w:t>
            </w:r>
          </w:p>
        </w:tc>
        <w:tc>
          <w:tcPr>
            <w:tcW w:w="1250" w:type="pct"/>
            <w:tcBorders>
              <w:tl2br w:val="nil"/>
              <w:tr2bl w:val="nil"/>
            </w:tcBorders>
            <w:vAlign w:val="center"/>
          </w:tcPr>
          <w:p w14:paraId="25C936CF">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Diminished response</w:t>
            </w:r>
          </w:p>
        </w:tc>
        <w:tc>
          <w:tcPr>
            <w:tcW w:w="1250" w:type="pct"/>
            <w:tcBorders>
              <w:tl2br w:val="nil"/>
              <w:tr2bl w:val="nil"/>
            </w:tcBorders>
            <w:vAlign w:val="center"/>
          </w:tcPr>
          <w:p w14:paraId="33486A88">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No response</w:t>
            </w:r>
          </w:p>
        </w:tc>
      </w:tr>
    </w:tbl>
    <w:p w14:paraId="3494F0BC">
      <w:pPr>
        <w:wordWrap w:val="0"/>
        <w:spacing w:before="200" w:after="100" w:line="360" w:lineRule="auto"/>
        <w:rPr>
          <w:rFonts w:ascii="Times New Roman" w:hAnsi="Times New Roman" w:eastAsia="Times New Roman" w:cs="Times New Roman"/>
          <w:b/>
          <w:bCs/>
          <w:sz w:val="20"/>
          <w:szCs w:val="20"/>
        </w:rPr>
      </w:pPr>
      <w:r>
        <w:rPr>
          <w:rFonts w:ascii="Times New Roman" w:hAnsi="Times New Roman" w:eastAsia="Times New Roman" w:cs="Times New Roman"/>
          <w:b/>
          <w:bCs/>
          <w:i/>
          <w:iCs/>
          <w:sz w:val="20"/>
          <w:szCs w:val="20"/>
        </w:rPr>
        <w:t>Note: Higher scores indicate better general condition. Maximum total score = 8 points.</w:t>
      </w:r>
    </w:p>
    <w:p w14:paraId="30EE933E"/>
    <w:p w14:paraId="68AAE130"/>
    <w:p w14:paraId="1CBFBF3B">
      <w:pPr>
        <w:spacing w:before="200" w:after="100" w:line="360" w:lineRule="auto"/>
        <w:jc w:val="both"/>
        <w:rPr>
          <w:rFonts w:hint="eastAsia"/>
        </w:rPr>
      </w:pPr>
      <w:r>
        <w:rPr>
          <w:rFonts w:ascii="Times New Roman" w:hAnsi="Times New Roman" w:eastAsia="Times New Roman" w:cs="Times New Roman"/>
          <w:b/>
          <w:bCs/>
          <w:sz w:val="20"/>
          <w:szCs w:val="20"/>
        </w:rPr>
        <w:t>Table</w:t>
      </w:r>
      <w:r>
        <w:rPr>
          <w:rFonts w:hint="eastAsia" w:ascii="Times New Roman" w:hAnsi="Times New Roman" w:eastAsia="宋体" w:cs="Times New Roman"/>
          <w:b/>
          <w:bCs/>
          <w:sz w:val="20"/>
          <w:szCs w:val="20"/>
          <w:lang w:val="en-US" w:eastAsia="zh-CN"/>
        </w:rPr>
        <w:t>.2</w:t>
      </w:r>
      <w:r>
        <w:rPr>
          <w:rFonts w:ascii="Times New Roman" w:hAnsi="Times New Roman" w:eastAsia="Times New Roman" w:cs="Times New Roman"/>
          <w:b/>
          <w:bCs/>
          <w:sz w:val="20"/>
          <w:szCs w:val="20"/>
        </w:rPr>
        <w:t xml:space="preserve"> Animal General Condition Scores Over Time (n = 10)</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915"/>
        <w:gridCol w:w="2082"/>
        <w:gridCol w:w="1248"/>
        <w:gridCol w:w="2082"/>
      </w:tblGrid>
      <w:tr w14:paraId="3E09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50" w:type="pct"/>
            <w:tcBorders>
              <w:top w:val="single" w:color="auto" w:sz="12" w:space="0"/>
              <w:left w:val="nil"/>
              <w:bottom w:val="single" w:color="auto" w:sz="8" w:space="0"/>
              <w:right w:val="nil"/>
            </w:tcBorders>
            <w:shd w:val="solid" w:color="D9E2F3" w:fill="auto"/>
            <w:vAlign w:val="center"/>
          </w:tcPr>
          <w:p w14:paraId="03180926">
            <w:pPr>
              <w:spacing w:before="30" w:after="30" w:line="360" w:lineRule="auto"/>
              <w:jc w:val="center"/>
              <w:rPr>
                <w:rFonts w:hint="eastAsia"/>
              </w:rPr>
            </w:pPr>
            <w:r>
              <w:rPr>
                <w:rFonts w:ascii="Times New Roman" w:hAnsi="Times New Roman" w:eastAsia="Times New Roman" w:cs="Times New Roman"/>
                <w:b/>
                <w:bCs/>
                <w:sz w:val="20"/>
                <w:szCs w:val="20"/>
              </w:rPr>
              <w:t>Time Point</w:t>
            </w:r>
          </w:p>
        </w:tc>
        <w:tc>
          <w:tcPr>
            <w:tcW w:w="1250" w:type="pct"/>
            <w:tcBorders>
              <w:top w:val="single" w:color="auto" w:sz="12" w:space="0"/>
              <w:left w:val="nil"/>
              <w:bottom w:val="single" w:color="auto" w:sz="8" w:space="0"/>
              <w:right w:val="nil"/>
            </w:tcBorders>
            <w:shd w:val="solid" w:color="D9E2F3" w:fill="auto"/>
            <w:vAlign w:val="center"/>
          </w:tcPr>
          <w:p w14:paraId="4C23B64E">
            <w:pPr>
              <w:spacing w:before="30" w:after="30" w:line="360" w:lineRule="auto"/>
              <w:jc w:val="center"/>
              <w:rPr>
                <w:rFonts w:hint="eastAsia"/>
              </w:rPr>
            </w:pPr>
            <w:r>
              <w:rPr>
                <w:rFonts w:ascii="Times New Roman" w:hAnsi="Times New Roman" w:eastAsia="Times New Roman" w:cs="Times New Roman"/>
                <w:b/>
                <w:bCs/>
                <w:sz w:val="20"/>
                <w:szCs w:val="20"/>
              </w:rPr>
              <w:t>Mean Score ± SD</w:t>
            </w:r>
          </w:p>
        </w:tc>
        <w:tc>
          <w:tcPr>
            <w:tcW w:w="750" w:type="pct"/>
            <w:tcBorders>
              <w:top w:val="single" w:color="auto" w:sz="12" w:space="0"/>
              <w:left w:val="nil"/>
              <w:bottom w:val="single" w:color="auto" w:sz="8" w:space="0"/>
              <w:right w:val="nil"/>
            </w:tcBorders>
            <w:shd w:val="solid" w:color="D9E2F3" w:fill="auto"/>
            <w:vAlign w:val="center"/>
          </w:tcPr>
          <w:p w14:paraId="1115B914">
            <w:pPr>
              <w:spacing w:before="30" w:after="30" w:line="360" w:lineRule="auto"/>
              <w:jc w:val="center"/>
              <w:rPr>
                <w:rFonts w:hint="eastAsia"/>
              </w:rPr>
            </w:pPr>
            <w:r>
              <w:rPr>
                <w:rFonts w:ascii="Times New Roman" w:hAnsi="Times New Roman" w:eastAsia="Times New Roman" w:cs="Times New Roman"/>
                <w:b/>
                <w:bCs/>
                <w:sz w:val="20"/>
                <w:szCs w:val="20"/>
              </w:rPr>
              <w:t>Range</w:t>
            </w:r>
          </w:p>
        </w:tc>
        <w:tc>
          <w:tcPr>
            <w:tcW w:w="1250" w:type="pct"/>
            <w:tcBorders>
              <w:top w:val="single" w:color="auto" w:sz="12" w:space="0"/>
              <w:left w:val="nil"/>
              <w:bottom w:val="single" w:color="auto" w:sz="8" w:space="0"/>
              <w:right w:val="nil"/>
            </w:tcBorders>
            <w:shd w:val="solid" w:color="D9E2F3" w:fill="auto"/>
            <w:vAlign w:val="center"/>
          </w:tcPr>
          <w:p w14:paraId="0969E1D3">
            <w:pPr>
              <w:spacing w:before="30" w:after="30" w:line="360" w:lineRule="auto"/>
              <w:jc w:val="center"/>
              <w:rPr>
                <w:rFonts w:hint="eastAsia"/>
              </w:rPr>
            </w:pPr>
            <w:r>
              <w:rPr>
                <w:rFonts w:ascii="Times New Roman" w:hAnsi="Times New Roman" w:eastAsia="Times New Roman" w:cs="Times New Roman"/>
                <w:b/>
                <w:bCs/>
                <w:i/>
                <w:iCs/>
                <w:sz w:val="20"/>
                <w:szCs w:val="20"/>
              </w:rPr>
              <w:t>P</w:t>
            </w:r>
            <w:r>
              <w:rPr>
                <w:rFonts w:ascii="Times New Roman" w:hAnsi="Times New Roman" w:eastAsia="Times New Roman" w:cs="Times New Roman"/>
                <w:b/>
                <w:bCs/>
                <w:sz w:val="20"/>
                <w:szCs w:val="20"/>
              </w:rPr>
              <w:t xml:space="preserve"> Value*</w:t>
            </w:r>
          </w:p>
        </w:tc>
      </w:tr>
      <w:tr w14:paraId="640A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50" w:type="pct"/>
            <w:tcBorders>
              <w:top w:val="single" w:color="auto" w:sz="8" w:space="0"/>
              <w:left w:val="nil"/>
              <w:bottom w:val="nil"/>
              <w:right w:val="nil"/>
            </w:tcBorders>
            <w:vAlign w:val="center"/>
          </w:tcPr>
          <w:p w14:paraId="7F1A19B0">
            <w:pPr>
              <w:spacing w:before="30" w:after="30" w:line="360" w:lineRule="auto"/>
              <w:jc w:val="center"/>
              <w:rPr>
                <w:rFonts w:hint="eastAsia"/>
              </w:rPr>
            </w:pPr>
            <w:r>
              <w:rPr>
                <w:rFonts w:ascii="Times New Roman" w:hAnsi="Times New Roman" w:eastAsia="Times New Roman" w:cs="Times New Roman"/>
                <w:sz w:val="20"/>
                <w:szCs w:val="20"/>
              </w:rPr>
              <w:t>Preoperative Day 1</w:t>
            </w:r>
          </w:p>
        </w:tc>
        <w:tc>
          <w:tcPr>
            <w:tcW w:w="1250" w:type="pct"/>
            <w:tcBorders>
              <w:top w:val="single" w:color="auto" w:sz="8" w:space="0"/>
              <w:left w:val="nil"/>
              <w:bottom w:val="nil"/>
              <w:right w:val="nil"/>
            </w:tcBorders>
            <w:vAlign w:val="center"/>
          </w:tcPr>
          <w:p w14:paraId="2758724B">
            <w:pPr>
              <w:spacing w:before="30" w:after="30" w:line="360" w:lineRule="auto"/>
              <w:jc w:val="center"/>
              <w:rPr>
                <w:rFonts w:hint="eastAsia"/>
              </w:rPr>
            </w:pPr>
            <w:r>
              <w:rPr>
                <w:rFonts w:ascii="Times New Roman" w:hAnsi="Times New Roman" w:eastAsia="Times New Roman" w:cs="Times New Roman"/>
                <w:sz w:val="20"/>
                <w:szCs w:val="20"/>
              </w:rPr>
              <w:t>8.00 ± 0.00</w:t>
            </w:r>
          </w:p>
        </w:tc>
        <w:tc>
          <w:tcPr>
            <w:tcW w:w="750" w:type="pct"/>
            <w:tcBorders>
              <w:top w:val="single" w:color="auto" w:sz="8" w:space="0"/>
              <w:left w:val="nil"/>
              <w:bottom w:val="nil"/>
              <w:right w:val="nil"/>
            </w:tcBorders>
            <w:vAlign w:val="center"/>
          </w:tcPr>
          <w:p w14:paraId="07257CBE">
            <w:pPr>
              <w:spacing w:before="30" w:after="30" w:line="360" w:lineRule="auto"/>
              <w:jc w:val="center"/>
              <w:rPr>
                <w:rFonts w:hint="eastAsia"/>
              </w:rPr>
            </w:pPr>
            <w:r>
              <w:rPr>
                <w:rFonts w:ascii="Times New Roman" w:hAnsi="Times New Roman" w:eastAsia="Times New Roman" w:cs="Times New Roman"/>
                <w:sz w:val="20"/>
                <w:szCs w:val="20"/>
              </w:rPr>
              <w:t>8 – 8</w:t>
            </w:r>
          </w:p>
        </w:tc>
        <w:tc>
          <w:tcPr>
            <w:tcW w:w="1250" w:type="pct"/>
            <w:tcBorders>
              <w:top w:val="single" w:color="auto" w:sz="8" w:space="0"/>
              <w:left w:val="nil"/>
              <w:bottom w:val="nil"/>
              <w:right w:val="nil"/>
            </w:tcBorders>
            <w:vAlign w:val="center"/>
          </w:tcPr>
          <w:p w14:paraId="442F422A">
            <w:pPr>
              <w:spacing w:before="30" w:after="30" w:line="360" w:lineRule="auto"/>
              <w:jc w:val="center"/>
              <w:rPr>
                <w:rFonts w:hint="eastAsia"/>
              </w:rPr>
            </w:pPr>
            <w:r>
              <w:rPr>
                <w:rFonts w:ascii="Times New Roman" w:hAnsi="Times New Roman" w:eastAsia="Times New Roman" w:cs="Times New Roman"/>
                <w:sz w:val="20"/>
                <w:szCs w:val="20"/>
              </w:rPr>
              <w:t>—</w:t>
            </w:r>
          </w:p>
        </w:tc>
      </w:tr>
      <w:tr w14:paraId="0092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50" w:type="pct"/>
            <w:tcBorders>
              <w:top w:val="nil"/>
              <w:left w:val="nil"/>
              <w:bottom w:val="nil"/>
              <w:right w:val="nil"/>
            </w:tcBorders>
            <w:vAlign w:val="center"/>
          </w:tcPr>
          <w:p w14:paraId="7499C544">
            <w:pPr>
              <w:spacing w:before="30" w:after="30" w:line="360" w:lineRule="auto"/>
              <w:jc w:val="center"/>
              <w:rPr>
                <w:rFonts w:hint="eastAsia"/>
              </w:rPr>
            </w:pPr>
            <w:r>
              <w:rPr>
                <w:rFonts w:ascii="Times New Roman" w:hAnsi="Times New Roman" w:eastAsia="Times New Roman" w:cs="Times New Roman"/>
                <w:sz w:val="20"/>
                <w:szCs w:val="20"/>
              </w:rPr>
              <w:t>Postoperative Day 1</w:t>
            </w:r>
          </w:p>
        </w:tc>
        <w:tc>
          <w:tcPr>
            <w:tcW w:w="1250" w:type="pct"/>
            <w:tcBorders>
              <w:top w:val="nil"/>
              <w:left w:val="nil"/>
              <w:bottom w:val="nil"/>
              <w:right w:val="nil"/>
            </w:tcBorders>
            <w:vAlign w:val="center"/>
          </w:tcPr>
          <w:p w14:paraId="4A31C042">
            <w:pPr>
              <w:spacing w:before="30" w:after="30" w:line="360" w:lineRule="auto"/>
              <w:jc w:val="center"/>
              <w:rPr>
                <w:rFonts w:hint="eastAsia"/>
              </w:rPr>
            </w:pPr>
            <w:r>
              <w:rPr>
                <w:rFonts w:ascii="Times New Roman" w:hAnsi="Times New Roman" w:eastAsia="Times New Roman" w:cs="Times New Roman"/>
                <w:sz w:val="20"/>
                <w:szCs w:val="20"/>
              </w:rPr>
              <w:t>5.34 ± 0.47</w:t>
            </w:r>
          </w:p>
        </w:tc>
        <w:tc>
          <w:tcPr>
            <w:tcW w:w="750" w:type="pct"/>
            <w:tcBorders>
              <w:top w:val="nil"/>
              <w:left w:val="nil"/>
              <w:bottom w:val="nil"/>
              <w:right w:val="nil"/>
            </w:tcBorders>
            <w:vAlign w:val="center"/>
          </w:tcPr>
          <w:p w14:paraId="71A975DF">
            <w:pPr>
              <w:spacing w:before="30" w:after="30" w:line="360" w:lineRule="auto"/>
              <w:jc w:val="center"/>
              <w:rPr>
                <w:rFonts w:hint="eastAsia"/>
              </w:rPr>
            </w:pPr>
            <w:r>
              <w:rPr>
                <w:rFonts w:ascii="Times New Roman" w:hAnsi="Times New Roman" w:eastAsia="Times New Roman" w:cs="Times New Roman"/>
                <w:sz w:val="20"/>
                <w:szCs w:val="20"/>
              </w:rPr>
              <w:t>5 – 6</w:t>
            </w:r>
          </w:p>
        </w:tc>
        <w:tc>
          <w:tcPr>
            <w:tcW w:w="1250" w:type="pct"/>
            <w:tcBorders>
              <w:top w:val="nil"/>
              <w:left w:val="nil"/>
              <w:bottom w:val="nil"/>
              <w:right w:val="nil"/>
            </w:tcBorders>
            <w:vAlign w:val="center"/>
          </w:tcPr>
          <w:p w14:paraId="0D1BDA4F">
            <w:pPr>
              <w:spacing w:before="30" w:after="30" w:line="360" w:lineRule="auto"/>
              <w:jc w:val="center"/>
              <w:rPr>
                <w:rFonts w:hint="eastAsia"/>
              </w:rPr>
            </w:pPr>
            <w:r>
              <w:rPr>
                <w:rFonts w:ascii="Times New Roman" w:hAnsi="Times New Roman" w:eastAsia="Times New Roman" w:cs="Times New Roman"/>
                <w:sz w:val="20"/>
                <w:szCs w:val="20"/>
              </w:rPr>
              <w:t>&lt; 0.05</w:t>
            </w:r>
          </w:p>
        </w:tc>
      </w:tr>
      <w:tr w14:paraId="66E5E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50" w:type="pct"/>
            <w:tcBorders>
              <w:top w:val="nil"/>
              <w:left w:val="nil"/>
              <w:bottom w:val="nil"/>
              <w:right w:val="nil"/>
            </w:tcBorders>
            <w:vAlign w:val="center"/>
          </w:tcPr>
          <w:p w14:paraId="1A71C331">
            <w:pPr>
              <w:spacing w:before="30" w:after="30" w:line="360" w:lineRule="auto"/>
              <w:jc w:val="center"/>
              <w:rPr>
                <w:rFonts w:hint="eastAsia"/>
              </w:rPr>
            </w:pPr>
            <w:r>
              <w:rPr>
                <w:rFonts w:ascii="Times New Roman" w:hAnsi="Times New Roman" w:eastAsia="Times New Roman" w:cs="Times New Roman"/>
                <w:sz w:val="20"/>
                <w:szCs w:val="20"/>
              </w:rPr>
              <w:t>Postoperative Day 3</w:t>
            </w:r>
          </w:p>
        </w:tc>
        <w:tc>
          <w:tcPr>
            <w:tcW w:w="1250" w:type="pct"/>
            <w:tcBorders>
              <w:top w:val="nil"/>
              <w:left w:val="nil"/>
              <w:bottom w:val="nil"/>
              <w:right w:val="nil"/>
            </w:tcBorders>
            <w:vAlign w:val="center"/>
          </w:tcPr>
          <w:p w14:paraId="1959F038">
            <w:pPr>
              <w:spacing w:before="30" w:after="30" w:line="360" w:lineRule="auto"/>
              <w:jc w:val="center"/>
              <w:rPr>
                <w:rFonts w:hint="eastAsia"/>
              </w:rPr>
            </w:pPr>
            <w:r>
              <w:rPr>
                <w:rFonts w:ascii="Times New Roman" w:hAnsi="Times New Roman" w:eastAsia="Times New Roman" w:cs="Times New Roman"/>
                <w:sz w:val="20"/>
                <w:szCs w:val="20"/>
              </w:rPr>
              <w:t>6.31 ± 0.36</w:t>
            </w:r>
          </w:p>
        </w:tc>
        <w:tc>
          <w:tcPr>
            <w:tcW w:w="750" w:type="pct"/>
            <w:tcBorders>
              <w:top w:val="nil"/>
              <w:left w:val="nil"/>
              <w:bottom w:val="nil"/>
              <w:right w:val="nil"/>
            </w:tcBorders>
            <w:vAlign w:val="center"/>
          </w:tcPr>
          <w:p w14:paraId="2A6142EA">
            <w:pPr>
              <w:spacing w:before="30" w:after="30" w:line="360" w:lineRule="auto"/>
              <w:jc w:val="center"/>
              <w:rPr>
                <w:rFonts w:hint="eastAsia"/>
              </w:rPr>
            </w:pPr>
            <w:r>
              <w:rPr>
                <w:rFonts w:ascii="Times New Roman" w:hAnsi="Times New Roman" w:eastAsia="Times New Roman" w:cs="Times New Roman"/>
                <w:sz w:val="20"/>
                <w:szCs w:val="20"/>
              </w:rPr>
              <w:t>6 – 7</w:t>
            </w:r>
          </w:p>
        </w:tc>
        <w:tc>
          <w:tcPr>
            <w:tcW w:w="1250" w:type="pct"/>
            <w:tcBorders>
              <w:top w:val="nil"/>
              <w:left w:val="nil"/>
              <w:bottom w:val="nil"/>
              <w:right w:val="nil"/>
            </w:tcBorders>
            <w:vAlign w:val="center"/>
          </w:tcPr>
          <w:p w14:paraId="7050CD6E">
            <w:pPr>
              <w:spacing w:before="30" w:after="30" w:line="360" w:lineRule="auto"/>
              <w:jc w:val="center"/>
              <w:rPr>
                <w:rFonts w:hint="eastAsia"/>
              </w:rPr>
            </w:pPr>
            <w:r>
              <w:rPr>
                <w:rFonts w:ascii="Times New Roman" w:hAnsi="Times New Roman" w:eastAsia="Times New Roman" w:cs="Times New Roman"/>
                <w:sz w:val="20"/>
                <w:szCs w:val="20"/>
              </w:rPr>
              <w:t>&lt; 0.05</w:t>
            </w:r>
          </w:p>
        </w:tc>
      </w:tr>
      <w:tr w14:paraId="72E2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750" w:type="pct"/>
            <w:tcBorders>
              <w:top w:val="nil"/>
              <w:left w:val="nil"/>
              <w:bottom w:val="single" w:color="auto" w:sz="12" w:space="0"/>
              <w:right w:val="nil"/>
            </w:tcBorders>
            <w:vAlign w:val="center"/>
          </w:tcPr>
          <w:p w14:paraId="1C3F2D76">
            <w:pPr>
              <w:spacing w:before="30" w:after="30" w:line="360" w:lineRule="auto"/>
              <w:jc w:val="center"/>
              <w:rPr>
                <w:rFonts w:hint="eastAsia"/>
              </w:rPr>
            </w:pPr>
            <w:r>
              <w:rPr>
                <w:rFonts w:ascii="Times New Roman" w:hAnsi="Times New Roman" w:eastAsia="Times New Roman" w:cs="Times New Roman"/>
                <w:sz w:val="20"/>
                <w:szCs w:val="20"/>
              </w:rPr>
              <w:t>Postoperative Day 6</w:t>
            </w:r>
          </w:p>
        </w:tc>
        <w:tc>
          <w:tcPr>
            <w:tcW w:w="1250" w:type="pct"/>
            <w:tcBorders>
              <w:top w:val="nil"/>
              <w:left w:val="nil"/>
              <w:bottom w:val="single" w:color="auto" w:sz="12" w:space="0"/>
              <w:right w:val="nil"/>
            </w:tcBorders>
            <w:vAlign w:val="center"/>
          </w:tcPr>
          <w:p w14:paraId="3EBFC469">
            <w:pPr>
              <w:spacing w:before="30" w:after="30" w:line="360" w:lineRule="auto"/>
              <w:jc w:val="center"/>
              <w:rPr>
                <w:rFonts w:hint="eastAsia"/>
              </w:rPr>
            </w:pPr>
            <w:r>
              <w:rPr>
                <w:rFonts w:ascii="Times New Roman" w:hAnsi="Times New Roman" w:eastAsia="Times New Roman" w:cs="Times New Roman"/>
                <w:sz w:val="20"/>
                <w:szCs w:val="20"/>
              </w:rPr>
              <w:t>8.00 ± 0.00</w:t>
            </w:r>
          </w:p>
        </w:tc>
        <w:tc>
          <w:tcPr>
            <w:tcW w:w="750" w:type="pct"/>
            <w:tcBorders>
              <w:top w:val="nil"/>
              <w:left w:val="nil"/>
              <w:bottom w:val="single" w:color="auto" w:sz="12" w:space="0"/>
              <w:right w:val="nil"/>
            </w:tcBorders>
            <w:vAlign w:val="center"/>
          </w:tcPr>
          <w:p w14:paraId="5DDEC0FE">
            <w:pPr>
              <w:spacing w:before="30" w:after="30" w:line="360" w:lineRule="auto"/>
              <w:jc w:val="center"/>
              <w:rPr>
                <w:rFonts w:hint="eastAsia"/>
              </w:rPr>
            </w:pPr>
            <w:r>
              <w:rPr>
                <w:rFonts w:ascii="Times New Roman" w:hAnsi="Times New Roman" w:eastAsia="Times New Roman" w:cs="Times New Roman"/>
                <w:sz w:val="20"/>
                <w:szCs w:val="20"/>
              </w:rPr>
              <w:t>8 – 8</w:t>
            </w:r>
          </w:p>
        </w:tc>
        <w:tc>
          <w:tcPr>
            <w:tcW w:w="1250" w:type="pct"/>
            <w:tcBorders>
              <w:top w:val="nil"/>
              <w:left w:val="nil"/>
              <w:bottom w:val="single" w:color="auto" w:sz="12" w:space="0"/>
              <w:right w:val="nil"/>
            </w:tcBorders>
            <w:vAlign w:val="center"/>
          </w:tcPr>
          <w:p w14:paraId="459EA9BD">
            <w:pPr>
              <w:spacing w:before="30" w:after="30" w:line="360" w:lineRule="auto"/>
              <w:jc w:val="center"/>
              <w:rPr>
                <w:rFonts w:hint="eastAsia"/>
              </w:rPr>
            </w:pPr>
            <w:r>
              <w:rPr>
                <w:rFonts w:ascii="Times New Roman" w:hAnsi="Times New Roman" w:eastAsia="Times New Roman" w:cs="Times New Roman"/>
                <w:sz w:val="20"/>
                <w:szCs w:val="20"/>
              </w:rPr>
              <w:t>NS</w:t>
            </w:r>
          </w:p>
        </w:tc>
      </w:tr>
    </w:tbl>
    <w:p w14:paraId="78427530">
      <w:pPr>
        <w:spacing w:before="60" w:after="200" w:line="360" w:lineRule="auto"/>
        <w:rPr>
          <w:rFonts w:hint="eastAsia"/>
        </w:rPr>
      </w:pPr>
      <w:r>
        <w:rPr>
          <w:rFonts w:ascii="Times New Roman" w:hAnsi="Times New Roman" w:eastAsia="Times New Roman" w:cs="Times New Roman"/>
          <w:i/>
          <w:iCs/>
          <w:sz w:val="18"/>
          <w:szCs w:val="18"/>
        </w:rPr>
        <w:t xml:space="preserve">*P </w:t>
      </w:r>
      <w:r>
        <w:rPr>
          <w:rFonts w:hint="eastAsia" w:ascii="Times New Roman" w:hAnsi="Times New Roman" w:cs="Times New Roman"/>
          <w:i/>
          <w:iCs/>
          <w:sz w:val="18"/>
          <w:szCs w:val="18"/>
        </w:rPr>
        <w:t>V</w:t>
      </w:r>
      <w:r>
        <w:rPr>
          <w:rFonts w:ascii="Times New Roman" w:hAnsi="Times New Roman" w:eastAsia="Times New Roman" w:cs="Times New Roman"/>
          <w:i/>
          <w:iCs/>
          <w:sz w:val="18"/>
          <w:szCs w:val="18"/>
        </w:rPr>
        <w:t>alues vs. preoperative Day 1 (repeated-measures ANOVA with Bonferroni correction). NS = not significant.</w:t>
      </w:r>
    </w:p>
    <w:p w14:paraId="2B95A0A0">
      <w:pPr>
        <w:pStyle w:val="2"/>
        <w:wordWrap w:val="0"/>
        <w:spacing w:after="0" w:line="360" w:lineRule="auto"/>
        <w:jc w:val="both"/>
        <w:rPr>
          <w:rFonts w:ascii="Times New Roman" w:hAnsi="Times New Roman" w:eastAsia="宋体" w:cs="Times New Roman"/>
        </w:rPr>
      </w:pPr>
      <w:r>
        <w:rPr>
          <w:rFonts w:ascii="Times New Roman" w:hAnsi="Times New Roman" w:eastAsia="宋体" w:cs="Times New Roman"/>
        </w:rPr>
        <w:t>Postoperative day 1 scores were significantly lower than preoperative scores (</w:t>
      </w:r>
      <w:r>
        <w:rPr>
          <w:rFonts w:ascii="Times New Roman" w:hAnsi="Times New Roman" w:eastAsia="宋体" w:cs="Times New Roman"/>
          <w:i/>
          <w:iCs/>
        </w:rPr>
        <w:t xml:space="preserve">P </w:t>
      </w:r>
      <w:r>
        <w:rPr>
          <w:rFonts w:ascii="Times New Roman" w:hAnsi="Times New Roman" w:eastAsia="宋体" w:cs="Times New Roman"/>
        </w:rPr>
        <w:t>&lt; 0.001), reflecting the expected transient impact of surgery and anesthesia. Scores on day 3 remained significantly below baseline but showed clear recovery (</w:t>
      </w:r>
      <w:r>
        <w:rPr>
          <w:rFonts w:ascii="Times New Roman" w:hAnsi="Times New Roman" w:eastAsia="宋体" w:cs="Times New Roman"/>
          <w:i/>
          <w:iCs/>
        </w:rPr>
        <w:t>P</w:t>
      </w:r>
      <w:r>
        <w:rPr>
          <w:rFonts w:ascii="Times New Roman" w:hAnsi="Times New Roman" w:eastAsia="宋体" w:cs="Times New Roman"/>
        </w:rPr>
        <w:t xml:space="preserve"> = 0.003 vs. preoperative; </w:t>
      </w:r>
      <w:r>
        <w:rPr>
          <w:rFonts w:ascii="Times New Roman" w:hAnsi="Times New Roman" w:eastAsia="宋体" w:cs="Times New Roman"/>
          <w:i/>
          <w:iCs/>
        </w:rPr>
        <w:t>P</w:t>
      </w:r>
      <w:r>
        <w:rPr>
          <w:rFonts w:ascii="Times New Roman" w:hAnsi="Times New Roman" w:eastAsia="宋体" w:cs="Times New Roman"/>
        </w:rPr>
        <w:t xml:space="preserve"> = 0.002 vs. day 1). By postoperative day 6, all animals had returned to the maximum score of 8, indicating complete recovery to baseline status.</w:t>
      </w:r>
    </w:p>
    <w:p w14:paraId="793EBA03"/>
    <w:p w14:paraId="430B7484">
      <w:pPr>
        <w:spacing w:before="200" w:after="100" w:line="360" w:lineRule="auto"/>
        <w:jc w:val="both"/>
        <w:rPr>
          <w:rFonts w:hint="eastAsia"/>
        </w:rPr>
      </w:pPr>
      <w:r>
        <w:rPr>
          <w:rFonts w:ascii="Times New Roman" w:hAnsi="Times New Roman" w:eastAsia="Times New Roman" w:cs="Times New Roman"/>
          <w:b/>
          <w:bCs/>
          <w:sz w:val="20"/>
          <w:szCs w:val="20"/>
        </w:rPr>
        <w:t>Table</w:t>
      </w:r>
      <w:r>
        <w:rPr>
          <w:rFonts w:hint="eastAsia" w:ascii="Times New Roman" w:hAnsi="Times New Roman" w:eastAsia="宋体" w:cs="Times New Roman"/>
          <w:b/>
          <w:bCs/>
          <w:sz w:val="20"/>
          <w:szCs w:val="20"/>
          <w:lang w:val="en-US" w:eastAsia="zh-CN"/>
        </w:rPr>
        <w:t>.3</w:t>
      </w:r>
      <w:r>
        <w:rPr>
          <w:rFonts w:ascii="Times New Roman" w:hAnsi="Times New Roman" w:eastAsia="Times New Roman" w:cs="Times New Roman"/>
          <w:b/>
          <w:bCs/>
          <w:sz w:val="20"/>
          <w:szCs w:val="20"/>
        </w:rPr>
        <w:t xml:space="preserve"> Comparison of Extraction Outcomes Between V-Shaped and A-Shaped Knives (n = 10 per group)</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498"/>
        <w:gridCol w:w="1665"/>
        <w:gridCol w:w="1665"/>
        <w:gridCol w:w="1665"/>
        <w:gridCol w:w="833"/>
      </w:tblGrid>
      <w:tr w14:paraId="174A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pct"/>
            <w:tcBorders>
              <w:top w:val="single" w:color="auto" w:sz="12" w:space="0"/>
              <w:left w:val="nil"/>
              <w:bottom w:val="single" w:color="auto" w:sz="8" w:space="0"/>
              <w:right w:val="nil"/>
            </w:tcBorders>
            <w:shd w:val="solid" w:color="D9E2F3" w:fill="auto"/>
            <w:vAlign w:val="center"/>
          </w:tcPr>
          <w:p w14:paraId="2981D5FA">
            <w:pPr>
              <w:spacing w:before="30" w:after="30" w:line="360" w:lineRule="auto"/>
              <w:jc w:val="center"/>
              <w:rPr>
                <w:rFonts w:hint="eastAsia"/>
              </w:rPr>
            </w:pPr>
            <w:r>
              <w:rPr>
                <w:rFonts w:ascii="Times New Roman" w:hAnsi="Times New Roman" w:eastAsia="Times New Roman" w:cs="Times New Roman"/>
                <w:b/>
                <w:bCs/>
                <w:sz w:val="20"/>
                <w:szCs w:val="20"/>
              </w:rPr>
              <w:t>Outcome</w:t>
            </w:r>
          </w:p>
        </w:tc>
        <w:tc>
          <w:tcPr>
            <w:tcW w:w="1000" w:type="pct"/>
            <w:tcBorders>
              <w:top w:val="single" w:color="auto" w:sz="12" w:space="0"/>
              <w:left w:val="nil"/>
              <w:bottom w:val="single" w:color="auto" w:sz="8" w:space="0"/>
              <w:right w:val="nil"/>
            </w:tcBorders>
            <w:shd w:val="solid" w:color="D9E2F3" w:fill="auto"/>
            <w:vAlign w:val="center"/>
          </w:tcPr>
          <w:p w14:paraId="74FAB27B">
            <w:pPr>
              <w:spacing w:before="30" w:after="30" w:line="360" w:lineRule="auto"/>
              <w:jc w:val="center"/>
              <w:rPr>
                <w:rFonts w:hint="eastAsia"/>
              </w:rPr>
            </w:pPr>
            <w:r>
              <w:rPr>
                <w:rFonts w:ascii="Times New Roman" w:hAnsi="Times New Roman" w:eastAsia="Times New Roman" w:cs="Times New Roman"/>
                <w:b/>
                <w:bCs/>
                <w:sz w:val="20"/>
                <w:szCs w:val="20"/>
              </w:rPr>
              <w:t>V-Shaped Knife</w:t>
            </w:r>
          </w:p>
        </w:tc>
        <w:tc>
          <w:tcPr>
            <w:tcW w:w="1000" w:type="pct"/>
            <w:tcBorders>
              <w:top w:val="single" w:color="auto" w:sz="12" w:space="0"/>
              <w:left w:val="nil"/>
              <w:bottom w:val="single" w:color="auto" w:sz="8" w:space="0"/>
              <w:right w:val="nil"/>
            </w:tcBorders>
            <w:shd w:val="solid" w:color="D9E2F3" w:fill="auto"/>
            <w:vAlign w:val="center"/>
          </w:tcPr>
          <w:p w14:paraId="509E10A5">
            <w:pPr>
              <w:spacing w:before="30" w:after="30" w:line="360" w:lineRule="auto"/>
              <w:jc w:val="center"/>
              <w:rPr>
                <w:rFonts w:hint="eastAsia"/>
              </w:rPr>
            </w:pPr>
            <w:r>
              <w:rPr>
                <w:rFonts w:ascii="Times New Roman" w:hAnsi="Times New Roman" w:eastAsia="Times New Roman" w:cs="Times New Roman"/>
                <w:b/>
                <w:bCs/>
                <w:sz w:val="20"/>
                <w:szCs w:val="20"/>
              </w:rPr>
              <w:t>A-Shaped Knife</w:t>
            </w:r>
          </w:p>
        </w:tc>
        <w:tc>
          <w:tcPr>
            <w:tcW w:w="1000" w:type="pct"/>
            <w:tcBorders>
              <w:top w:val="single" w:color="auto" w:sz="12" w:space="0"/>
              <w:left w:val="nil"/>
              <w:bottom w:val="single" w:color="auto" w:sz="8" w:space="0"/>
              <w:right w:val="nil"/>
            </w:tcBorders>
            <w:shd w:val="solid" w:color="D9E2F3" w:fill="auto"/>
            <w:vAlign w:val="center"/>
          </w:tcPr>
          <w:p w14:paraId="5AF15C70">
            <w:pPr>
              <w:spacing w:before="30" w:after="30" w:line="360" w:lineRule="auto"/>
              <w:jc w:val="center"/>
              <w:rPr>
                <w:rFonts w:hint="eastAsia"/>
              </w:rPr>
            </w:pPr>
            <w:r>
              <w:rPr>
                <w:rFonts w:ascii="Times New Roman" w:hAnsi="Times New Roman" w:eastAsia="Times New Roman" w:cs="Times New Roman"/>
                <w:b/>
                <w:bCs/>
                <w:sz w:val="20"/>
                <w:szCs w:val="20"/>
              </w:rPr>
              <w:t>Statistical Test</w:t>
            </w:r>
          </w:p>
        </w:tc>
        <w:tc>
          <w:tcPr>
            <w:tcW w:w="500" w:type="pct"/>
            <w:tcBorders>
              <w:top w:val="single" w:color="auto" w:sz="12" w:space="0"/>
              <w:left w:val="nil"/>
              <w:bottom w:val="single" w:color="auto" w:sz="8" w:space="0"/>
              <w:right w:val="nil"/>
            </w:tcBorders>
            <w:shd w:val="solid" w:color="D9E2F3" w:fill="auto"/>
            <w:vAlign w:val="center"/>
          </w:tcPr>
          <w:p w14:paraId="78740E00">
            <w:pPr>
              <w:spacing w:before="30" w:after="30" w:line="360" w:lineRule="auto"/>
              <w:jc w:val="center"/>
              <w:rPr>
                <w:rFonts w:hint="eastAsia"/>
              </w:rPr>
            </w:pPr>
            <w:r>
              <w:rPr>
                <w:rFonts w:ascii="Times New Roman" w:hAnsi="Times New Roman" w:eastAsia="Times New Roman" w:cs="Times New Roman"/>
                <w:b/>
                <w:bCs/>
                <w:i/>
                <w:iCs/>
                <w:sz w:val="20"/>
                <w:szCs w:val="20"/>
              </w:rPr>
              <w:t xml:space="preserve">P </w:t>
            </w:r>
            <w:r>
              <w:rPr>
                <w:rFonts w:ascii="Times New Roman" w:hAnsi="Times New Roman" w:eastAsia="Times New Roman" w:cs="Times New Roman"/>
                <w:b/>
                <w:bCs/>
                <w:sz w:val="20"/>
                <w:szCs w:val="20"/>
              </w:rPr>
              <w:t>Value</w:t>
            </w:r>
          </w:p>
        </w:tc>
      </w:tr>
      <w:tr w14:paraId="29698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pct"/>
            <w:tcBorders>
              <w:top w:val="single" w:color="auto" w:sz="8" w:space="0"/>
              <w:left w:val="nil"/>
              <w:bottom w:val="nil"/>
              <w:right w:val="nil"/>
            </w:tcBorders>
            <w:vAlign w:val="center"/>
          </w:tcPr>
          <w:p w14:paraId="0D79BAB7">
            <w:pPr>
              <w:spacing w:before="30" w:after="30" w:line="360" w:lineRule="auto"/>
              <w:jc w:val="center"/>
              <w:rPr>
                <w:rFonts w:hint="eastAsia"/>
              </w:rPr>
            </w:pPr>
            <w:r>
              <w:rPr>
                <w:rFonts w:ascii="Times New Roman" w:hAnsi="Times New Roman" w:eastAsia="Times New Roman" w:cs="Times New Roman"/>
                <w:sz w:val="20"/>
                <w:szCs w:val="20"/>
              </w:rPr>
              <w:t>Success rate, % (n/N)</w:t>
            </w:r>
          </w:p>
        </w:tc>
        <w:tc>
          <w:tcPr>
            <w:tcW w:w="1000" w:type="pct"/>
            <w:tcBorders>
              <w:top w:val="single" w:color="auto" w:sz="8" w:space="0"/>
              <w:left w:val="nil"/>
              <w:bottom w:val="nil"/>
              <w:right w:val="nil"/>
            </w:tcBorders>
            <w:vAlign w:val="center"/>
          </w:tcPr>
          <w:p w14:paraId="11FCAAB1">
            <w:pPr>
              <w:spacing w:before="30" w:after="30" w:line="360" w:lineRule="auto"/>
              <w:jc w:val="center"/>
              <w:rPr>
                <w:rFonts w:hint="eastAsia"/>
              </w:rPr>
            </w:pPr>
            <w:r>
              <w:rPr>
                <w:rFonts w:ascii="Times New Roman" w:hAnsi="Times New Roman" w:eastAsia="Times New Roman" w:cs="Times New Roman"/>
                <w:sz w:val="20"/>
                <w:szCs w:val="20"/>
              </w:rPr>
              <w:t>100% (10/10)</w:t>
            </w:r>
          </w:p>
        </w:tc>
        <w:tc>
          <w:tcPr>
            <w:tcW w:w="1000" w:type="pct"/>
            <w:tcBorders>
              <w:top w:val="single" w:color="auto" w:sz="8" w:space="0"/>
              <w:left w:val="nil"/>
              <w:bottom w:val="nil"/>
              <w:right w:val="nil"/>
            </w:tcBorders>
            <w:vAlign w:val="center"/>
          </w:tcPr>
          <w:p w14:paraId="252D0239">
            <w:pPr>
              <w:spacing w:before="30" w:after="30" w:line="360" w:lineRule="auto"/>
              <w:jc w:val="center"/>
              <w:rPr>
                <w:rFonts w:hint="eastAsia"/>
              </w:rPr>
            </w:pPr>
            <w:r>
              <w:rPr>
                <w:rFonts w:ascii="Times New Roman" w:hAnsi="Times New Roman" w:eastAsia="Times New Roman" w:cs="Times New Roman"/>
                <w:sz w:val="20"/>
                <w:szCs w:val="20"/>
              </w:rPr>
              <w:t>50% (5/10)</w:t>
            </w:r>
          </w:p>
        </w:tc>
        <w:tc>
          <w:tcPr>
            <w:tcW w:w="1000" w:type="pct"/>
            <w:tcBorders>
              <w:top w:val="single" w:color="auto" w:sz="8" w:space="0"/>
              <w:left w:val="nil"/>
              <w:bottom w:val="nil"/>
              <w:right w:val="nil"/>
            </w:tcBorders>
            <w:vAlign w:val="center"/>
          </w:tcPr>
          <w:p w14:paraId="4ABB07D8">
            <w:pPr>
              <w:spacing w:before="30" w:after="30" w:line="360" w:lineRule="auto"/>
              <w:jc w:val="center"/>
              <w:rPr>
                <w:rFonts w:hint="eastAsia"/>
              </w:rPr>
            </w:pPr>
            <w:r>
              <w:rPr>
                <w:rFonts w:ascii="Times New Roman" w:hAnsi="Times New Roman" w:eastAsia="Times New Roman" w:cs="Times New Roman"/>
                <w:sz w:val="20"/>
                <w:szCs w:val="20"/>
              </w:rPr>
              <w:t>Fisher's exact test</w:t>
            </w:r>
          </w:p>
        </w:tc>
        <w:tc>
          <w:tcPr>
            <w:tcW w:w="500" w:type="pct"/>
            <w:tcBorders>
              <w:top w:val="single" w:color="auto" w:sz="8" w:space="0"/>
              <w:left w:val="nil"/>
              <w:bottom w:val="nil"/>
              <w:right w:val="nil"/>
            </w:tcBorders>
            <w:vAlign w:val="center"/>
          </w:tcPr>
          <w:p w14:paraId="0428B9B9">
            <w:pPr>
              <w:spacing w:before="30" w:after="30" w:line="360" w:lineRule="auto"/>
              <w:jc w:val="center"/>
              <w:rPr>
                <w:rFonts w:hint="eastAsia"/>
              </w:rPr>
            </w:pPr>
            <w:r>
              <w:rPr>
                <w:rFonts w:ascii="Times New Roman" w:hAnsi="Times New Roman" w:eastAsia="Times New Roman" w:cs="Times New Roman"/>
                <w:sz w:val="20"/>
                <w:szCs w:val="20"/>
              </w:rPr>
              <w:t>0.033</w:t>
            </w:r>
          </w:p>
        </w:tc>
      </w:tr>
      <w:tr w14:paraId="0C37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pct"/>
            <w:tcBorders>
              <w:top w:val="nil"/>
              <w:left w:val="nil"/>
              <w:bottom w:val="single" w:color="auto" w:sz="12" w:space="0"/>
              <w:right w:val="nil"/>
            </w:tcBorders>
            <w:vAlign w:val="center"/>
          </w:tcPr>
          <w:p w14:paraId="51C346E5">
            <w:pPr>
              <w:spacing w:before="30" w:after="30" w:line="360" w:lineRule="auto"/>
              <w:jc w:val="center"/>
              <w:rPr>
                <w:rFonts w:hint="eastAsia"/>
              </w:rPr>
            </w:pPr>
            <w:r>
              <w:rPr>
                <w:rFonts w:ascii="Times New Roman" w:hAnsi="Times New Roman" w:eastAsia="Times New Roman" w:cs="Times New Roman"/>
                <w:sz w:val="20"/>
                <w:szCs w:val="20"/>
              </w:rPr>
              <w:t>Extraction time, min (mean ± SD)</w:t>
            </w:r>
          </w:p>
        </w:tc>
        <w:tc>
          <w:tcPr>
            <w:tcW w:w="1000" w:type="pct"/>
            <w:tcBorders>
              <w:top w:val="nil"/>
              <w:left w:val="nil"/>
              <w:bottom w:val="single" w:color="auto" w:sz="12" w:space="0"/>
              <w:right w:val="nil"/>
            </w:tcBorders>
            <w:vAlign w:val="center"/>
          </w:tcPr>
          <w:p w14:paraId="4B83AA30">
            <w:pPr>
              <w:spacing w:before="30" w:after="30" w:line="360" w:lineRule="auto"/>
              <w:jc w:val="center"/>
              <w:rPr>
                <w:rFonts w:hint="eastAsia"/>
              </w:rPr>
            </w:pPr>
            <w:r>
              <w:rPr>
                <w:rFonts w:ascii="Times New Roman" w:hAnsi="Times New Roman" w:eastAsia="Times New Roman" w:cs="Times New Roman"/>
                <w:sz w:val="20"/>
                <w:szCs w:val="20"/>
              </w:rPr>
              <w:t>2.3 ± 0.4</w:t>
            </w:r>
          </w:p>
        </w:tc>
        <w:tc>
          <w:tcPr>
            <w:tcW w:w="1000" w:type="pct"/>
            <w:tcBorders>
              <w:top w:val="nil"/>
              <w:left w:val="nil"/>
              <w:bottom w:val="single" w:color="auto" w:sz="12" w:space="0"/>
              <w:right w:val="nil"/>
            </w:tcBorders>
            <w:vAlign w:val="center"/>
          </w:tcPr>
          <w:p w14:paraId="1524DBF7">
            <w:pPr>
              <w:spacing w:before="30" w:after="30" w:line="360" w:lineRule="auto"/>
              <w:jc w:val="center"/>
              <w:rPr>
                <w:rFonts w:hint="eastAsia"/>
              </w:rPr>
            </w:pPr>
            <w:r>
              <w:rPr>
                <w:rFonts w:ascii="Times New Roman" w:hAnsi="Times New Roman" w:eastAsia="Times New Roman" w:cs="Times New Roman"/>
                <w:sz w:val="20"/>
                <w:szCs w:val="20"/>
              </w:rPr>
              <w:t>6.8 ± 0.6</w:t>
            </w:r>
          </w:p>
        </w:tc>
        <w:tc>
          <w:tcPr>
            <w:tcW w:w="1000" w:type="pct"/>
            <w:tcBorders>
              <w:top w:val="nil"/>
              <w:left w:val="nil"/>
              <w:bottom w:val="single" w:color="auto" w:sz="12" w:space="0"/>
              <w:right w:val="nil"/>
            </w:tcBorders>
            <w:vAlign w:val="center"/>
          </w:tcPr>
          <w:p w14:paraId="4217551E">
            <w:pPr>
              <w:spacing w:before="30" w:after="30" w:line="360" w:lineRule="auto"/>
              <w:jc w:val="center"/>
              <w:rPr>
                <w:rFonts w:hint="eastAsia"/>
              </w:rPr>
            </w:pPr>
            <w:r>
              <w:rPr>
                <w:rFonts w:ascii="Times New Roman" w:hAnsi="Times New Roman" w:eastAsia="Times New Roman" w:cs="Times New Roman"/>
                <w:sz w:val="20"/>
                <w:szCs w:val="20"/>
              </w:rPr>
              <w:t>Independent t-test</w:t>
            </w:r>
          </w:p>
        </w:tc>
        <w:tc>
          <w:tcPr>
            <w:tcW w:w="500" w:type="pct"/>
            <w:tcBorders>
              <w:top w:val="nil"/>
              <w:left w:val="nil"/>
              <w:bottom w:val="single" w:color="auto" w:sz="12" w:space="0"/>
              <w:right w:val="nil"/>
            </w:tcBorders>
            <w:vAlign w:val="center"/>
          </w:tcPr>
          <w:p w14:paraId="14293731">
            <w:pPr>
              <w:spacing w:before="30" w:after="30" w:line="360" w:lineRule="auto"/>
              <w:jc w:val="center"/>
              <w:rPr>
                <w:rFonts w:hint="eastAsia"/>
              </w:rPr>
            </w:pPr>
            <w:r>
              <w:rPr>
                <w:rFonts w:ascii="Times New Roman" w:hAnsi="Times New Roman" w:eastAsia="Times New Roman" w:cs="Times New Roman"/>
                <w:sz w:val="20"/>
                <w:szCs w:val="20"/>
              </w:rPr>
              <w:t>&lt; 0.001</w:t>
            </w:r>
          </w:p>
        </w:tc>
      </w:tr>
    </w:tbl>
    <w:p w14:paraId="212B0959">
      <w:pPr>
        <w:spacing w:before="60" w:after="200" w:line="360" w:lineRule="auto"/>
        <w:rPr>
          <w:rFonts w:ascii="Times New Roman" w:hAnsi="Times New Roman" w:eastAsia="宋体" w:cs="Times New Roman"/>
        </w:rPr>
      </w:pPr>
      <w:r>
        <w:rPr>
          <w:rFonts w:ascii="Times New Roman" w:hAnsi="Times New Roman" w:eastAsia="Times New Roman" w:cs="Times New Roman"/>
          <w:i/>
          <w:iCs/>
          <w:sz w:val="18"/>
          <w:szCs w:val="18"/>
        </w:rPr>
        <w:t>Note:</w:t>
      </w:r>
      <w:r>
        <w:rPr>
          <w:rFonts w:hint="eastAsia"/>
        </w:rPr>
        <w:t xml:space="preserve"> </w:t>
      </w:r>
      <w:r>
        <w:rPr>
          <w:rFonts w:hint="eastAsia" w:ascii="Times New Roman" w:hAnsi="Times New Roman" w:eastAsia="Times New Roman" w:cs="Times New Roman"/>
          <w:i/>
          <w:iCs/>
          <w:sz w:val="18"/>
          <w:szCs w:val="18"/>
        </w:rPr>
        <w:t>Success was defined as complete, unbroken extraction of the drainage tube within 10 minutes of the first insertion attempt. Extraction time was recorded from the moment of initial blade insertion into the lumen until complete removal of the tube.</w:t>
      </w:r>
    </w:p>
    <w:p w14:paraId="5B77A38D">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623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rPr>
      <w:rFonts w:hAnsi="Courier New" w:cs="Courier New" w:asciiTheme="minorEastAsi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2026-08-16T05:18:29Z</dcterms:created>
  <dc:creator>y</dc:creator>
  <cp:lastModifiedBy>张艳丽</cp:lastModifiedBy>
  <dcterms:modified xsi:type="dcterms:W3CDTF">2026-08-16T05:19:14Z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eyJoZGlkIjoiMzEwNTM5NzYwMDRjMzkwZTVkZjY2ODkwMGIxNGU0OTUiLCJ1c2VySWQiOiIyNzY2ODA4NjIifQ==</vt:lpwstr>
  </property>
  <property fmtid="{D5CDD505-2E9C-101B-9397-08002B2CF9AE}" pid="4" name="ICV">
    <vt:lpwstr>6CF1745E9A5A42AB9B552BEFE58701FF_12</vt:lpwstr>
  </property>
</Properties>
</file>