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5F389" w14:textId="77777777" w:rsidR="00E348CA" w:rsidRPr="00E348CA" w:rsidRDefault="00E348CA" w:rsidP="00E348CA">
      <w:pPr>
        <w:pStyle w:val="Heading3"/>
        <w:rPr>
          <w:rFonts w:ascii="Times New Roman" w:hAnsi="Times New Roman" w:cs="Times New Roman"/>
          <w:b/>
          <w:bCs/>
          <w:sz w:val="24"/>
          <w:szCs w:val="24"/>
        </w:rPr>
      </w:pPr>
      <w:r w:rsidRPr="00E348CA">
        <w:rPr>
          <w:rFonts w:ascii="Times New Roman" w:hAnsi="Times New Roman" w:cs="Times New Roman"/>
          <w:b/>
          <w:bCs/>
          <w:sz w:val="24"/>
          <w:szCs w:val="24"/>
        </w:rPr>
        <w:t>Supplementary Table S1. Glossary of Acronyms</w:t>
      </w:r>
    </w:p>
    <w:tbl>
      <w:tblPr>
        <w:tblW w:w="9314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9"/>
        <w:gridCol w:w="6985"/>
      </w:tblGrid>
      <w:tr w:rsidR="00E348CA" w:rsidRPr="00E348CA" w14:paraId="413279C2" w14:textId="77777777" w:rsidTr="00D639EF">
        <w:trPr>
          <w:tblHeader/>
        </w:trPr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1C7C7A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b/>
                <w:bCs/>
                <w:sz w:val="20"/>
                <w:szCs w:val="20"/>
              </w:rPr>
              <w:t>Acronym</w:t>
            </w:r>
          </w:p>
        </w:tc>
        <w:tc>
          <w:tcPr>
            <w:tcW w:w="6986" w:type="dxa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E02684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b/>
                <w:bCs/>
                <w:sz w:val="20"/>
                <w:szCs w:val="20"/>
              </w:rPr>
              <w:t>Meaning</w:t>
            </w:r>
          </w:p>
        </w:tc>
      </w:tr>
      <w:tr w:rsidR="00E348CA" w:rsidRPr="00E348CA" w14:paraId="6276AD88" w14:textId="77777777" w:rsidTr="00D639EF">
        <w:tc>
          <w:tcPr>
            <w:tcW w:w="2329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75DF38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ACMAF</w:t>
            </w:r>
          </w:p>
        </w:tc>
        <w:tc>
          <w:tcPr>
            <w:tcW w:w="6986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135B7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Adaptive Cross-Modal Attention Fusion</w:t>
            </w:r>
          </w:p>
        </w:tc>
      </w:tr>
      <w:tr w:rsidR="00E348CA" w:rsidRPr="00E348CA" w14:paraId="3D1A2181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C2494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AMP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42A5D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Automatic Mixed Precision</w:t>
            </w:r>
          </w:p>
        </w:tc>
      </w:tr>
      <w:tr w:rsidR="00E348CA" w:rsidRPr="00E348CA" w14:paraId="38AFF0EF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42509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 xml:space="preserve">AP / </w:t>
            </w:r>
            <w:proofErr w:type="spellStart"/>
            <w:r w:rsidRPr="00E348CA">
              <w:rPr>
                <w:sz w:val="20"/>
                <w:szCs w:val="20"/>
              </w:rPr>
              <w:t>mAP</w:t>
            </w:r>
            <w:proofErr w:type="spellEnd"/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D9593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Average Precision / mean Average Precision</w:t>
            </w:r>
          </w:p>
        </w:tc>
      </w:tr>
      <w:tr w:rsidR="00E348CA" w:rsidRPr="00E348CA" w14:paraId="3A9B57F9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AD412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AUC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688D0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Area Under the (ROC) Curve</w:t>
            </w:r>
          </w:p>
        </w:tc>
      </w:tr>
      <w:tr w:rsidR="00E348CA" w:rsidRPr="00E348CA" w14:paraId="39523CB2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ABF13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BERT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13105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Bidirectional Encoder Representations from Transformers</w:t>
            </w:r>
          </w:p>
        </w:tc>
      </w:tr>
      <w:tr w:rsidR="00E348CA" w:rsidRPr="00E348CA" w14:paraId="1A850B56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F5521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CDI / MMI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A18C02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Community Decimal Intensity / Modified Mercalli Intensity</w:t>
            </w:r>
          </w:p>
        </w:tc>
      </w:tr>
      <w:tr w:rsidR="00E348CA" w:rsidRPr="00E348CA" w14:paraId="302B384F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109737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CI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602EF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Confidence Interval</w:t>
            </w:r>
          </w:p>
        </w:tc>
      </w:tr>
      <w:tr w:rsidR="00E348CA" w:rsidRPr="00E348CA" w14:paraId="7F08C707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BEBFF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CNN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94495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Convolutional Neural Network</w:t>
            </w:r>
          </w:p>
        </w:tc>
      </w:tr>
      <w:tr w:rsidR="00E348CA" w:rsidRPr="00E348CA" w14:paraId="3FA5145B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85743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DCGT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85D03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Dynamic Cross-Modal Graph Transformer (proposed framework)</w:t>
            </w:r>
          </w:p>
        </w:tc>
      </w:tr>
      <w:tr w:rsidR="00E348CA" w:rsidRPr="00E348CA" w14:paraId="037004FF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ABFD9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EWS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ECB0A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Early Warning System</w:t>
            </w:r>
          </w:p>
        </w:tc>
      </w:tr>
      <w:tr w:rsidR="00E348CA" w:rsidRPr="00E348CA" w14:paraId="78B5C951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7C4D40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F1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C8D4E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Harmonic mean of precision and recall</w:t>
            </w:r>
          </w:p>
        </w:tc>
      </w:tr>
      <w:tr w:rsidR="00E348CA" w:rsidRPr="00E348CA" w14:paraId="3ABDE42E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91C6A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GAT / GNN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3EF3E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Graph Attention Network / Graph Neural Network</w:t>
            </w:r>
          </w:p>
        </w:tc>
      </w:tr>
      <w:tr w:rsidR="00E348CA" w:rsidRPr="00E348CA" w14:paraId="567A8482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79D91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IoT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489E2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Internet of Things</w:t>
            </w:r>
          </w:p>
        </w:tc>
      </w:tr>
      <w:tr w:rsidR="00E348CA" w:rsidRPr="00E348CA" w14:paraId="4BEC98C9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A4E29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MCC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D55A0E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Matthews Correlation Coefficient</w:t>
            </w:r>
          </w:p>
        </w:tc>
      </w:tr>
      <w:tr w:rsidR="00E348CA" w:rsidRPr="00E348CA" w14:paraId="27B1DB62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E3EB8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proofErr w:type="spellStart"/>
            <w:r w:rsidRPr="00E348CA">
              <w:rPr>
                <w:sz w:val="20"/>
                <w:szCs w:val="20"/>
              </w:rPr>
              <w:t>mTCN</w:t>
            </w:r>
            <w:proofErr w:type="spellEnd"/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901AC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Massive-machine-type-communication Temporal Convolutional Network</w:t>
            </w:r>
          </w:p>
        </w:tc>
      </w:tr>
      <w:tr w:rsidR="00E348CA" w:rsidRPr="00E348CA" w14:paraId="03EF1A5F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3A0568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PR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E5992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Precision-Recall</w:t>
            </w:r>
          </w:p>
        </w:tc>
      </w:tr>
      <w:tr w:rsidR="00E348CA" w:rsidRPr="00E348CA" w14:paraId="1E6F2F62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36A4F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ROC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20A39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Receiver Operating Characteristic</w:t>
            </w:r>
          </w:p>
        </w:tc>
      </w:tr>
      <w:tr w:rsidR="00E348CA" w:rsidRPr="00E348CA" w14:paraId="26507AD8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9940D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SAR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17B36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Synthetic Aperture Radar</w:t>
            </w:r>
          </w:p>
        </w:tc>
      </w:tr>
      <w:tr w:rsidR="00E348CA" w:rsidRPr="00E348CA" w14:paraId="57E5802C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857B18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STGT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044A0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Spatial-Temporal Graph Transformer</w:t>
            </w:r>
          </w:p>
        </w:tc>
      </w:tr>
      <w:tr w:rsidR="00E348CA" w:rsidRPr="00E348CA" w14:paraId="2D764657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2EDDB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t-SNE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BA42E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t-distributed Stochastic Neighbour Embedding</w:t>
            </w:r>
          </w:p>
        </w:tc>
      </w:tr>
      <w:tr w:rsidR="00E348CA" w:rsidRPr="00E348CA" w14:paraId="369AEF4E" w14:textId="77777777" w:rsidTr="00D639EF">
        <w:tc>
          <w:tcPr>
            <w:tcW w:w="23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531FA" w14:textId="77777777" w:rsidR="00E348CA" w:rsidRPr="00E348CA" w:rsidRDefault="00E348CA" w:rsidP="00D639EF">
            <w:pPr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UAV</w:t>
            </w:r>
          </w:p>
        </w:tc>
        <w:tc>
          <w:tcPr>
            <w:tcW w:w="69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B0A68" w14:textId="77777777" w:rsidR="00E348CA" w:rsidRPr="00E348CA" w:rsidRDefault="00E348CA" w:rsidP="00D639EF">
            <w:pPr>
              <w:jc w:val="center"/>
              <w:rPr>
                <w:sz w:val="20"/>
                <w:szCs w:val="20"/>
              </w:rPr>
            </w:pPr>
            <w:r w:rsidRPr="00E348CA">
              <w:rPr>
                <w:sz w:val="20"/>
                <w:szCs w:val="20"/>
              </w:rPr>
              <w:t>Unmanned Aerial Vehicle</w:t>
            </w:r>
          </w:p>
        </w:tc>
      </w:tr>
    </w:tbl>
    <w:p w14:paraId="70DB4DAA" w14:textId="77777777" w:rsidR="00E348CA" w:rsidRDefault="00E348CA" w:rsidP="00E348CA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B3AAF01" w14:textId="77777777" w:rsidR="00E348CA" w:rsidRDefault="00E348CA" w:rsidP="00E348CA">
      <w:pPr>
        <w:rPr>
          <w:lang w:eastAsia="en-US"/>
        </w:rPr>
      </w:pPr>
    </w:p>
    <w:p w14:paraId="07B9E2AA" w14:textId="77777777" w:rsidR="00E348CA" w:rsidRDefault="00E348CA" w:rsidP="00E348CA">
      <w:pPr>
        <w:rPr>
          <w:lang w:eastAsia="en-US"/>
        </w:rPr>
      </w:pPr>
    </w:p>
    <w:p w14:paraId="0F432564" w14:textId="77777777" w:rsidR="00E348CA" w:rsidRDefault="00E348CA" w:rsidP="00E348CA">
      <w:pPr>
        <w:rPr>
          <w:lang w:eastAsia="en-US"/>
        </w:rPr>
      </w:pPr>
    </w:p>
    <w:p w14:paraId="3BFD9C53" w14:textId="77777777" w:rsidR="00E348CA" w:rsidRDefault="00E348CA" w:rsidP="00E348CA">
      <w:pPr>
        <w:rPr>
          <w:lang w:eastAsia="en-US"/>
        </w:rPr>
      </w:pPr>
    </w:p>
    <w:p w14:paraId="6ED00F7A" w14:textId="77777777" w:rsidR="00E348CA" w:rsidRDefault="00E348CA" w:rsidP="00E348CA">
      <w:pPr>
        <w:rPr>
          <w:lang w:eastAsia="en-US"/>
        </w:rPr>
      </w:pPr>
    </w:p>
    <w:p w14:paraId="67E79210" w14:textId="77777777" w:rsidR="00E348CA" w:rsidRDefault="00E348CA" w:rsidP="00E348CA">
      <w:pPr>
        <w:rPr>
          <w:lang w:eastAsia="en-US"/>
        </w:rPr>
      </w:pPr>
    </w:p>
    <w:p w14:paraId="2ED02462" w14:textId="77777777" w:rsidR="00E348CA" w:rsidRDefault="00E348CA" w:rsidP="00E348CA">
      <w:pPr>
        <w:rPr>
          <w:lang w:eastAsia="en-US"/>
        </w:rPr>
      </w:pPr>
    </w:p>
    <w:p w14:paraId="4E2D9AFF" w14:textId="77777777" w:rsidR="00E348CA" w:rsidRDefault="00E348CA" w:rsidP="00E348CA">
      <w:pPr>
        <w:rPr>
          <w:lang w:eastAsia="en-US"/>
        </w:rPr>
      </w:pPr>
    </w:p>
    <w:p w14:paraId="0310508F" w14:textId="77777777" w:rsidR="00E348CA" w:rsidRDefault="00E348CA" w:rsidP="00E348CA">
      <w:pPr>
        <w:rPr>
          <w:lang w:eastAsia="en-US"/>
        </w:rPr>
      </w:pPr>
    </w:p>
    <w:p w14:paraId="2C6A1BB4" w14:textId="77777777" w:rsidR="00E348CA" w:rsidRDefault="00E348CA" w:rsidP="00E348CA">
      <w:pPr>
        <w:rPr>
          <w:lang w:eastAsia="en-US"/>
        </w:rPr>
      </w:pPr>
    </w:p>
    <w:p w14:paraId="3763598D" w14:textId="77777777" w:rsidR="00E348CA" w:rsidRDefault="00E348CA" w:rsidP="00E348CA">
      <w:pPr>
        <w:rPr>
          <w:lang w:eastAsia="en-US"/>
        </w:rPr>
      </w:pPr>
    </w:p>
    <w:p w14:paraId="3F9B7942" w14:textId="77777777" w:rsidR="00E348CA" w:rsidRDefault="00E348CA" w:rsidP="00E348CA">
      <w:pPr>
        <w:rPr>
          <w:lang w:eastAsia="en-US"/>
        </w:rPr>
      </w:pPr>
    </w:p>
    <w:p w14:paraId="53E0C237" w14:textId="77777777" w:rsidR="00E348CA" w:rsidRDefault="00E348CA" w:rsidP="00E348CA">
      <w:pPr>
        <w:rPr>
          <w:lang w:eastAsia="en-US"/>
        </w:rPr>
      </w:pPr>
    </w:p>
    <w:p w14:paraId="1F059387" w14:textId="77777777" w:rsidR="00E348CA" w:rsidRPr="00E348CA" w:rsidRDefault="00E348CA" w:rsidP="00E348CA">
      <w:pPr>
        <w:rPr>
          <w:lang w:eastAsia="en-US"/>
        </w:rPr>
      </w:pPr>
    </w:p>
    <w:p w14:paraId="6D0D522B" w14:textId="65F373DD" w:rsidR="00E348CA" w:rsidRPr="00E348CA" w:rsidRDefault="00E348CA" w:rsidP="00E348CA">
      <w:pPr>
        <w:pStyle w:val="Heading3"/>
        <w:rPr>
          <w:rFonts w:ascii="Times New Roman" w:hAnsi="Times New Roman" w:cs="Times New Roman"/>
          <w:b/>
          <w:bCs/>
          <w:sz w:val="24"/>
          <w:szCs w:val="24"/>
        </w:rPr>
      </w:pPr>
      <w:r w:rsidRPr="00E348C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S2. Average dynamic graph</w:t>
      </w:r>
    </w:p>
    <w:p w14:paraId="33161FA7" w14:textId="77777777" w:rsidR="00E348CA" w:rsidRPr="00E348CA" w:rsidRDefault="00E348CA" w:rsidP="00E348CA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8CA">
        <w:rPr>
          <w:rFonts w:ascii="Times New Roman" w:hAnsi="Times New Roman" w:cs="Times New Roman"/>
          <w:b/>
          <w:bCs/>
          <w:color w:val="auto"/>
          <w:sz w:val="24"/>
          <w:szCs w:val="24"/>
        </w:rPr>
        <w:t>Additional Cross-Modal Attention Visualisations</w:t>
      </w:r>
    </w:p>
    <w:p w14:paraId="72C91006" w14:textId="77777777" w:rsidR="00E348CA" w:rsidRPr="00E348CA" w:rsidRDefault="00E348CA" w:rsidP="00E348CA">
      <w:pPr>
        <w:jc w:val="both"/>
        <w:rPr>
          <w:sz w:val="24"/>
          <w:szCs w:val="24"/>
        </w:rPr>
      </w:pPr>
      <w:r w:rsidRPr="00E348CA">
        <w:rPr>
          <w:sz w:val="24"/>
          <w:szCs w:val="24"/>
        </w:rPr>
        <w:t>For completeness, Figure. S2.1 reports the average dynamic graph-attention heatmap underlying Table 10 (Section 5.6), and Figure. S2.2 reports the corresponding standard-deviation heatmap, both aggregated over the full test set.</w:t>
      </w:r>
    </w:p>
    <w:p w14:paraId="2678A586" w14:textId="77777777" w:rsidR="00E348CA" w:rsidRPr="00E348CA" w:rsidRDefault="00E348CA" w:rsidP="00E348CA">
      <w:pPr>
        <w:keepNext/>
        <w:spacing w:before="160"/>
        <w:jc w:val="center"/>
      </w:pPr>
      <w:r w:rsidRPr="00E348CA">
        <w:rPr>
          <w:noProof/>
          <w:sz w:val="24"/>
          <w:szCs w:val="24"/>
        </w:rPr>
        <w:drawing>
          <wp:inline distT="0" distB="0" distL="0" distR="0" wp14:anchorId="7AC3B8D3" wp14:editId="53547B29">
            <wp:extent cx="2476500" cy="1857375"/>
            <wp:effectExtent l="0" t="0" r="0" b="0"/>
            <wp:docPr id="1112088130" name="Picture 1112088130" descr="The image displays a bar chart with categories like Remote Sensing, Social Media, and Seismic, each having different positive and negative values, suggesting a comparison of average attention levels or relevanc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088130" name="Picture 1112088130" descr="The image displays a bar chart with categories like Remote Sensing, Social Media, and Seismic, each having different positive and negative values, suggesting a comparison of average attention levels or relevance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2DC85" w14:textId="77777777" w:rsidR="00E348CA" w:rsidRPr="00E348CA" w:rsidRDefault="00E348CA" w:rsidP="00E348CA">
      <w:pPr>
        <w:pStyle w:val="Caption"/>
        <w:jc w:val="center"/>
        <w:rPr>
          <w:sz w:val="24"/>
          <w:szCs w:val="24"/>
        </w:rPr>
      </w:pPr>
      <w:r w:rsidRPr="00E348CA">
        <w:t>Figure S2.1. Average dynamic graph attention across all test-set instances (rows: source modality; columns: target modality).</w:t>
      </w:r>
    </w:p>
    <w:p w14:paraId="3A82C829" w14:textId="77777777" w:rsidR="00E348CA" w:rsidRPr="00E348CA" w:rsidRDefault="00E348CA" w:rsidP="00E348CA">
      <w:pPr>
        <w:keepNext/>
        <w:spacing w:before="160"/>
        <w:jc w:val="center"/>
      </w:pPr>
      <w:r w:rsidRPr="00E348CA">
        <w:rPr>
          <w:noProof/>
          <w:sz w:val="24"/>
          <w:szCs w:val="24"/>
        </w:rPr>
        <w:drawing>
          <wp:inline distT="0" distB="0" distL="0" distR="0" wp14:anchorId="44DEBB5B" wp14:editId="573C908F">
            <wp:extent cx="2476500" cy="1857375"/>
            <wp:effectExtent l="0" t="0" r="0" b="0"/>
            <wp:docPr id="1224266381" name="Picture 1224266381" descr="The diagram shows a comparison of attention standard deviation values for various categories: Remote Sensing, Social Media, and Seismic data, with Social Media having the lowest devi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66381" name="Picture 1224266381" descr="The diagram shows a comparison of attention standard deviation values for various categories: Remote Sensing, Social Media, and Seismic data, with Social Media having the lowest deviation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5B1D3" w14:textId="77777777" w:rsidR="00E348CA" w:rsidRPr="00E348CA" w:rsidRDefault="00E348CA" w:rsidP="00E348CA">
      <w:pPr>
        <w:pStyle w:val="Caption"/>
        <w:jc w:val="center"/>
        <w:rPr>
          <w:sz w:val="24"/>
          <w:szCs w:val="24"/>
        </w:rPr>
      </w:pPr>
      <w:r w:rsidRPr="00E348CA">
        <w:t>Figure S2.2 Standard deviation of dynamic graph attention across all test-set instances.</w:t>
      </w:r>
    </w:p>
    <w:p w14:paraId="283F53CB" w14:textId="77777777" w:rsidR="00E348CA" w:rsidRDefault="00E348CA" w:rsidP="00E348CA"/>
    <w:p w14:paraId="0282FC44" w14:textId="77777777" w:rsidR="00E348CA" w:rsidRDefault="00E348CA" w:rsidP="00E348CA"/>
    <w:p w14:paraId="0623C8CA" w14:textId="77777777" w:rsidR="00E348CA" w:rsidRDefault="00E348CA" w:rsidP="00E348CA"/>
    <w:p w14:paraId="504B5EBB" w14:textId="77777777" w:rsidR="00E348CA" w:rsidRDefault="00E348CA" w:rsidP="00E348CA"/>
    <w:p w14:paraId="5B7C90EE" w14:textId="77777777" w:rsidR="00E348CA" w:rsidRDefault="00E348CA" w:rsidP="00E348CA"/>
    <w:p w14:paraId="69FA64D1" w14:textId="77777777" w:rsidR="00E348CA" w:rsidRDefault="00E348CA" w:rsidP="00E348CA"/>
    <w:p w14:paraId="37A800FF" w14:textId="77777777" w:rsidR="00E348CA" w:rsidRDefault="00E348CA" w:rsidP="00E348CA"/>
    <w:p w14:paraId="47F49808" w14:textId="77777777" w:rsidR="00E348CA" w:rsidRDefault="00E348CA" w:rsidP="00E348CA"/>
    <w:p w14:paraId="01A255CD" w14:textId="77777777" w:rsidR="00E348CA" w:rsidRDefault="00E348CA" w:rsidP="00E348CA"/>
    <w:p w14:paraId="79DAC341" w14:textId="77777777" w:rsidR="00E348CA" w:rsidRDefault="00E348CA" w:rsidP="00E348CA"/>
    <w:p w14:paraId="7EC98126" w14:textId="77777777" w:rsidR="00E348CA" w:rsidRDefault="00E348CA" w:rsidP="00E348CA"/>
    <w:p w14:paraId="45FC39F4" w14:textId="77777777" w:rsidR="00E348CA" w:rsidRDefault="00E348CA" w:rsidP="00E348CA"/>
    <w:p w14:paraId="03D80D3F" w14:textId="77777777" w:rsidR="00E348CA" w:rsidRDefault="00E348CA" w:rsidP="00E348CA"/>
    <w:p w14:paraId="728B638B" w14:textId="77777777" w:rsidR="00E348CA" w:rsidRDefault="00E348CA" w:rsidP="00E348CA"/>
    <w:p w14:paraId="2F746F28" w14:textId="77777777" w:rsidR="00E348CA" w:rsidRDefault="00E348CA" w:rsidP="00E348CA"/>
    <w:p w14:paraId="4436E625" w14:textId="77777777" w:rsidR="00E348CA" w:rsidRDefault="00E348CA" w:rsidP="00E348CA"/>
    <w:p w14:paraId="5B11D552" w14:textId="77777777" w:rsidR="00E348CA" w:rsidRDefault="00E348CA" w:rsidP="00E348CA"/>
    <w:p w14:paraId="46BC6F03" w14:textId="77777777" w:rsidR="00E348CA" w:rsidRDefault="00E348CA" w:rsidP="00E348CA"/>
    <w:p w14:paraId="5FD1AF0A" w14:textId="77777777" w:rsidR="00E348CA" w:rsidRPr="00E348CA" w:rsidRDefault="00E348CA" w:rsidP="00E348CA"/>
    <w:p w14:paraId="647FE11F" w14:textId="77777777" w:rsidR="00E348CA" w:rsidRPr="00BB144F" w:rsidRDefault="00E348CA" w:rsidP="00E348CA">
      <w:pPr>
        <w:pStyle w:val="Heading3"/>
        <w:rPr>
          <w:rFonts w:ascii="Times New Roman" w:hAnsi="Times New Roman" w:cs="Times New Roman"/>
          <w:b/>
          <w:bCs/>
          <w:sz w:val="24"/>
          <w:szCs w:val="24"/>
        </w:rPr>
      </w:pPr>
      <w:r w:rsidRPr="00BB144F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Information: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144F">
        <w:rPr>
          <w:rFonts w:ascii="Times New Roman" w:hAnsi="Times New Roman" w:cs="Times New Roman"/>
          <w:b/>
          <w:bCs/>
          <w:sz w:val="24"/>
          <w:szCs w:val="24"/>
        </w:rPr>
        <w:t>Reproducibility Checklist</w:t>
      </w:r>
    </w:p>
    <w:p w14:paraId="18EC502F" w14:textId="77777777" w:rsidR="00E348CA" w:rsidRPr="00BB144F" w:rsidRDefault="00E348CA" w:rsidP="00E348CA">
      <w:pPr>
        <w:ind w:left="400" w:hanging="400"/>
        <w:jc w:val="both"/>
        <w:rPr>
          <w:sz w:val="24"/>
          <w:szCs w:val="24"/>
        </w:rPr>
      </w:pPr>
      <w:r w:rsidRPr="00BB144F">
        <w:rPr>
          <w:sz w:val="24"/>
          <w:szCs w:val="24"/>
        </w:rPr>
        <w:t>1. Random seed fixed (seed = 42) for data splitting and model initialisation.</w:t>
      </w:r>
    </w:p>
    <w:p w14:paraId="3CCCE075" w14:textId="77777777" w:rsidR="00E348CA" w:rsidRPr="00BB144F" w:rsidRDefault="00E348CA" w:rsidP="00E348CA">
      <w:pPr>
        <w:ind w:left="400" w:hanging="400"/>
        <w:jc w:val="both"/>
        <w:rPr>
          <w:sz w:val="24"/>
          <w:szCs w:val="24"/>
        </w:rPr>
      </w:pPr>
      <w:r w:rsidRPr="00BB144F">
        <w:rPr>
          <w:sz w:val="24"/>
          <w:szCs w:val="24"/>
        </w:rPr>
        <w:t>2. Exact train/validation/test partition sizes reported per modality (Table 4).</w:t>
      </w:r>
    </w:p>
    <w:p w14:paraId="1ACBC9FD" w14:textId="77777777" w:rsidR="00E348CA" w:rsidRPr="00BB144F" w:rsidRDefault="00E348CA" w:rsidP="00E348CA">
      <w:pPr>
        <w:ind w:left="400" w:hanging="400"/>
        <w:jc w:val="both"/>
        <w:rPr>
          <w:sz w:val="24"/>
          <w:szCs w:val="24"/>
        </w:rPr>
      </w:pPr>
      <w:r w:rsidRPr="00BB144F">
        <w:rPr>
          <w:sz w:val="24"/>
          <w:szCs w:val="24"/>
        </w:rPr>
        <w:t>3. Full hyperparameter configuration reported (Section 4.4) together with recommended search ranges for follow-up tuning (Table 5).</w:t>
      </w:r>
    </w:p>
    <w:p w14:paraId="1710AE74" w14:textId="77777777" w:rsidR="00E348CA" w:rsidRPr="00BB144F" w:rsidRDefault="00E348CA" w:rsidP="00E348CA">
      <w:pPr>
        <w:ind w:left="400" w:hanging="400"/>
        <w:jc w:val="both"/>
        <w:rPr>
          <w:sz w:val="24"/>
          <w:szCs w:val="24"/>
        </w:rPr>
      </w:pPr>
      <w:r w:rsidRPr="00BB144F">
        <w:rPr>
          <w:sz w:val="24"/>
          <w:szCs w:val="24"/>
        </w:rPr>
        <w:t>4. Complete epoch-by-epoch training log reported, including the early-stopping trigger point (Table 6).</w:t>
      </w:r>
    </w:p>
    <w:p w14:paraId="76014CD0" w14:textId="77777777" w:rsidR="00E348CA" w:rsidRPr="00BB144F" w:rsidRDefault="00E348CA" w:rsidP="00E348CA">
      <w:pPr>
        <w:ind w:left="400" w:hanging="400"/>
        <w:jc w:val="both"/>
        <w:rPr>
          <w:sz w:val="24"/>
          <w:szCs w:val="24"/>
        </w:rPr>
      </w:pPr>
      <w:r w:rsidRPr="00BB144F">
        <w:rPr>
          <w:sz w:val="24"/>
          <w:szCs w:val="24"/>
        </w:rPr>
        <w:t>5. Checkpoint-selection criterion (lowest validation loss) stated explicitly, together with the selected epoch.</w:t>
      </w:r>
    </w:p>
    <w:p w14:paraId="2AECBC01" w14:textId="77777777" w:rsidR="00E348CA" w:rsidRPr="00BB144F" w:rsidRDefault="00E348CA" w:rsidP="00E348CA">
      <w:pPr>
        <w:ind w:left="400" w:hanging="400"/>
        <w:jc w:val="both"/>
        <w:rPr>
          <w:sz w:val="24"/>
          <w:szCs w:val="24"/>
        </w:rPr>
      </w:pPr>
      <w:r w:rsidRPr="00BB144F">
        <w:rPr>
          <w:sz w:val="24"/>
          <w:szCs w:val="24"/>
        </w:rPr>
        <w:t>6. All reported test-set metrics accompanied by non-parametric bootstrap 95% confidence intervals (1,000 resamples).</w:t>
      </w:r>
    </w:p>
    <w:p w14:paraId="56F53054" w14:textId="77777777" w:rsidR="00E348CA" w:rsidRPr="00BB144F" w:rsidRDefault="00E348CA" w:rsidP="00E348CA">
      <w:pPr>
        <w:ind w:left="400" w:hanging="400"/>
        <w:jc w:val="both"/>
        <w:rPr>
          <w:sz w:val="24"/>
          <w:szCs w:val="24"/>
        </w:rPr>
      </w:pPr>
      <w:r w:rsidRPr="00BB144F">
        <w:rPr>
          <w:sz w:val="24"/>
          <w:szCs w:val="24"/>
        </w:rPr>
        <w:t>7. Model computational-complexity and inference-latency profile reported with benchmarking configuration (batch size, hardware) stated (Table 11).</w:t>
      </w:r>
    </w:p>
    <w:p w14:paraId="174BE8AD" w14:textId="77777777" w:rsidR="00E348CA" w:rsidRPr="00BB144F" w:rsidRDefault="00E348CA" w:rsidP="00E348CA">
      <w:pPr>
        <w:ind w:left="400" w:hanging="400"/>
        <w:jc w:val="both"/>
        <w:rPr>
          <w:sz w:val="24"/>
          <w:szCs w:val="24"/>
        </w:rPr>
      </w:pPr>
      <w:r w:rsidRPr="00BB144F">
        <w:rPr>
          <w:sz w:val="24"/>
          <w:szCs w:val="24"/>
        </w:rPr>
        <w:t>8. Every figure and table in Section 5 and Appendix B is generated directly from the executed implementation described in Section 4 and referenced by cell/output provenance in the accompanying notebook.</w:t>
      </w:r>
    </w:p>
    <w:p w14:paraId="5629E660" w14:textId="77777777" w:rsidR="00E348CA" w:rsidRDefault="00E348CA" w:rsidP="00E348CA"/>
    <w:p w14:paraId="079E6E5C" w14:textId="77777777" w:rsidR="00395338" w:rsidRPr="00E348CA" w:rsidRDefault="00395338"/>
    <w:sectPr w:rsidR="00395338" w:rsidRPr="00E348CA" w:rsidSect="00E348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51"/>
    <w:rsid w:val="003634D3"/>
    <w:rsid w:val="00395338"/>
    <w:rsid w:val="009F63C0"/>
    <w:rsid w:val="00E348CA"/>
    <w:rsid w:val="00FB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54C9"/>
  <w15:chartTrackingRefBased/>
  <w15:docId w15:val="{7979E226-8B06-40DD-BD08-39C628EC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8CA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5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5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5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5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5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5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5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5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5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B6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6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5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6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5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6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5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6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55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E348CA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Mounika</dc:creator>
  <cp:keywords/>
  <dc:description/>
  <cp:lastModifiedBy>D Mounika</cp:lastModifiedBy>
  <cp:revision>2</cp:revision>
  <dcterms:created xsi:type="dcterms:W3CDTF">2026-08-14T14:16:00Z</dcterms:created>
  <dcterms:modified xsi:type="dcterms:W3CDTF">2026-08-14T14:19:00Z</dcterms:modified>
</cp:coreProperties>
</file>