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color w:val="000000"/>
          <w:sz w:val="24"/>
        </w:rPr>
      </w:pPr>
      <w:r>
        <w:rPr>
          <w:sz w:val="24"/>
        </w:rPr>
        <w:t xml:space="preserve">Supplement Table SI.  </w:t>
      </w:r>
      <w:r>
        <w:rPr>
          <w:color w:val="000000"/>
          <w:sz w:val="24"/>
        </w:rPr>
        <w:t>Causes of infertility</w:t>
      </w:r>
    </w:p>
    <w:tbl>
      <w:tblPr>
        <w:tblStyle w:val="4"/>
        <w:tblpPr w:leftFromText="180" w:rightFromText="180" w:vertAnchor="text" w:horzAnchor="page" w:tblpX="1123" w:tblpY="43"/>
        <w:tblOverlap w:val="never"/>
        <w:tblW w:w="141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8"/>
        <w:gridCol w:w="2250"/>
        <w:gridCol w:w="2232"/>
        <w:gridCol w:w="1210"/>
        <w:gridCol w:w="2134"/>
        <w:gridCol w:w="2116"/>
        <w:gridCol w:w="14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Cycles</w:t>
            </w:r>
          </w:p>
        </w:tc>
        <w:tc>
          <w:tcPr>
            <w:tcW w:w="5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360"/>
              </w:tabs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Fresh embryo transfer cycles</w:t>
            </w:r>
          </w:p>
        </w:tc>
        <w:tc>
          <w:tcPr>
            <w:tcW w:w="5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360"/>
              </w:tabs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Frozen embryo transfer cycles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C</w:t>
            </w:r>
            <w:r>
              <w:rPr>
                <w:color w:val="000000"/>
                <w:sz w:val="21"/>
                <w:szCs w:val="21"/>
              </w:rPr>
              <w:t>ontrol group      n=113</w:t>
            </w:r>
          </w:p>
        </w:tc>
        <w:tc>
          <w:tcPr>
            <w:tcW w:w="2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P+A group           n=74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P value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C</w:t>
            </w:r>
            <w:r>
              <w:rPr>
                <w:color w:val="000000"/>
                <w:sz w:val="21"/>
                <w:szCs w:val="21"/>
              </w:rPr>
              <w:t>ontrol group      n=83</w:t>
            </w: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P+A group           n=76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Cause of infertility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2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Male factors, n (%)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38.9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(44/113)</w:t>
            </w:r>
          </w:p>
        </w:tc>
        <w:tc>
          <w:tcPr>
            <w:tcW w:w="2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37.8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(28/74)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0.880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36.1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(30/83)</w:t>
            </w: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34.2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(26/76)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0.799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Tubal factors, n (%) 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64.6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(73/113)</w:t>
            </w:r>
          </w:p>
        </w:tc>
        <w:tc>
          <w:tcPr>
            <w:tcW w:w="2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62.2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(46/74)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0.735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55.4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(46/83)</w:t>
            </w: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56.6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(43/76)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0.883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Ovarian dysfunction, n (%)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15.9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(18/113)</w:t>
            </w:r>
          </w:p>
        </w:tc>
        <w:tc>
          <w:tcPr>
            <w:tcW w:w="2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13.5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(10/74)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0.651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34.9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(29/83)</w:t>
            </w: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26.3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(20/76)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0.239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Endometriosis, n (%)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12.4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(14/113)</w:t>
            </w:r>
          </w:p>
        </w:tc>
        <w:tc>
          <w:tcPr>
            <w:tcW w:w="2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4.1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(3/74)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0.053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9.6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(8/83)</w:t>
            </w: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9.2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(7/76)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0.927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Uterus factors, n (%)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8.8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(10/113)</w:t>
            </w:r>
          </w:p>
        </w:tc>
        <w:tc>
          <w:tcPr>
            <w:tcW w:w="2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4.1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(3/74)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0.207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12.0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(10/83)</w:t>
            </w: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3.9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(3/76)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0.063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Idiopathic, n (%) 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4.4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(5/113)</w:t>
            </w:r>
          </w:p>
        </w:tc>
        <w:tc>
          <w:tcPr>
            <w:tcW w:w="2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5.4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(4/74)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0.759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7.2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(6/83)</w:t>
            </w: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9.2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(7/76)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0.649</w:t>
            </w:r>
          </w:p>
        </w:tc>
      </w:tr>
    </w:tbl>
    <w:p>
      <w:pPr>
        <w:rPr>
          <w:color w:val="000000"/>
          <w:szCs w:val="21"/>
        </w:rPr>
      </w:pPr>
    </w:p>
    <w:p>
      <w:pPr>
        <w:widowControl/>
        <w:jc w:val="left"/>
        <w:rPr>
          <w:szCs w:val="21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>
      <w:pPr>
        <w:rPr>
          <w:sz w:val="24"/>
        </w:rPr>
      </w:pPr>
      <w:r>
        <w:rPr>
          <w:sz w:val="24"/>
        </w:rPr>
        <w:t>Supplemental Table SII Baseline demographics and clinical characteristics in women with recurrent pregnancy loss</w:t>
      </w:r>
    </w:p>
    <w:tbl>
      <w:tblPr>
        <w:tblStyle w:val="4"/>
        <w:tblpPr w:leftFromText="180" w:rightFromText="180" w:vertAnchor="text" w:horzAnchor="page" w:tblpX="1663" w:tblpY="310"/>
        <w:tblOverlap w:val="never"/>
        <w:tblW w:w="118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3"/>
        <w:gridCol w:w="1964"/>
        <w:gridCol w:w="1964"/>
        <w:gridCol w:w="876"/>
        <w:gridCol w:w="1964"/>
        <w:gridCol w:w="1965"/>
        <w:gridCol w:w="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Cycles</w:t>
            </w:r>
          </w:p>
        </w:tc>
        <w:tc>
          <w:tcPr>
            <w:tcW w:w="4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Fresh embryo transfer cycles</w:t>
            </w:r>
          </w:p>
        </w:tc>
        <w:tc>
          <w:tcPr>
            <w:tcW w:w="4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Frozen-thawed embryo transfer cycles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C</w:t>
            </w:r>
            <w:r>
              <w:rPr>
                <w:color w:val="000000"/>
                <w:sz w:val="21"/>
                <w:szCs w:val="21"/>
              </w:rPr>
              <w:t>ontrol group   n=21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P+A group      n=15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P value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C</w:t>
            </w:r>
            <w:r>
              <w:rPr>
                <w:color w:val="000000"/>
                <w:sz w:val="21"/>
                <w:szCs w:val="21"/>
              </w:rPr>
              <w:t>ontrol group   n=7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P+A group      n=10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Age (yrs)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>30.90±3.22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>32.80±3.10</w:t>
            </w: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0.086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>30.43±5.86</w:t>
            </w:r>
          </w:p>
        </w:tc>
        <w:tc>
          <w:tcPr>
            <w:tcW w:w="196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>32.00±4.69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0.548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BMI (kg/m</w:t>
            </w:r>
            <w:r>
              <w:rPr>
                <w:color w:val="000000"/>
                <w:sz w:val="21"/>
                <w:szCs w:val="21"/>
                <w:vertAlign w:val="superscript"/>
              </w:rPr>
              <w:t>2</w:t>
            </w:r>
            <w:r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1964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>22.76±2.89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>23.17±3.52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0.699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23.40</w:t>
            </w:r>
            <w:r>
              <w:rPr>
                <w:rFonts w:eastAsia="微软雅黑"/>
                <w:color w:val="000000"/>
                <w:sz w:val="21"/>
                <w:szCs w:val="21"/>
              </w:rPr>
              <w:t>±3.23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21.19</w:t>
            </w:r>
            <w:r>
              <w:rPr>
                <w:rFonts w:eastAsia="微软雅黑"/>
                <w:color w:val="000000"/>
                <w:sz w:val="21"/>
                <w:szCs w:val="21"/>
              </w:rPr>
              <w:t>±1.79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0.089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232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Previous miscarriages </w:t>
            </w:r>
          </w:p>
        </w:tc>
        <w:tc>
          <w:tcPr>
            <w:tcW w:w="1964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2.0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(2.0-3.0)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2.0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(2.0-2.0)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0.657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2.0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(2.0-3.0)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2.0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(2.0-3.0)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Duration of infertility (yrs)</w:t>
            </w:r>
          </w:p>
        </w:tc>
        <w:tc>
          <w:tcPr>
            <w:tcW w:w="1964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2.0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(1.0-3.5)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2.0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(1.0-5.0)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0.547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2.0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(1.0-2.0)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2.0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(1.0-4.0)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0.417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TSH (mIU/L)</w:t>
            </w:r>
          </w:p>
        </w:tc>
        <w:tc>
          <w:tcPr>
            <w:tcW w:w="1964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>1.94±1.01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>2.30±0.98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0.289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(1.0-1.7)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(0.7-3.2)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0.740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FT4 (ng/dL)</w:t>
            </w:r>
          </w:p>
        </w:tc>
        <w:tc>
          <w:tcPr>
            <w:tcW w:w="1964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1.04±0.17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1.01±0.09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0.529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0.99±0.15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1.04±0.07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0.336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FT3(pg/mL)</w:t>
            </w:r>
          </w:p>
        </w:tc>
        <w:tc>
          <w:tcPr>
            <w:tcW w:w="1964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3.01±0.43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2.77±0.37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0.086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3.10±0.44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3.00±0.37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0.645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Basal FSH(IU/L)</w:t>
            </w:r>
          </w:p>
        </w:tc>
        <w:tc>
          <w:tcPr>
            <w:tcW w:w="1964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eastAsia="微软雅黑"/>
                <w:color w:val="000000"/>
                <w:sz w:val="21"/>
                <w:szCs w:val="21"/>
              </w:rPr>
              <w:t>5</w:t>
            </w:r>
            <w:r>
              <w:rPr>
                <w:color w:val="000000"/>
                <w:sz w:val="21"/>
                <w:szCs w:val="21"/>
              </w:rPr>
              <w:t>.77</w:t>
            </w:r>
            <w:r>
              <w:rPr>
                <w:rFonts w:eastAsia="微软雅黑"/>
                <w:color w:val="000000"/>
                <w:sz w:val="21"/>
                <w:szCs w:val="21"/>
              </w:rPr>
              <w:t>±</w:t>
            </w:r>
            <w:r>
              <w:rPr>
                <w:color w:val="000000"/>
                <w:sz w:val="21"/>
                <w:szCs w:val="21"/>
              </w:rPr>
              <w:t>1.23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5.22</w:t>
            </w:r>
            <w:r>
              <w:rPr>
                <w:rFonts w:eastAsia="微软雅黑"/>
                <w:color w:val="000000"/>
                <w:sz w:val="21"/>
                <w:szCs w:val="21"/>
              </w:rPr>
              <w:t>±0</w:t>
            </w:r>
            <w:r>
              <w:rPr>
                <w:color w:val="000000"/>
                <w:sz w:val="21"/>
                <w:szCs w:val="21"/>
              </w:rPr>
              <w:t>.87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0.146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5.57±2.26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5.73±1.81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2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AMH (ng/mL)</w:t>
            </w:r>
          </w:p>
        </w:tc>
        <w:tc>
          <w:tcPr>
            <w:tcW w:w="1964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2.5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(1.6-3.7)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3.0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(2.0-3.6)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0.612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4.4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(3.1-5.1)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>2.5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(1.5-6.6)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0.193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2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AFC</w:t>
            </w:r>
          </w:p>
        </w:tc>
        <w:tc>
          <w:tcPr>
            <w:tcW w:w="1964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12.5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(7.8-14.3)</w:t>
            </w:r>
          </w:p>
        </w:tc>
        <w:tc>
          <w:tcPr>
            <w:tcW w:w="196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(9.5-21.5)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0.679</w:t>
            </w:r>
          </w:p>
        </w:tc>
        <w:tc>
          <w:tcPr>
            <w:tcW w:w="196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12.0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(9.0-17.0)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14.0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(8.0-16.0)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0.905</w:t>
            </w:r>
          </w:p>
        </w:tc>
      </w:tr>
    </w:tbl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 w:val="24"/>
        </w:rPr>
      </w:pPr>
      <w:r>
        <w:rPr>
          <w:sz w:val="24"/>
        </w:rPr>
        <w:t>Supplemental Table SIII IVF outcomes in women with recurrent pregnancy loss</w:t>
      </w:r>
    </w:p>
    <w:tbl>
      <w:tblPr>
        <w:tblStyle w:val="3"/>
        <w:tblW w:w="13723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13"/>
        <w:gridCol w:w="1911"/>
        <w:gridCol w:w="1901"/>
        <w:gridCol w:w="832"/>
        <w:gridCol w:w="822"/>
        <w:gridCol w:w="1911"/>
        <w:gridCol w:w="1779"/>
        <w:gridCol w:w="822"/>
        <w:gridCol w:w="8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CellSpacing w:w="0" w:type="dxa"/>
          <w:jc w:val="center"/>
        </w:trPr>
        <w:tc>
          <w:tcPr>
            <w:tcW w:w="291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Cycles</w:t>
            </w:r>
          </w:p>
        </w:tc>
        <w:tc>
          <w:tcPr>
            <w:tcW w:w="5466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>Fresh embryo transfer cycles</w:t>
            </w:r>
          </w:p>
        </w:tc>
        <w:tc>
          <w:tcPr>
            <w:tcW w:w="534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>Frozen-thawed embryo transfer cycles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CellSpacing w:w="0" w:type="dxa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C</w:t>
            </w:r>
            <w:r>
              <w:rPr>
                <w:color w:val="000000"/>
                <w:sz w:val="21"/>
                <w:szCs w:val="21"/>
              </w:rPr>
              <w:t>ontrol group n=21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P+A group    n=15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F </w:t>
            </w:r>
            <w:r>
              <w:rPr>
                <w:sz w:val="21"/>
                <w:szCs w:val="21"/>
              </w:rPr>
              <w:t>value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P </w:t>
            </w:r>
            <w:r>
              <w:rPr>
                <w:sz w:val="21"/>
                <w:szCs w:val="21"/>
              </w:rPr>
              <w:t>value</w:t>
            </w: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C</w:t>
            </w:r>
            <w:r>
              <w:rPr>
                <w:color w:val="000000"/>
                <w:sz w:val="21"/>
                <w:szCs w:val="21"/>
              </w:rPr>
              <w:t>ontrol group n=7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P+A group    n=10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F </w:t>
            </w:r>
            <w:r>
              <w:rPr>
                <w:sz w:val="21"/>
                <w:szCs w:val="21"/>
              </w:rPr>
              <w:t>value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P </w:t>
            </w:r>
            <w:r>
              <w:rPr>
                <w:sz w:val="21"/>
                <w:szCs w:val="21"/>
              </w:rPr>
              <w:t>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CellSpacing w:w="0" w:type="dxa"/>
          <w:jc w:val="center"/>
        </w:trPr>
        <w:tc>
          <w:tcPr>
            <w:tcW w:w="291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Total Gn Dose (IU)</w:t>
            </w: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2007.14±672.35</w:t>
            </w:r>
          </w:p>
        </w:tc>
        <w:tc>
          <w:tcPr>
            <w:tcW w:w="19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2297.50±595.05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0.190</w:t>
            </w: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2175.00±950.66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1788.75±735.28</w:t>
            </w:r>
          </w:p>
        </w:tc>
        <w:tc>
          <w:tcPr>
            <w:tcW w:w="8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0.359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CellSpacing w:w="0" w:type="dxa"/>
          <w:jc w:val="center"/>
        </w:trPr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Stimulation length (d)</w:t>
            </w:r>
          </w:p>
        </w:tc>
        <w:tc>
          <w:tcPr>
            <w:tcW w:w="1911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10.0</w:t>
            </w:r>
            <w:r>
              <w:rPr>
                <w:rFonts w:hint="eastAsia" w:eastAsia="华文楷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华文楷体"/>
                <w:color w:val="000000"/>
                <w:sz w:val="21"/>
                <w:szCs w:val="21"/>
              </w:rPr>
              <w:t>(8.5-11.0)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10.0</w:t>
            </w:r>
            <w:r>
              <w:rPr>
                <w:rFonts w:hint="eastAsia" w:eastAsia="华文楷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华文楷体"/>
                <w:color w:val="000000"/>
                <w:sz w:val="21"/>
                <w:szCs w:val="21"/>
              </w:rPr>
              <w:t>(10.0-12.0)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0.309</w:t>
            </w:r>
          </w:p>
        </w:tc>
        <w:tc>
          <w:tcPr>
            <w:tcW w:w="1911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9.57±1.51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8.90±2.08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0.478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sz w:val="21"/>
                <w:szCs w:val="21"/>
              </w:rPr>
              <w:t>Number of oocytes retrieved</w:t>
            </w:r>
          </w:p>
        </w:tc>
        <w:tc>
          <w:tcPr>
            <w:tcW w:w="1911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9.52±4.30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10.93±5.64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sz w:val="21"/>
                <w:szCs w:val="21"/>
              </w:rPr>
            </w:pPr>
            <w:r>
              <w:rPr>
                <w:rFonts w:eastAsia="华文楷体"/>
                <w:sz w:val="21"/>
                <w:szCs w:val="21"/>
              </w:rPr>
              <w:t>0.400</w:t>
            </w:r>
          </w:p>
        </w:tc>
        <w:tc>
          <w:tcPr>
            <w:tcW w:w="1911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15.86±1.35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9.70±6.43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sz w:val="21"/>
                <w:szCs w:val="21"/>
              </w:rPr>
            </w:pPr>
            <w:r>
              <w:rPr>
                <w:rFonts w:eastAsia="华文楷体"/>
                <w:sz w:val="21"/>
                <w:szCs w:val="21"/>
              </w:rPr>
              <w:t>0.055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CellSpacing w:w="0" w:type="dxa"/>
          <w:jc w:val="center"/>
        </w:trPr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Gn dose/oocyte (IU)</w:t>
            </w:r>
          </w:p>
        </w:tc>
        <w:tc>
          <w:tcPr>
            <w:tcW w:w="1911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225.0</w:t>
            </w:r>
            <w:r>
              <w:rPr>
                <w:rFonts w:hint="eastAsia" w:eastAsia="华文楷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华文楷体"/>
                <w:color w:val="000000"/>
                <w:sz w:val="21"/>
                <w:szCs w:val="21"/>
              </w:rPr>
              <w:t>(133.1-366.2)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208.9</w:t>
            </w:r>
            <w:r>
              <w:rPr>
                <w:rFonts w:hint="eastAsia" w:eastAsia="华文楷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华文楷体"/>
                <w:color w:val="000000"/>
                <w:sz w:val="21"/>
                <w:szCs w:val="21"/>
              </w:rPr>
              <w:t>(144.2-375.0)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0.950</w:t>
            </w:r>
          </w:p>
        </w:tc>
        <w:tc>
          <w:tcPr>
            <w:tcW w:w="1911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126.6</w:t>
            </w:r>
            <w:r>
              <w:rPr>
                <w:rFonts w:hint="eastAsia" w:eastAsia="华文楷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华文楷体"/>
                <w:color w:val="000000"/>
                <w:sz w:val="21"/>
                <w:szCs w:val="21"/>
              </w:rPr>
              <w:t>(88.2-208.9)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122.3</w:t>
            </w:r>
            <w:r>
              <w:rPr>
                <w:rFonts w:hint="eastAsia" w:eastAsia="华文楷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华文楷体"/>
                <w:color w:val="000000"/>
                <w:sz w:val="21"/>
                <w:szCs w:val="21"/>
              </w:rPr>
              <w:t>(90.0-646.9)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0.601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CellSpacing w:w="0" w:type="dxa"/>
          <w:jc w:val="center"/>
        </w:trPr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Fertilization rate (%)</w:t>
            </w:r>
          </w:p>
        </w:tc>
        <w:tc>
          <w:tcPr>
            <w:tcW w:w="1911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91.0</w:t>
            </w:r>
            <w:r>
              <w:rPr>
                <w:rFonts w:hint="eastAsia" w:eastAsia="华文楷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华文楷体"/>
                <w:color w:val="000000"/>
                <w:sz w:val="21"/>
                <w:szCs w:val="21"/>
              </w:rPr>
              <w:t>(182/200)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89.6</w:t>
            </w:r>
            <w:r>
              <w:rPr>
                <w:rFonts w:hint="eastAsia" w:eastAsia="华文楷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华文楷体"/>
                <w:color w:val="000000"/>
                <w:sz w:val="21"/>
                <w:szCs w:val="21"/>
              </w:rPr>
              <w:t>(147/164)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0.193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0.660</w:t>
            </w:r>
          </w:p>
        </w:tc>
        <w:tc>
          <w:tcPr>
            <w:tcW w:w="1911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78.4</w:t>
            </w:r>
            <w:r>
              <w:rPr>
                <w:rFonts w:hint="eastAsia" w:eastAsia="华文楷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华文楷体"/>
                <w:color w:val="000000"/>
                <w:sz w:val="21"/>
                <w:szCs w:val="21"/>
              </w:rPr>
              <w:t>(87/111)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81.4</w:t>
            </w:r>
            <w:r>
              <w:rPr>
                <w:rFonts w:hint="eastAsia" w:eastAsia="华文楷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华文楷体"/>
                <w:color w:val="000000"/>
                <w:sz w:val="21"/>
                <w:szCs w:val="21"/>
              </w:rPr>
              <w:t>(79/97)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0.302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0.583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CellSpacing w:w="0" w:type="dxa"/>
          <w:jc w:val="center"/>
        </w:trPr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Cleavage rate (%)</w:t>
            </w:r>
          </w:p>
        </w:tc>
        <w:tc>
          <w:tcPr>
            <w:tcW w:w="1911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91.8</w:t>
            </w:r>
            <w:r>
              <w:rPr>
                <w:rFonts w:hint="eastAsia" w:eastAsia="华文楷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华文楷体"/>
                <w:color w:val="000000"/>
                <w:sz w:val="21"/>
                <w:szCs w:val="21"/>
              </w:rPr>
              <w:t>(167/182)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95.2</w:t>
            </w:r>
            <w:r>
              <w:rPr>
                <w:rFonts w:hint="eastAsia" w:eastAsia="华文楷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华文楷体"/>
                <w:color w:val="000000"/>
                <w:sz w:val="21"/>
                <w:szCs w:val="21"/>
              </w:rPr>
              <w:t>(140/147)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1.578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0.209</w:t>
            </w:r>
          </w:p>
        </w:tc>
        <w:tc>
          <w:tcPr>
            <w:tcW w:w="1911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92.0</w:t>
            </w:r>
            <w:r>
              <w:rPr>
                <w:rFonts w:hint="eastAsia" w:eastAsia="华文楷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华文楷体"/>
                <w:color w:val="000000"/>
                <w:sz w:val="21"/>
                <w:szCs w:val="21"/>
              </w:rPr>
              <w:t>(80/87)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96.2</w:t>
            </w:r>
            <w:r>
              <w:rPr>
                <w:rFonts w:hint="eastAsia" w:eastAsia="华文楷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华文楷体"/>
                <w:color w:val="000000"/>
                <w:sz w:val="21"/>
                <w:szCs w:val="21"/>
              </w:rPr>
              <w:t>(76/79)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1.320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0.251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CellSpacing w:w="0" w:type="dxa"/>
          <w:jc w:val="center"/>
        </w:trPr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Available embryo rate (%)</w:t>
            </w:r>
          </w:p>
        </w:tc>
        <w:tc>
          <w:tcPr>
            <w:tcW w:w="1911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sz w:val="21"/>
                <w:szCs w:val="21"/>
              </w:rPr>
              <w:t>49.7</w:t>
            </w:r>
            <w:r>
              <w:rPr>
                <w:rFonts w:hint="eastAsia" w:eastAsia="华文楷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华文楷体"/>
                <w:sz w:val="21"/>
                <w:szCs w:val="21"/>
              </w:rPr>
              <w:t>(83/167)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sz w:val="21"/>
                <w:szCs w:val="21"/>
              </w:rPr>
              <w:t>49.3</w:t>
            </w:r>
            <w:r>
              <w:rPr>
                <w:rFonts w:hint="eastAsia" w:eastAsia="华文楷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华文楷体"/>
                <w:sz w:val="21"/>
                <w:szCs w:val="21"/>
              </w:rPr>
              <w:t>(69/140)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sz w:val="21"/>
                <w:szCs w:val="21"/>
              </w:rPr>
            </w:pPr>
            <w:r>
              <w:rPr>
                <w:rFonts w:eastAsia="华文楷体"/>
                <w:sz w:val="21"/>
                <w:szCs w:val="21"/>
              </w:rPr>
              <w:t>0.005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sz w:val="21"/>
                <w:szCs w:val="21"/>
              </w:rPr>
            </w:pPr>
            <w:r>
              <w:rPr>
                <w:rFonts w:eastAsia="华文楷体"/>
                <w:sz w:val="21"/>
                <w:szCs w:val="21"/>
              </w:rPr>
              <w:t>0.942</w:t>
            </w:r>
          </w:p>
        </w:tc>
        <w:tc>
          <w:tcPr>
            <w:tcW w:w="1911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sz w:val="21"/>
                <w:szCs w:val="21"/>
              </w:rPr>
              <w:t>61.3</w:t>
            </w:r>
            <w:r>
              <w:rPr>
                <w:rFonts w:hint="eastAsia" w:eastAsia="华文楷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华文楷体"/>
                <w:sz w:val="21"/>
                <w:szCs w:val="21"/>
              </w:rPr>
              <w:t>(49/80)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60.5</w:t>
            </w:r>
            <w:r>
              <w:rPr>
                <w:rFonts w:hint="eastAsia" w:eastAsia="华文楷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华文楷体"/>
                <w:color w:val="000000"/>
                <w:sz w:val="21"/>
                <w:szCs w:val="21"/>
              </w:rPr>
              <w:t>(46/76)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0.009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0.926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CellSpacing w:w="0" w:type="dxa"/>
          <w:jc w:val="center"/>
        </w:trPr>
        <w:tc>
          <w:tcPr>
            <w:tcW w:w="2913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sz w:val="21"/>
                <w:szCs w:val="21"/>
              </w:rPr>
              <w:t>Implantation rate (%)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sz w:val="21"/>
                <w:szCs w:val="21"/>
              </w:rPr>
              <w:t>24.4</w:t>
            </w:r>
            <w:r>
              <w:rPr>
                <w:rFonts w:hint="eastAsia" w:eastAsia="华文楷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华文楷体"/>
                <w:sz w:val="21"/>
                <w:szCs w:val="21"/>
              </w:rPr>
              <w:t>(10/41)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sz w:val="21"/>
                <w:szCs w:val="21"/>
              </w:rPr>
              <w:t>34.5</w:t>
            </w:r>
            <w:r>
              <w:rPr>
                <w:rFonts w:hint="eastAsia" w:eastAsia="华文楷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华文楷体"/>
                <w:sz w:val="21"/>
                <w:szCs w:val="21"/>
              </w:rPr>
              <w:t>(10/29)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sz w:val="21"/>
                <w:szCs w:val="21"/>
              </w:rPr>
            </w:pPr>
            <w:r>
              <w:rPr>
                <w:rFonts w:eastAsia="华文楷体"/>
                <w:sz w:val="21"/>
                <w:szCs w:val="21"/>
              </w:rPr>
              <w:t>0.848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sz w:val="21"/>
                <w:szCs w:val="21"/>
              </w:rPr>
            </w:pPr>
            <w:r>
              <w:rPr>
                <w:rFonts w:eastAsia="华文楷体"/>
                <w:sz w:val="21"/>
                <w:szCs w:val="21"/>
              </w:rPr>
              <w:t>0.357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sz w:val="21"/>
                <w:szCs w:val="21"/>
              </w:rPr>
              <w:t>45.0</w:t>
            </w:r>
            <w:r>
              <w:rPr>
                <w:rFonts w:hint="eastAsia" w:eastAsia="华文楷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华文楷体"/>
                <w:sz w:val="21"/>
                <w:szCs w:val="21"/>
              </w:rPr>
              <w:t>(5/11)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sz w:val="21"/>
                <w:szCs w:val="21"/>
              </w:rPr>
              <w:t>38.9</w:t>
            </w:r>
            <w:r>
              <w:rPr>
                <w:rFonts w:hint="eastAsia" w:eastAsia="华文楷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华文楷体"/>
                <w:sz w:val="21"/>
                <w:szCs w:val="21"/>
              </w:rPr>
              <w:t>(7/18)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sz w:val="21"/>
                <w:szCs w:val="21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sz w:val="21"/>
                <w:szCs w:val="21"/>
              </w:rPr>
            </w:pPr>
            <w:r>
              <w:rPr>
                <w:rFonts w:eastAsia="华文楷体"/>
                <w:sz w:val="21"/>
                <w:szCs w:val="21"/>
              </w:rPr>
              <w:t>1.000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CellSpacing w:w="0" w:type="dxa"/>
          <w:jc w:val="center"/>
        </w:trPr>
        <w:tc>
          <w:tcPr>
            <w:tcW w:w="2913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Pregnancy rate (%)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61.9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(13/21)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53.3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(8/15)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sz w:val="21"/>
                <w:szCs w:val="21"/>
              </w:rPr>
              <w:t>0.736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71.4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(5/7)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50.0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(5/10)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0.622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CellSpacing w:w="0" w:type="dxa"/>
          <w:jc w:val="center"/>
        </w:trPr>
        <w:tc>
          <w:tcPr>
            <w:tcW w:w="2913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Clinical pregnancy rate (%)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47.6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(10/21)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53.3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(8/15)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1.000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71.4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(5/7)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50.0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(5/10)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0.622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CellSpacing w:w="0" w:type="dxa"/>
          <w:jc w:val="center"/>
        </w:trPr>
        <w:tc>
          <w:tcPr>
            <w:tcW w:w="2913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miscarriage rate (%)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(1/10)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25.0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(2/8)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0.559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20.0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(1/5)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60.0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(3/5)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CellSpacing w:w="0" w:type="dxa"/>
          <w:jc w:val="center"/>
        </w:trPr>
        <w:tc>
          <w:tcPr>
            <w:tcW w:w="2913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Live birth rate (%)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42.9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(9/21)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40.0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(6/15)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1.000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57.1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(4/7)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20.0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(2/10)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0.162</w:t>
            </w:r>
          </w:p>
        </w:tc>
      </w:tr>
    </w:tbl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 w:val="24"/>
        </w:rPr>
      </w:pPr>
      <w:r>
        <w:rPr>
          <w:sz w:val="24"/>
        </w:rPr>
        <w:t>Supplemental Table SIV Comparison of IVF outcomes of continuous embryo transfers in patients with medication</w:t>
      </w:r>
    </w:p>
    <w:tbl>
      <w:tblPr>
        <w:tblStyle w:val="3"/>
        <w:tblW w:w="13723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13"/>
        <w:gridCol w:w="1911"/>
        <w:gridCol w:w="1901"/>
        <w:gridCol w:w="832"/>
        <w:gridCol w:w="822"/>
        <w:gridCol w:w="1911"/>
        <w:gridCol w:w="1779"/>
        <w:gridCol w:w="822"/>
        <w:gridCol w:w="8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CellSpacing w:w="0" w:type="dxa"/>
          <w:jc w:val="center"/>
        </w:trPr>
        <w:tc>
          <w:tcPr>
            <w:tcW w:w="291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Cycles</w:t>
            </w:r>
          </w:p>
        </w:tc>
        <w:tc>
          <w:tcPr>
            <w:tcW w:w="5466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>Fresh embryo transfer cycles</w:t>
            </w:r>
          </w:p>
        </w:tc>
        <w:tc>
          <w:tcPr>
            <w:tcW w:w="534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2"/>
              <w:widowControl/>
              <w:jc w:val="both"/>
              <w:rPr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>Frozen-thawed embryo transfer cycles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CellSpacing w:w="0" w:type="dxa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Former fresh </w:t>
            </w:r>
            <w:r>
              <w:rPr>
                <w:sz w:val="21"/>
                <w:szCs w:val="21"/>
              </w:rPr>
              <w:t xml:space="preserve">embryo transfer  </w:t>
            </w:r>
            <w:r>
              <w:rPr>
                <w:color w:val="000000"/>
                <w:sz w:val="21"/>
                <w:szCs w:val="21"/>
              </w:rPr>
              <w:t xml:space="preserve"> n=13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Treatment frozen </w:t>
            </w:r>
            <w:r>
              <w:rPr>
                <w:sz w:val="21"/>
                <w:szCs w:val="21"/>
              </w:rPr>
              <w:t xml:space="preserve">embryo transfer  </w:t>
            </w:r>
            <w:r>
              <w:rPr>
                <w:color w:val="000000"/>
                <w:sz w:val="21"/>
                <w:szCs w:val="21"/>
              </w:rPr>
              <w:t xml:space="preserve">      n=13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F </w:t>
            </w:r>
            <w:r>
              <w:rPr>
                <w:sz w:val="21"/>
                <w:szCs w:val="21"/>
              </w:rPr>
              <w:t>value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P </w:t>
            </w:r>
            <w:r>
              <w:rPr>
                <w:sz w:val="21"/>
                <w:szCs w:val="21"/>
              </w:rPr>
              <w:t>value</w:t>
            </w: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Former frozen </w:t>
            </w:r>
            <w:r>
              <w:rPr>
                <w:sz w:val="21"/>
                <w:szCs w:val="21"/>
              </w:rPr>
              <w:t xml:space="preserve">embryo transfer   </w:t>
            </w:r>
            <w:r>
              <w:rPr>
                <w:color w:val="000000"/>
                <w:sz w:val="21"/>
                <w:szCs w:val="21"/>
              </w:rPr>
              <w:t xml:space="preserve"> n=3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Treatment frozen </w:t>
            </w:r>
            <w:r>
              <w:rPr>
                <w:sz w:val="21"/>
                <w:szCs w:val="21"/>
              </w:rPr>
              <w:t xml:space="preserve">embryo transfer  </w:t>
            </w:r>
            <w:r>
              <w:rPr>
                <w:color w:val="000000"/>
                <w:sz w:val="21"/>
                <w:szCs w:val="21"/>
              </w:rPr>
              <w:t xml:space="preserve">      n=3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F </w:t>
            </w:r>
            <w:r>
              <w:rPr>
                <w:sz w:val="21"/>
                <w:szCs w:val="21"/>
              </w:rPr>
              <w:t>value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P </w:t>
            </w:r>
            <w:r>
              <w:rPr>
                <w:sz w:val="21"/>
                <w:szCs w:val="21"/>
              </w:rPr>
              <w:t>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CellSpacing w:w="0" w:type="dxa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color w:val="000000"/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Embryo stage, n (%)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color w:val="000000"/>
                <w:sz w:val="21"/>
                <w:szCs w:val="21"/>
              </w:rPr>
            </w:pPr>
          </w:p>
        </w:tc>
        <w:tc>
          <w:tcPr>
            <w:tcW w:w="19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color w:val="000000"/>
                <w:sz w:val="21"/>
                <w:szCs w:val="21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>Cleavage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color w:val="000000"/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13</w:t>
            </w:r>
            <w:r>
              <w:rPr>
                <w:rFonts w:hint="eastAsia" w:eastAsia="华文楷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华文楷体"/>
                <w:color w:val="000000"/>
                <w:sz w:val="21"/>
                <w:szCs w:val="21"/>
              </w:rPr>
              <w:t>(100.0%)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color w:val="000000"/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5</w:t>
            </w:r>
            <w:r>
              <w:rPr>
                <w:rFonts w:hint="eastAsia" w:eastAsia="华文楷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华文楷体"/>
                <w:color w:val="000000"/>
                <w:sz w:val="21"/>
                <w:szCs w:val="21"/>
              </w:rPr>
              <w:t>(45.5%)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color w:val="000000"/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0.003*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sz w:val="21"/>
                <w:szCs w:val="21"/>
              </w:rPr>
            </w:pPr>
            <w:r>
              <w:rPr>
                <w:rFonts w:eastAsia="华文楷体"/>
                <w:sz w:val="21"/>
                <w:szCs w:val="21"/>
              </w:rPr>
              <w:t>3</w:t>
            </w:r>
            <w:r>
              <w:rPr>
                <w:rFonts w:hint="eastAsia" w:eastAsia="华文楷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华文楷体"/>
                <w:sz w:val="21"/>
                <w:szCs w:val="21"/>
              </w:rPr>
              <w:t>(100.0%)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sz w:val="21"/>
                <w:szCs w:val="21"/>
              </w:rPr>
            </w:pPr>
            <w:r>
              <w:rPr>
                <w:rFonts w:eastAsia="华文楷体"/>
                <w:sz w:val="21"/>
                <w:szCs w:val="21"/>
              </w:rPr>
              <w:t>0</w:t>
            </w:r>
            <w:r>
              <w:rPr>
                <w:rFonts w:hint="eastAsia" w:eastAsia="华文楷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华文楷体"/>
                <w:sz w:val="21"/>
                <w:szCs w:val="21"/>
              </w:rPr>
              <w:t>(0.0%)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color w:val="000000"/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0.100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>Blastocyst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color w:val="000000"/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0</w:t>
            </w:r>
            <w:r>
              <w:rPr>
                <w:rFonts w:hint="eastAsia" w:eastAsia="华文楷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华文楷体"/>
                <w:color w:val="000000"/>
                <w:sz w:val="21"/>
                <w:szCs w:val="21"/>
              </w:rPr>
              <w:t>(0.0%)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color w:val="000000"/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6</w:t>
            </w:r>
            <w:r>
              <w:rPr>
                <w:rFonts w:hint="eastAsia" w:eastAsia="华文楷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华文楷体"/>
                <w:color w:val="000000"/>
                <w:sz w:val="21"/>
                <w:szCs w:val="21"/>
              </w:rPr>
              <w:t>(54.5%)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sz w:val="21"/>
                <w:szCs w:val="21"/>
              </w:rPr>
            </w:pPr>
            <w:r>
              <w:rPr>
                <w:rFonts w:eastAsia="华文楷体"/>
                <w:sz w:val="21"/>
                <w:szCs w:val="21"/>
              </w:rPr>
              <w:t>0</w:t>
            </w:r>
            <w:r>
              <w:rPr>
                <w:rFonts w:hint="eastAsia" w:eastAsia="华文楷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华文楷体"/>
                <w:sz w:val="21"/>
                <w:szCs w:val="21"/>
              </w:rPr>
              <w:t>(0.0%)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sz w:val="21"/>
                <w:szCs w:val="21"/>
              </w:rPr>
            </w:pPr>
            <w:r>
              <w:rPr>
                <w:rFonts w:eastAsia="华文楷体"/>
                <w:sz w:val="21"/>
                <w:szCs w:val="21"/>
              </w:rPr>
              <w:t>3</w:t>
            </w:r>
            <w:r>
              <w:rPr>
                <w:rFonts w:hint="eastAsia" w:eastAsia="华文楷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华文楷体"/>
                <w:sz w:val="21"/>
                <w:szCs w:val="21"/>
              </w:rPr>
              <w:t>(100.0%)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color w:val="000000"/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Number of embryos transferred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color w:val="000000"/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2.00±0.00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color w:val="000000"/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1.77</w:t>
            </w:r>
            <w:r>
              <w:rPr>
                <w:rFonts w:eastAsia="微软雅黑"/>
                <w:color w:val="000000"/>
                <w:sz w:val="21"/>
                <w:szCs w:val="21"/>
              </w:rPr>
              <w:t>±</w:t>
            </w:r>
            <w:r>
              <w:rPr>
                <w:rFonts w:eastAsia="华文楷体"/>
                <w:color w:val="000000"/>
                <w:sz w:val="21"/>
                <w:szCs w:val="21"/>
              </w:rPr>
              <w:t>0.44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color w:val="000000"/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0.336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color w:val="000000"/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2.00±0.00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color w:val="000000"/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1.33±0.58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color w:val="000000"/>
                <w:sz w:val="21"/>
                <w:szCs w:val="21"/>
              </w:rPr>
            </w:pPr>
            <w:r>
              <w:rPr>
                <w:rFonts w:eastAsia="华文楷体"/>
                <w:color w:val="000000"/>
                <w:sz w:val="21"/>
                <w:szCs w:val="21"/>
              </w:rPr>
              <w:t>0.200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sz w:val="21"/>
                <w:szCs w:val="21"/>
              </w:rPr>
              <w:t>Implantation rate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sz w:val="21"/>
                <w:szCs w:val="21"/>
              </w:rPr>
              <w:t>3.8</w:t>
            </w:r>
            <w:r>
              <w:rPr>
                <w:rFonts w:hint="eastAsia" w:eastAsia="华文楷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华文楷体"/>
                <w:sz w:val="21"/>
                <w:szCs w:val="21"/>
              </w:rPr>
              <w:t>(1/26)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sz w:val="21"/>
                <w:szCs w:val="21"/>
              </w:rPr>
              <w:t>26.1</w:t>
            </w:r>
            <w:r>
              <w:rPr>
                <w:rFonts w:hint="eastAsia" w:eastAsia="华文楷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华文楷体"/>
                <w:sz w:val="21"/>
                <w:szCs w:val="21"/>
              </w:rPr>
              <w:t>(6/23)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sz w:val="21"/>
                <w:szCs w:val="21"/>
              </w:rPr>
            </w:pPr>
            <w:r>
              <w:rPr>
                <w:rFonts w:eastAsia="华文楷体"/>
                <w:sz w:val="21"/>
                <w:szCs w:val="21"/>
              </w:rPr>
              <w:t>3.281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sz w:val="21"/>
                <w:szCs w:val="21"/>
              </w:rPr>
            </w:pPr>
            <w:r>
              <w:rPr>
                <w:rFonts w:eastAsia="华文楷体"/>
                <w:sz w:val="21"/>
                <w:szCs w:val="21"/>
              </w:rPr>
              <w:t>0.070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sz w:val="21"/>
                <w:szCs w:val="21"/>
              </w:rPr>
              <w:t>0.0</w:t>
            </w:r>
            <w:r>
              <w:rPr>
                <w:rFonts w:hint="eastAsia" w:eastAsia="华文楷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华文楷体"/>
                <w:sz w:val="21"/>
                <w:szCs w:val="21"/>
              </w:rPr>
              <w:t>(0/6)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rFonts w:eastAsia="华文楷体"/>
                <w:sz w:val="21"/>
                <w:szCs w:val="21"/>
              </w:rPr>
              <w:t>25.0</w:t>
            </w:r>
            <w:r>
              <w:rPr>
                <w:rFonts w:hint="eastAsia" w:eastAsia="华文楷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华文楷体"/>
                <w:sz w:val="21"/>
                <w:szCs w:val="21"/>
              </w:rPr>
              <w:t>(1/4)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rFonts w:eastAsia="华文楷体"/>
                <w:sz w:val="21"/>
                <w:szCs w:val="21"/>
              </w:rPr>
            </w:pPr>
            <w:r>
              <w:rPr>
                <w:rFonts w:eastAsia="华文楷体"/>
                <w:sz w:val="21"/>
                <w:szCs w:val="21"/>
              </w:rPr>
              <w:t>0.400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Pregnancy rate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7.7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(1/13)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46.2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(6/13)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0.0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(0/3)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100.0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(3/3)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0.464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Clinical pregnancy rate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7.7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(1/13)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38.5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(5/13)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(0/3)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33.3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(1/3)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miscarriage rate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100.0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(1/1)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40.0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(2/5)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(0/0)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100.0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(1/1)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Live birth rate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(0/13)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23.1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(3/13)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(0/3)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sz w:val="21"/>
                <w:szCs w:val="21"/>
              </w:rPr>
              <w:t>(0/3)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widowControl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</w:t>
            </w:r>
          </w:p>
        </w:tc>
      </w:tr>
    </w:tbl>
    <w:p>
      <w:pPr>
        <w:rPr>
          <w:szCs w:val="21"/>
        </w:rPr>
      </w:pPr>
    </w:p>
    <w:p>
      <w:pPr>
        <w:rPr>
          <w:szCs w:val="21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A1A2B"/>
    <w:rsid w:val="003D29A9"/>
    <w:rsid w:val="00AA1A2B"/>
    <w:rsid w:val="00C3668A"/>
    <w:rsid w:val="045C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4">
    <w:name w:val="Table Grid"/>
    <w:basedOn w:val="3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618</Words>
  <Characters>3525</Characters>
  <Lines>29</Lines>
  <Paragraphs>8</Paragraphs>
  <TotalTime>6</TotalTime>
  <ScaleCrop>false</ScaleCrop>
  <LinksUpToDate>false</LinksUpToDate>
  <CharactersWithSpaces>4135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2021-08-11T03:29:00Z</dcterms:created>
  <dc:creator>微软用户</dc:creator>
  <cp:lastModifiedBy>斑点鱼想蹦极</cp:lastModifiedBy>
  <dcterms:modified xsi:type="dcterms:W3CDTF">2021-09-08T09:39:53Z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56327D9FD5C04B28AB1DCFE93E3FDCDA</vt:lpwstr>
  </property>
</Properties>
</file>