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C38B9" w14:textId="77777777" w:rsidR="00007D1A" w:rsidRDefault="008215F4">
      <w:pPr>
        <w:jc w:val="center"/>
      </w:pPr>
      <w:r>
        <w:rPr>
          <w:noProof/>
        </w:rPr>
        <w:drawing>
          <wp:inline distT="0" distB="0" distL="0" distR="0" wp14:anchorId="2633B0B6" wp14:editId="21CBCEDD">
            <wp:extent cx="5943066" cy="3446054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SCFA_Butyric_4MV.png"/>
                    <pic:cNvPicPr/>
                  </pic:nvPicPr>
                  <pic:blipFill rotWithShape="1">
                    <a:blip r:embed="rId9"/>
                    <a:srcRect t="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6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8BFD1" w14:textId="09FE7CA7" w:rsidR="00007D1A" w:rsidRPr="003F2649" w:rsidRDefault="008215F4" w:rsidP="003F2649">
      <w:pPr>
        <w:rPr>
          <w:rFonts w:ascii="Arial" w:hAnsi="Arial" w:cs="Arial"/>
        </w:rPr>
      </w:pPr>
      <w:r w:rsidRPr="006822BF">
        <w:rPr>
          <w:rFonts w:ascii="Arial" w:hAnsi="Arial" w:cs="Arial"/>
          <w:b/>
        </w:rPr>
        <w:t xml:space="preserve">Figure </w:t>
      </w:r>
      <w:r w:rsidR="000437E0">
        <w:rPr>
          <w:rFonts w:ascii="Arial" w:hAnsi="Arial" w:cs="Arial"/>
          <w:b/>
        </w:rPr>
        <w:t>S</w:t>
      </w:r>
      <w:r w:rsidRPr="006822BF">
        <w:rPr>
          <w:rFonts w:ascii="Arial" w:hAnsi="Arial" w:cs="Arial"/>
          <w:b/>
        </w:rPr>
        <w:t xml:space="preserve">1. </w:t>
      </w:r>
      <w:r w:rsidR="003F2649">
        <w:rPr>
          <w:rFonts w:ascii="Arial" w:hAnsi="Arial" w:cs="Arial"/>
          <w:b/>
        </w:rPr>
        <w:t>Nonsignificant</w:t>
      </w:r>
      <w:r w:rsidRPr="006822BF">
        <w:rPr>
          <w:rFonts w:ascii="Arial" w:hAnsi="Arial" w:cs="Arial"/>
          <w:b/>
        </w:rPr>
        <w:t xml:space="preserve"> short- and branched-chain fatty acid </w:t>
      </w:r>
      <w:r w:rsidR="003F2649">
        <w:rPr>
          <w:rFonts w:ascii="Arial" w:hAnsi="Arial" w:cs="Arial"/>
          <w:b/>
        </w:rPr>
        <w:t xml:space="preserve">plasma </w:t>
      </w:r>
      <w:r w:rsidRPr="006822BF">
        <w:rPr>
          <w:rFonts w:ascii="Arial" w:hAnsi="Arial" w:cs="Arial"/>
          <w:b/>
        </w:rPr>
        <w:t>concentrations</w:t>
      </w:r>
      <w:r w:rsidR="003F2649">
        <w:rPr>
          <w:rFonts w:ascii="Arial" w:hAnsi="Arial" w:cs="Arial"/>
          <w:b/>
        </w:rPr>
        <w:t xml:space="preserve"> across exposure, treatment, and sex.</w:t>
      </w:r>
      <w:r w:rsidR="003F2649">
        <w:rPr>
          <w:rFonts w:ascii="Arial" w:hAnsi="Arial" w:cs="Arial"/>
        </w:rPr>
        <w:t xml:space="preserve"> </w:t>
      </w:r>
      <w:r w:rsidR="4868162C" w:rsidRPr="2F08335F">
        <w:rPr>
          <w:rFonts w:ascii="Arial" w:hAnsi="Arial" w:cs="Arial"/>
        </w:rPr>
        <w:t xml:space="preserve">Circulating </w:t>
      </w:r>
      <w:r w:rsidR="003F2649">
        <w:rPr>
          <w:rFonts w:ascii="Arial" w:hAnsi="Arial" w:cs="Arial"/>
        </w:rPr>
        <w:t xml:space="preserve">plasma </w:t>
      </w:r>
      <w:r w:rsidR="4868162C" w:rsidRPr="2F08335F">
        <w:rPr>
          <w:rFonts w:ascii="Arial" w:hAnsi="Arial" w:cs="Arial"/>
        </w:rPr>
        <w:t>concentrations of (A) butyric acid and (B) 4-methylvaleric acid in male and female C57BL/6 mice exposed to 35 µg diesel exhaust particles (DEP) suspended in saline or sterile saline control, administered 2×/week for 50 days, and treated with placebo (PLC) or probiotic (PRO). Data are presented as mean ± SEM with individual animals overlaid. Three-way ANOVA revealed a significant main effect of probiotic treatment for both butyric acid (</w:t>
      </w:r>
      <w:proofErr w:type="gramStart"/>
      <w:r w:rsidR="4868162C" w:rsidRPr="2F08335F">
        <w:rPr>
          <w:rFonts w:ascii="Arial" w:hAnsi="Arial" w:cs="Arial"/>
        </w:rPr>
        <w:t>F(</w:t>
      </w:r>
      <w:proofErr w:type="gramEnd"/>
      <w:r w:rsidR="4868162C" w:rsidRPr="2F08335F">
        <w:rPr>
          <w:rFonts w:ascii="Arial" w:hAnsi="Arial" w:cs="Arial"/>
        </w:rPr>
        <w:t>1,54) = 11.36, p = 0.0014, ηp² = 0.17) and 4-methylvaleric acid (</w:t>
      </w:r>
      <w:proofErr w:type="gramStart"/>
      <w:r w:rsidR="4868162C" w:rsidRPr="2F08335F">
        <w:rPr>
          <w:rFonts w:ascii="Arial" w:hAnsi="Arial" w:cs="Arial"/>
        </w:rPr>
        <w:t>F(</w:t>
      </w:r>
      <w:proofErr w:type="gramEnd"/>
      <w:r w:rsidR="4868162C" w:rsidRPr="2F08335F">
        <w:rPr>
          <w:rFonts w:ascii="Arial" w:hAnsi="Arial" w:cs="Arial"/>
        </w:rPr>
        <w:t xml:space="preserve">1,54) = 6.85, p = 0.0115, ηp² = 0.11); no other main effects or interactions reached significance. </w:t>
      </w:r>
    </w:p>
    <w:p w14:paraId="4B4F99C8" w14:textId="599C50E9" w:rsidR="6B40F912" w:rsidRDefault="6B40F912" w:rsidP="2F08335F">
      <w:pPr>
        <w:jc w:val="both"/>
        <w:rPr>
          <w:rFonts w:ascii="Arial" w:hAnsi="Arial" w:cs="Arial"/>
        </w:rPr>
      </w:pPr>
    </w:p>
    <w:p w14:paraId="67540054" w14:textId="0C4D7720" w:rsidR="6B40F912" w:rsidRDefault="5278FC5C" w:rsidP="2F08335F">
      <w:pPr>
        <w:jc w:val="both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9A69977" wp14:editId="5BEA069D">
            <wp:extent cx="5486400" cy="5133975"/>
            <wp:effectExtent l="0" t="0" r="0" b="0"/>
            <wp:docPr id="90272379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723799" name="Picture 90272379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DAF23" w14:textId="5E0FE02A" w:rsidR="6B40F912" w:rsidRDefault="6F1FB3F2" w:rsidP="2F08335F">
      <w:pPr>
        <w:jc w:val="both"/>
      </w:pPr>
      <w:r w:rsidRPr="2F08335F">
        <w:rPr>
          <w:rFonts w:ascii="Arial" w:eastAsia="Arial" w:hAnsi="Arial" w:cs="Arial"/>
          <w:b/>
          <w:bCs/>
        </w:rPr>
        <w:t xml:space="preserve">Figure </w:t>
      </w:r>
      <w:r w:rsidR="000437E0">
        <w:rPr>
          <w:rFonts w:ascii="Arial" w:eastAsia="Arial" w:hAnsi="Arial" w:cs="Arial"/>
          <w:b/>
          <w:bCs/>
        </w:rPr>
        <w:t>S</w:t>
      </w:r>
      <w:r w:rsidRPr="2F08335F">
        <w:rPr>
          <w:rFonts w:ascii="Arial" w:eastAsia="Arial" w:hAnsi="Arial" w:cs="Arial"/>
          <w:b/>
          <w:bCs/>
        </w:rPr>
        <w:t xml:space="preserve">2. Total concentration of </w:t>
      </w:r>
      <w:r w:rsidR="00B92388">
        <w:rPr>
          <w:rFonts w:ascii="Arial" w:eastAsia="Arial" w:hAnsi="Arial" w:cs="Arial"/>
          <w:b/>
          <w:bCs/>
        </w:rPr>
        <w:t xml:space="preserve">plasma </w:t>
      </w:r>
      <w:r w:rsidRPr="2F08335F">
        <w:rPr>
          <w:rFonts w:ascii="Arial" w:eastAsia="Arial" w:hAnsi="Arial" w:cs="Arial"/>
          <w:b/>
          <w:bCs/>
        </w:rPr>
        <w:t>short- and branched-chain fatty acid analytes</w:t>
      </w:r>
      <w:r w:rsidR="00B92388">
        <w:rPr>
          <w:rFonts w:ascii="Arial" w:eastAsia="Arial" w:hAnsi="Arial" w:cs="Arial"/>
          <w:b/>
          <w:bCs/>
        </w:rPr>
        <w:t xml:space="preserve"> across exposure, treatment, and sex</w:t>
      </w:r>
      <w:r w:rsidR="003F2649">
        <w:t xml:space="preserve">. </w:t>
      </w:r>
      <w:r w:rsidRPr="2F08335F">
        <w:rPr>
          <w:rFonts w:ascii="Arial" w:eastAsia="Arial" w:hAnsi="Arial" w:cs="Arial"/>
        </w:rPr>
        <w:t xml:space="preserve">Total </w:t>
      </w:r>
      <w:r w:rsidR="003F2649">
        <w:rPr>
          <w:rFonts w:ascii="Arial" w:eastAsia="Arial" w:hAnsi="Arial" w:cs="Arial"/>
        </w:rPr>
        <w:t xml:space="preserve">plasma </w:t>
      </w:r>
      <w:r w:rsidRPr="2F08335F">
        <w:rPr>
          <w:rFonts w:ascii="Arial" w:eastAsia="Arial" w:hAnsi="Arial" w:cs="Arial"/>
        </w:rPr>
        <w:t>concentration (sum of acetic acid, 3-hydroxybutyric acid, isovaleric acid, hexanoic acid, isobutyric acid, and 2-methylbutyric acid; i.e., the six analytes shown individually in Figure 7</w:t>
      </w:r>
      <w:r w:rsidR="003F2649">
        <w:rPr>
          <w:rFonts w:ascii="Arial" w:eastAsia="Arial" w:hAnsi="Arial" w:cs="Arial"/>
        </w:rPr>
        <w:t xml:space="preserve"> and Figure </w:t>
      </w:r>
      <w:r w:rsidR="00C04891">
        <w:rPr>
          <w:rFonts w:ascii="Arial" w:eastAsia="Arial" w:hAnsi="Arial" w:cs="Arial"/>
        </w:rPr>
        <w:t>S</w:t>
      </w:r>
      <w:r w:rsidR="003F2649">
        <w:rPr>
          <w:rFonts w:ascii="Arial" w:eastAsia="Arial" w:hAnsi="Arial" w:cs="Arial"/>
        </w:rPr>
        <w:t>1</w:t>
      </w:r>
      <w:r w:rsidRPr="2F08335F">
        <w:rPr>
          <w:rFonts w:ascii="Arial" w:eastAsia="Arial" w:hAnsi="Arial" w:cs="Arial"/>
        </w:rPr>
        <w:t>) in male and female C57BL/6 mice exposed to 35 µg diesel exhaust particles (DEP) suspended in saline or sterile saline control, administered 2×/week for 50 days, and treated with placebo (PLC) or probiotic (PRO). Data are presented as mean ± SEM with individual animals overlaid. Because 3-hydroxybutyric acid circulates at substantially higher concentrations than the other five analytes, this composite total is numerically dominated by 3-hydroxybutyric acid and closely mirrors its pattern (Figure 7B); it is not a measure of true SCFA output and should be interpreted as a descriptive summary rather than a distinct biological endpoint. Three-way ANOVA revealed significant main effects of sex (</w:t>
      </w:r>
      <w:proofErr w:type="gramStart"/>
      <w:r w:rsidRPr="2F08335F">
        <w:rPr>
          <w:rFonts w:ascii="Arial" w:eastAsia="Arial" w:hAnsi="Arial" w:cs="Arial"/>
        </w:rPr>
        <w:t>F(</w:t>
      </w:r>
      <w:proofErr w:type="gramEnd"/>
      <w:r w:rsidRPr="2F08335F">
        <w:rPr>
          <w:rFonts w:ascii="Arial" w:eastAsia="Arial" w:hAnsi="Arial" w:cs="Arial"/>
        </w:rPr>
        <w:t>1,51) = 40.87, p &lt; 0.0001, ηp² = 0.45; higher in males) and probiotic treatment (</w:t>
      </w:r>
      <w:proofErr w:type="gramStart"/>
      <w:r w:rsidRPr="2F08335F">
        <w:rPr>
          <w:rFonts w:ascii="Arial" w:eastAsia="Arial" w:hAnsi="Arial" w:cs="Arial"/>
        </w:rPr>
        <w:t>F(</w:t>
      </w:r>
      <w:proofErr w:type="gramEnd"/>
      <w:r w:rsidRPr="2F08335F">
        <w:rPr>
          <w:rFonts w:ascii="Arial" w:eastAsia="Arial" w:hAnsi="Arial" w:cs="Arial"/>
        </w:rPr>
        <w:t>1,51) = 42.64, p &lt; 0.0001, ηp² = 0.46; higher with probiotic in both sexes); the main effect of exposure and all interaction terms were not significant (all p &gt; 0.11).</w:t>
      </w:r>
    </w:p>
    <w:p w14:paraId="64C014E2" w14:textId="30EF8B7A" w:rsidR="6B40F912" w:rsidRDefault="6B40F912" w:rsidP="6B40F912">
      <w:pPr>
        <w:jc w:val="both"/>
      </w:pPr>
    </w:p>
    <w:sectPr w:rsidR="6B40F9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2881154">
    <w:abstractNumId w:val="8"/>
  </w:num>
  <w:num w:numId="2" w16cid:durableId="698698658">
    <w:abstractNumId w:val="6"/>
  </w:num>
  <w:num w:numId="3" w16cid:durableId="985669058">
    <w:abstractNumId w:val="5"/>
  </w:num>
  <w:num w:numId="4" w16cid:durableId="1143542735">
    <w:abstractNumId w:val="4"/>
  </w:num>
  <w:num w:numId="5" w16cid:durableId="1433160727">
    <w:abstractNumId w:val="7"/>
  </w:num>
  <w:num w:numId="6" w16cid:durableId="1966043160">
    <w:abstractNumId w:val="3"/>
  </w:num>
  <w:num w:numId="7" w16cid:durableId="1993292725">
    <w:abstractNumId w:val="2"/>
  </w:num>
  <w:num w:numId="8" w16cid:durableId="1353847463">
    <w:abstractNumId w:val="1"/>
  </w:num>
  <w:num w:numId="9" w16cid:durableId="1917007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D1A"/>
    <w:rsid w:val="00034616"/>
    <w:rsid w:val="000437E0"/>
    <w:rsid w:val="0006063C"/>
    <w:rsid w:val="0015074B"/>
    <w:rsid w:val="00196C5D"/>
    <w:rsid w:val="0029639D"/>
    <w:rsid w:val="00326F90"/>
    <w:rsid w:val="003F2649"/>
    <w:rsid w:val="00503597"/>
    <w:rsid w:val="006822BF"/>
    <w:rsid w:val="008215F4"/>
    <w:rsid w:val="0083324A"/>
    <w:rsid w:val="00AA1D8D"/>
    <w:rsid w:val="00B47730"/>
    <w:rsid w:val="00B92388"/>
    <w:rsid w:val="00C04891"/>
    <w:rsid w:val="00CB0664"/>
    <w:rsid w:val="00E07984"/>
    <w:rsid w:val="00FC693F"/>
    <w:rsid w:val="2DD63EF9"/>
    <w:rsid w:val="2F08335F"/>
    <w:rsid w:val="4868162C"/>
    <w:rsid w:val="5278FC5C"/>
    <w:rsid w:val="6859CA8F"/>
    <w:rsid w:val="6B40F912"/>
    <w:rsid w:val="6F1FB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1B7514"/>
  <w14:defaultImageDpi w14:val="300"/>
  <w15:docId w15:val="{E1BCF493-26BF-0E4D-8D2C-EB2E2E60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701A141780A4AA2A46A8424AB60F3" ma:contentTypeVersion="11" ma:contentTypeDescription="Create a new document." ma:contentTypeScope="" ma:versionID="48f4aadaa2c1311ff4b15a17998f10ef">
  <xsd:schema xmlns:xsd="http://www.w3.org/2001/XMLSchema" xmlns:xs="http://www.w3.org/2001/XMLSchema" xmlns:p="http://schemas.microsoft.com/office/2006/metadata/properties" xmlns:ns2="c75fe323-c20b-47d5-9861-19213e13bee6" xmlns:ns3="1ad0bb02-71e5-4443-bc12-63d95d684636" targetNamespace="http://schemas.microsoft.com/office/2006/metadata/properties" ma:root="true" ma:fieldsID="ec8dbf35343a02dae120805627c0cff5" ns2:_="" ns3:_="">
    <xsd:import namespace="c75fe323-c20b-47d5-9861-19213e13bee6"/>
    <xsd:import namespace="1ad0bb02-71e5-4443-bc12-63d95d684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fe323-c20b-47d5-9861-19213e13be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0bb02-71e5-4443-bc12-63d95d6846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ba3446-d996-44c2-98d4-ee7b94c9c683}" ma:internalName="TaxCatchAll" ma:showField="CatchAllData" ma:web="1ad0bb02-71e5-4443-bc12-63d95d684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fe323-c20b-47d5-9861-19213e13bee6">
      <Terms xmlns="http://schemas.microsoft.com/office/infopath/2007/PartnerControls"/>
    </lcf76f155ced4ddcb4097134ff3c332f>
    <TaxCatchAll xmlns="1ad0bb02-71e5-4443-bc12-63d95d68463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1F9F1F-F1CD-463B-80B6-EAB38F6D3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5fe323-c20b-47d5-9861-19213e13bee6"/>
    <ds:schemaRef ds:uri="1ad0bb02-71e5-4443-bc12-63d95d684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955EB9-1BAF-4BFA-A11E-ACA479146E8C}">
  <ds:schemaRefs>
    <ds:schemaRef ds:uri="http://schemas.microsoft.com/office/2006/metadata/properties"/>
    <ds:schemaRef ds:uri="http://schemas.microsoft.com/office/infopath/2007/PartnerControls"/>
    <ds:schemaRef ds:uri="c75fe323-c20b-47d5-9861-19213e13bee6"/>
    <ds:schemaRef ds:uri="1ad0bb02-71e5-4443-bc12-63d95d684636"/>
  </ds:schemaRefs>
</ds:datastoreItem>
</file>

<file path=customXml/itemProps4.xml><?xml version="1.0" encoding="utf-8"?>
<ds:datastoreItem xmlns:ds="http://schemas.openxmlformats.org/officeDocument/2006/customXml" ds:itemID="{29F5BB6B-6EF7-4C3F-8DCC-841448CDC37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305</Words>
  <Characters>1741</Characters>
  <Application>Microsoft Office Word</Application>
  <DocSecurity>0</DocSecurity>
  <Lines>14</Lines>
  <Paragraphs>4</Paragraphs>
  <ScaleCrop>false</ScaleCrop>
  <Manager/>
  <Company/>
  <LinksUpToDate>false</LinksUpToDate>
  <CharactersWithSpaces>2042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Lund, Amie</cp:lastModifiedBy>
  <cp:revision>6</cp:revision>
  <dcterms:created xsi:type="dcterms:W3CDTF">2026-08-13T22:11:00Z</dcterms:created>
  <dcterms:modified xsi:type="dcterms:W3CDTF">2026-08-14T21:06:00Z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0x010100B05701A141780A4AA2A46A8424AB60F3</vt:lpwstr>
  </property>
  <property fmtid="{D5CDD505-2E9C-101B-9397-08002B2CF9AE}" pid="3" name="MediaServiceImageTags">
    <vt:lpwstr/>
  </property>
</Properties>
</file>