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48960" w14:textId="77777777" w:rsidR="00A63962" w:rsidRPr="0085302F" w:rsidRDefault="00B4219F">
      <w:pPr>
        <w:spacing w:before="480" w:after="120" w:line="480" w:lineRule="auto"/>
        <w:rPr>
          <w:lang w:val="en-GB"/>
        </w:rPr>
      </w:pPr>
      <w:r w:rsidRPr="0085302F">
        <w:rPr>
          <w:b/>
          <w:bCs/>
          <w:color w:val="000000"/>
          <w:lang w:val="en-GB"/>
        </w:rPr>
        <w:t>SUPPLEMENTARY MATERIAL</w:t>
      </w:r>
    </w:p>
    <w:p w14:paraId="57B6E8FD" w14:textId="77777777" w:rsidR="00A63962" w:rsidRPr="0085302F" w:rsidRDefault="00B4219F">
      <w:pPr>
        <w:spacing w:after="80" w:line="480" w:lineRule="auto"/>
        <w:jc w:val="both"/>
        <w:rPr>
          <w:lang w:val="en-GB"/>
        </w:rPr>
      </w:pPr>
      <w:r w:rsidRPr="0085302F">
        <w:rPr>
          <w:b/>
          <w:bCs/>
          <w:color w:val="000000"/>
          <w:lang w:val="en-GB"/>
        </w:rPr>
        <w:t xml:space="preserve">Supplementary Table 1. </w:t>
      </w:r>
      <w:r w:rsidRPr="0085302F">
        <w:rPr>
          <w:color w:val="000000"/>
          <w:lang w:val="en-GB"/>
        </w:rPr>
        <w:t>Distribution of gastric biopsy sampling patterns in the study cohort (N = 801).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1440"/>
        <w:gridCol w:w="1440"/>
        <w:gridCol w:w="1440"/>
      </w:tblGrid>
      <w:tr w:rsidR="00A63962" w:rsidRPr="0085302F" w14:paraId="449AB04C" w14:textId="77777777">
        <w:tc>
          <w:tcPr>
            <w:tcW w:w="5040" w:type="dxa"/>
            <w:tcBorders>
              <w:top w:val="single" w:sz="1" w:space="0" w:color="888888"/>
              <w:left w:val="single" w:sz="1" w:space="0" w:color="888888"/>
              <w:bottom w:val="single" w:sz="1" w:space="0" w:color="888888"/>
              <w:right w:val="single" w:sz="1" w:space="0" w:color="888888"/>
            </w:tcBorders>
            <w:shd w:val="clear" w:color="auto" w:fill="D9E1F2"/>
            <w:tcMar>
              <w:top w:w="55" w:type="dxa"/>
              <w:left w:w="90" w:type="dxa"/>
              <w:bottom w:w="55" w:type="dxa"/>
              <w:right w:w="90" w:type="dxa"/>
            </w:tcMar>
            <w:vAlign w:val="center"/>
          </w:tcPr>
          <w:p w14:paraId="1F1505D5" w14:textId="77777777" w:rsidR="00A63962" w:rsidRPr="0085302F" w:rsidRDefault="00B4219F">
            <w:pPr>
              <w:rPr>
                <w:lang w:val="en-GB"/>
              </w:rPr>
            </w:pPr>
            <w:r w:rsidRPr="0085302F">
              <w:rPr>
                <w:b/>
                <w:bCs/>
                <w:color w:val="000000"/>
                <w:sz w:val="20"/>
                <w:szCs w:val="20"/>
                <w:lang w:val="en-GB"/>
              </w:rPr>
              <w:t>Sampling pattern</w:t>
            </w:r>
          </w:p>
        </w:tc>
        <w:tc>
          <w:tcPr>
            <w:tcW w:w="1440" w:type="dxa"/>
            <w:tcBorders>
              <w:top w:val="single" w:sz="1" w:space="0" w:color="888888"/>
              <w:left w:val="single" w:sz="1" w:space="0" w:color="888888"/>
              <w:bottom w:val="single" w:sz="1" w:space="0" w:color="888888"/>
              <w:right w:val="single" w:sz="1" w:space="0" w:color="888888"/>
            </w:tcBorders>
            <w:shd w:val="clear" w:color="auto" w:fill="D9E1F2"/>
            <w:tcMar>
              <w:top w:w="55" w:type="dxa"/>
              <w:left w:w="90" w:type="dxa"/>
              <w:bottom w:w="55" w:type="dxa"/>
              <w:right w:w="90" w:type="dxa"/>
            </w:tcMar>
            <w:vAlign w:val="center"/>
          </w:tcPr>
          <w:p w14:paraId="048D80A4" w14:textId="77777777" w:rsidR="00A63962" w:rsidRPr="0085302F" w:rsidRDefault="00B4219F">
            <w:pPr>
              <w:jc w:val="center"/>
              <w:rPr>
                <w:lang w:val="en-GB"/>
              </w:rPr>
            </w:pPr>
            <w:r w:rsidRPr="0085302F">
              <w:rPr>
                <w:b/>
                <w:bCs/>
                <w:color w:val="000000"/>
                <w:sz w:val="20"/>
                <w:szCs w:val="20"/>
                <w:lang w:val="en-GB"/>
              </w:rPr>
              <w:t>n</w:t>
            </w:r>
          </w:p>
        </w:tc>
        <w:tc>
          <w:tcPr>
            <w:tcW w:w="1440" w:type="dxa"/>
            <w:tcBorders>
              <w:top w:val="single" w:sz="1" w:space="0" w:color="888888"/>
              <w:left w:val="single" w:sz="1" w:space="0" w:color="888888"/>
              <w:bottom w:val="single" w:sz="1" w:space="0" w:color="888888"/>
              <w:right w:val="single" w:sz="1" w:space="0" w:color="888888"/>
            </w:tcBorders>
            <w:shd w:val="clear" w:color="auto" w:fill="D9E1F2"/>
            <w:tcMar>
              <w:top w:w="55" w:type="dxa"/>
              <w:left w:w="90" w:type="dxa"/>
              <w:bottom w:w="55" w:type="dxa"/>
              <w:right w:w="90" w:type="dxa"/>
            </w:tcMar>
            <w:vAlign w:val="center"/>
          </w:tcPr>
          <w:p w14:paraId="438CD943" w14:textId="77777777" w:rsidR="00A63962" w:rsidRPr="0085302F" w:rsidRDefault="00B4219F">
            <w:pPr>
              <w:jc w:val="center"/>
              <w:rPr>
                <w:lang w:val="en-GB"/>
              </w:rPr>
            </w:pPr>
            <w:r w:rsidRPr="0085302F">
              <w:rPr>
                <w:b/>
                <w:bCs/>
                <w:color w:val="000000"/>
                <w:sz w:val="20"/>
                <w:szCs w:val="20"/>
                <w:lang w:val="en-GB"/>
              </w:rPr>
              <w:t>%</w:t>
            </w:r>
          </w:p>
        </w:tc>
        <w:tc>
          <w:tcPr>
            <w:tcW w:w="1440" w:type="dxa"/>
            <w:tcBorders>
              <w:top w:val="single" w:sz="1" w:space="0" w:color="888888"/>
              <w:left w:val="single" w:sz="1" w:space="0" w:color="888888"/>
              <w:bottom w:val="single" w:sz="1" w:space="0" w:color="888888"/>
              <w:right w:val="single" w:sz="1" w:space="0" w:color="888888"/>
            </w:tcBorders>
            <w:shd w:val="clear" w:color="auto" w:fill="D9E1F2"/>
            <w:tcMar>
              <w:top w:w="55" w:type="dxa"/>
              <w:left w:w="90" w:type="dxa"/>
              <w:bottom w:w="55" w:type="dxa"/>
              <w:right w:w="90" w:type="dxa"/>
            </w:tcMar>
            <w:vAlign w:val="center"/>
          </w:tcPr>
          <w:p w14:paraId="0D77B656" w14:textId="77777777" w:rsidR="00A63962" w:rsidRPr="0085302F" w:rsidRDefault="00B4219F">
            <w:pPr>
              <w:jc w:val="center"/>
              <w:rPr>
                <w:lang w:val="en-GB"/>
              </w:rPr>
            </w:pPr>
            <w:r w:rsidRPr="0085302F">
              <w:rPr>
                <w:b/>
                <w:bCs/>
                <w:color w:val="000000"/>
                <w:sz w:val="20"/>
                <w:szCs w:val="20"/>
                <w:lang w:val="en-GB"/>
              </w:rPr>
              <w:t>Cumulative %</w:t>
            </w:r>
          </w:p>
        </w:tc>
      </w:tr>
      <w:tr w:rsidR="00A63962" w:rsidRPr="0085302F" w14:paraId="375AAB85"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7D6A3024" w14:textId="77777777" w:rsidR="00A63962" w:rsidRPr="0085302F" w:rsidRDefault="00B4219F">
            <w:pPr>
              <w:rPr>
                <w:lang w:val="en-GB"/>
              </w:rPr>
            </w:pPr>
            <w:r w:rsidRPr="0085302F">
              <w:rPr>
                <w:color w:val="000000"/>
                <w:sz w:val="20"/>
                <w:szCs w:val="20"/>
                <w:lang w:val="en-GB"/>
              </w:rPr>
              <w:t>Antrum only (1 site)</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6DC5E1CA" w14:textId="77777777" w:rsidR="00A63962" w:rsidRPr="0085302F" w:rsidRDefault="00B4219F">
            <w:pPr>
              <w:jc w:val="center"/>
              <w:rPr>
                <w:lang w:val="en-GB"/>
              </w:rPr>
            </w:pPr>
            <w:r w:rsidRPr="0085302F">
              <w:rPr>
                <w:color w:val="000000"/>
                <w:sz w:val="20"/>
                <w:szCs w:val="20"/>
                <w:lang w:val="en-GB"/>
              </w:rPr>
              <w:t>148</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B740761" w14:textId="77777777" w:rsidR="00A63962" w:rsidRPr="0085302F" w:rsidRDefault="00B4219F">
            <w:pPr>
              <w:jc w:val="center"/>
              <w:rPr>
                <w:lang w:val="en-GB"/>
              </w:rPr>
            </w:pPr>
            <w:r w:rsidRPr="0085302F">
              <w:rPr>
                <w:color w:val="000000"/>
                <w:sz w:val="20"/>
                <w:szCs w:val="20"/>
                <w:lang w:val="en-GB"/>
              </w:rPr>
              <w:t>18.5</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0D4BFDF7" w14:textId="77777777" w:rsidR="00A63962" w:rsidRPr="0085302F" w:rsidRDefault="00B4219F">
            <w:pPr>
              <w:jc w:val="center"/>
              <w:rPr>
                <w:lang w:val="en-GB"/>
              </w:rPr>
            </w:pPr>
            <w:r w:rsidRPr="0085302F">
              <w:rPr>
                <w:color w:val="000000"/>
                <w:sz w:val="20"/>
                <w:szCs w:val="20"/>
                <w:lang w:val="en-GB"/>
              </w:rPr>
              <w:t>18.5</w:t>
            </w:r>
          </w:p>
        </w:tc>
      </w:tr>
      <w:tr w:rsidR="00A63962" w:rsidRPr="0085302F" w14:paraId="3740A8F2"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2C72EF66" w14:textId="77777777" w:rsidR="00A63962" w:rsidRPr="0085302F" w:rsidRDefault="00B4219F">
            <w:pPr>
              <w:rPr>
                <w:lang w:val="en-GB"/>
              </w:rPr>
            </w:pPr>
            <w:r w:rsidRPr="0085302F">
              <w:rPr>
                <w:color w:val="000000"/>
                <w:sz w:val="20"/>
                <w:szCs w:val="20"/>
                <w:lang w:val="en-GB"/>
              </w:rPr>
              <w:t>Corpus only (1 site)</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056ECFA" w14:textId="77777777" w:rsidR="00A63962" w:rsidRPr="0085302F" w:rsidRDefault="00B4219F">
            <w:pPr>
              <w:jc w:val="center"/>
              <w:rPr>
                <w:lang w:val="en-GB"/>
              </w:rPr>
            </w:pPr>
            <w:r w:rsidRPr="0085302F">
              <w:rPr>
                <w:color w:val="000000"/>
                <w:sz w:val="20"/>
                <w:szCs w:val="20"/>
                <w:lang w:val="en-GB"/>
              </w:rPr>
              <w:t>27</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1CE1341" w14:textId="77777777" w:rsidR="00A63962" w:rsidRPr="0085302F" w:rsidRDefault="00B4219F">
            <w:pPr>
              <w:jc w:val="center"/>
              <w:rPr>
                <w:lang w:val="en-GB"/>
              </w:rPr>
            </w:pPr>
            <w:r w:rsidRPr="0085302F">
              <w:rPr>
                <w:color w:val="000000"/>
                <w:sz w:val="20"/>
                <w:szCs w:val="20"/>
                <w:lang w:val="en-GB"/>
              </w:rPr>
              <w:t>3.4</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49C575AF" w14:textId="77777777" w:rsidR="00A63962" w:rsidRPr="0085302F" w:rsidRDefault="00B4219F">
            <w:pPr>
              <w:jc w:val="center"/>
              <w:rPr>
                <w:lang w:val="en-GB"/>
              </w:rPr>
            </w:pPr>
            <w:r w:rsidRPr="0085302F">
              <w:rPr>
                <w:color w:val="000000"/>
                <w:sz w:val="20"/>
                <w:szCs w:val="20"/>
                <w:lang w:val="en-GB"/>
              </w:rPr>
              <w:t>21.9</w:t>
            </w:r>
          </w:p>
        </w:tc>
      </w:tr>
      <w:tr w:rsidR="00A63962" w:rsidRPr="0085302F" w14:paraId="38A2CF81"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469E14BF" w14:textId="77777777" w:rsidR="00A63962" w:rsidRPr="0085302F" w:rsidRDefault="00B4219F">
            <w:pPr>
              <w:rPr>
                <w:lang w:val="en-GB"/>
              </w:rPr>
            </w:pPr>
            <w:r w:rsidRPr="0085302F">
              <w:rPr>
                <w:color w:val="000000"/>
                <w:sz w:val="20"/>
                <w:szCs w:val="20"/>
                <w:lang w:val="en-GB"/>
              </w:rPr>
              <w:t>Incisura only (1 site)</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98EAC25" w14:textId="77777777" w:rsidR="00A63962" w:rsidRPr="0085302F" w:rsidRDefault="00B4219F">
            <w:pPr>
              <w:jc w:val="center"/>
              <w:rPr>
                <w:lang w:val="en-GB"/>
              </w:rPr>
            </w:pPr>
            <w:r w:rsidRPr="0085302F">
              <w:rPr>
                <w:color w:val="000000"/>
                <w:sz w:val="20"/>
                <w:szCs w:val="20"/>
                <w:lang w:val="en-GB"/>
              </w:rPr>
              <w:t>52</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16EC93B" w14:textId="77777777" w:rsidR="00A63962" w:rsidRPr="0085302F" w:rsidRDefault="00B4219F">
            <w:pPr>
              <w:jc w:val="center"/>
              <w:rPr>
                <w:lang w:val="en-GB"/>
              </w:rPr>
            </w:pPr>
            <w:r w:rsidRPr="0085302F">
              <w:rPr>
                <w:color w:val="000000"/>
                <w:sz w:val="20"/>
                <w:szCs w:val="20"/>
                <w:lang w:val="en-GB"/>
              </w:rPr>
              <w:t>6.5</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022AA259" w14:textId="77777777" w:rsidR="00A63962" w:rsidRPr="0085302F" w:rsidRDefault="00B4219F">
            <w:pPr>
              <w:jc w:val="center"/>
              <w:rPr>
                <w:lang w:val="en-GB"/>
              </w:rPr>
            </w:pPr>
            <w:r w:rsidRPr="0085302F">
              <w:rPr>
                <w:color w:val="000000"/>
                <w:sz w:val="20"/>
                <w:szCs w:val="20"/>
                <w:lang w:val="en-GB"/>
              </w:rPr>
              <w:t>28.3</w:t>
            </w:r>
          </w:p>
        </w:tc>
      </w:tr>
      <w:tr w:rsidR="00A63962" w:rsidRPr="0085302F" w14:paraId="216A3A3F"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8FF50EB" w14:textId="77777777" w:rsidR="00A63962" w:rsidRPr="0085302F" w:rsidRDefault="00B4219F">
            <w:pPr>
              <w:rPr>
                <w:lang w:val="en-GB"/>
              </w:rPr>
            </w:pPr>
            <w:r w:rsidRPr="0085302F">
              <w:rPr>
                <w:color w:val="000000"/>
                <w:sz w:val="20"/>
                <w:szCs w:val="20"/>
                <w:lang w:val="en-GB"/>
              </w:rPr>
              <w:t>Antrum + corpus (2 sites)</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5D03C09" w14:textId="77777777" w:rsidR="00A63962" w:rsidRPr="0085302F" w:rsidRDefault="00B4219F">
            <w:pPr>
              <w:jc w:val="center"/>
              <w:rPr>
                <w:lang w:val="en-GB"/>
              </w:rPr>
            </w:pPr>
            <w:r w:rsidRPr="0085302F">
              <w:rPr>
                <w:color w:val="000000"/>
                <w:sz w:val="20"/>
                <w:szCs w:val="20"/>
                <w:lang w:val="en-GB"/>
              </w:rPr>
              <w:t>327</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09BF7FE" w14:textId="77777777" w:rsidR="00A63962" w:rsidRPr="0085302F" w:rsidRDefault="00B4219F">
            <w:pPr>
              <w:jc w:val="center"/>
              <w:rPr>
                <w:lang w:val="en-GB"/>
              </w:rPr>
            </w:pPr>
            <w:r w:rsidRPr="0085302F">
              <w:rPr>
                <w:color w:val="000000"/>
                <w:sz w:val="20"/>
                <w:szCs w:val="20"/>
                <w:lang w:val="en-GB"/>
              </w:rPr>
              <w:t>40.8</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6A859321" w14:textId="77777777" w:rsidR="00A63962" w:rsidRPr="0085302F" w:rsidRDefault="00B4219F">
            <w:pPr>
              <w:jc w:val="center"/>
              <w:rPr>
                <w:lang w:val="en-GB"/>
              </w:rPr>
            </w:pPr>
            <w:r w:rsidRPr="0085302F">
              <w:rPr>
                <w:color w:val="000000"/>
                <w:sz w:val="20"/>
                <w:szCs w:val="20"/>
                <w:lang w:val="en-GB"/>
              </w:rPr>
              <w:t>69.2</w:t>
            </w:r>
          </w:p>
        </w:tc>
      </w:tr>
      <w:tr w:rsidR="00A63962" w:rsidRPr="0085302F" w14:paraId="2D170B4E"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034953E3" w14:textId="77777777" w:rsidR="00A63962" w:rsidRPr="0085302F" w:rsidRDefault="00B4219F">
            <w:pPr>
              <w:rPr>
                <w:lang w:val="en-GB"/>
              </w:rPr>
            </w:pPr>
            <w:r w:rsidRPr="0085302F">
              <w:rPr>
                <w:color w:val="000000"/>
                <w:sz w:val="20"/>
                <w:szCs w:val="20"/>
                <w:lang w:val="en-GB"/>
              </w:rPr>
              <w:t>Antrum + incisura (2 sites)</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2F23EC81" w14:textId="77777777" w:rsidR="00A63962" w:rsidRPr="0085302F" w:rsidRDefault="00B4219F">
            <w:pPr>
              <w:jc w:val="center"/>
              <w:rPr>
                <w:lang w:val="en-GB"/>
              </w:rPr>
            </w:pPr>
            <w:r w:rsidRPr="0085302F">
              <w:rPr>
                <w:color w:val="000000"/>
                <w:sz w:val="20"/>
                <w:szCs w:val="20"/>
                <w:lang w:val="en-GB"/>
              </w:rPr>
              <w:t>19</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1034DDD2" w14:textId="77777777" w:rsidR="00A63962" w:rsidRPr="0085302F" w:rsidRDefault="00B4219F">
            <w:pPr>
              <w:jc w:val="center"/>
              <w:rPr>
                <w:lang w:val="en-GB"/>
              </w:rPr>
            </w:pPr>
            <w:r w:rsidRPr="0085302F">
              <w:rPr>
                <w:color w:val="000000"/>
                <w:sz w:val="20"/>
                <w:szCs w:val="20"/>
                <w:lang w:val="en-GB"/>
              </w:rPr>
              <w:t>2.4</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72E7A4F" w14:textId="77777777" w:rsidR="00A63962" w:rsidRPr="0085302F" w:rsidRDefault="00B4219F">
            <w:pPr>
              <w:jc w:val="center"/>
              <w:rPr>
                <w:lang w:val="en-GB"/>
              </w:rPr>
            </w:pPr>
            <w:r w:rsidRPr="0085302F">
              <w:rPr>
                <w:color w:val="000000"/>
                <w:sz w:val="20"/>
                <w:szCs w:val="20"/>
                <w:lang w:val="en-GB"/>
              </w:rPr>
              <w:t>71.5</w:t>
            </w:r>
          </w:p>
        </w:tc>
      </w:tr>
      <w:tr w:rsidR="00A63962" w:rsidRPr="0085302F" w14:paraId="5C0F3AD1"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68198AAC" w14:textId="77777777" w:rsidR="00A63962" w:rsidRPr="0085302F" w:rsidRDefault="00B4219F">
            <w:pPr>
              <w:rPr>
                <w:lang w:val="en-GB"/>
              </w:rPr>
            </w:pPr>
            <w:r w:rsidRPr="0085302F">
              <w:rPr>
                <w:color w:val="000000"/>
                <w:sz w:val="20"/>
                <w:szCs w:val="20"/>
                <w:lang w:val="en-GB"/>
              </w:rPr>
              <w:t>Corpus + incisura (2 sites)</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6E9D26F" w14:textId="77777777" w:rsidR="00A63962" w:rsidRPr="0085302F" w:rsidRDefault="00B4219F">
            <w:pPr>
              <w:jc w:val="center"/>
              <w:rPr>
                <w:lang w:val="en-GB"/>
              </w:rPr>
            </w:pPr>
            <w:r w:rsidRPr="0085302F">
              <w:rPr>
                <w:color w:val="000000"/>
                <w:sz w:val="20"/>
                <w:szCs w:val="20"/>
                <w:lang w:val="en-GB"/>
              </w:rPr>
              <w:t>6</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433AC005" w14:textId="77777777" w:rsidR="00A63962" w:rsidRPr="0085302F" w:rsidRDefault="00B4219F">
            <w:pPr>
              <w:jc w:val="center"/>
              <w:rPr>
                <w:lang w:val="en-GB"/>
              </w:rPr>
            </w:pPr>
            <w:r w:rsidRPr="0085302F">
              <w:rPr>
                <w:color w:val="000000"/>
                <w:sz w:val="20"/>
                <w:szCs w:val="20"/>
                <w:lang w:val="en-GB"/>
              </w:rPr>
              <w:t>0.7</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FE55589" w14:textId="77777777" w:rsidR="00A63962" w:rsidRPr="0085302F" w:rsidRDefault="00B4219F">
            <w:pPr>
              <w:jc w:val="center"/>
              <w:rPr>
                <w:lang w:val="en-GB"/>
              </w:rPr>
            </w:pPr>
            <w:r w:rsidRPr="0085302F">
              <w:rPr>
                <w:color w:val="000000"/>
                <w:sz w:val="20"/>
                <w:szCs w:val="20"/>
                <w:lang w:val="en-GB"/>
              </w:rPr>
              <w:t>72.3</w:t>
            </w:r>
          </w:p>
        </w:tc>
      </w:tr>
      <w:tr w:rsidR="00A63962" w:rsidRPr="0085302F" w14:paraId="44E4013B"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4F5039CB" w14:textId="7B5E96AF" w:rsidR="00A63962" w:rsidRPr="000777B5" w:rsidRDefault="000777B5">
            <w:pPr>
              <w:rPr>
                <w:lang w:val="en-GB"/>
              </w:rPr>
            </w:pPr>
            <w:r>
              <w:rPr>
                <w:b/>
                <w:bCs/>
                <w:color w:val="000000"/>
                <w:sz w:val="20"/>
                <w:szCs w:val="20"/>
                <w:lang w:val="en-GB"/>
              </w:rPr>
              <w:t>T</w:t>
            </w:r>
            <w:r w:rsidRPr="000777B5">
              <w:rPr>
                <w:b/>
                <w:bCs/>
                <w:color w:val="000000"/>
                <w:sz w:val="20"/>
                <w:szCs w:val="20"/>
                <w:lang w:val="en-GB"/>
              </w:rPr>
              <w:t>hree-site topographic sampling, including antrum, corpus, and incisura</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3C600BA" w14:textId="77777777" w:rsidR="00A63962" w:rsidRPr="0085302F" w:rsidRDefault="00B4219F">
            <w:pPr>
              <w:jc w:val="center"/>
              <w:rPr>
                <w:lang w:val="en-GB"/>
              </w:rPr>
            </w:pPr>
            <w:r w:rsidRPr="0085302F">
              <w:rPr>
                <w:b/>
                <w:bCs/>
                <w:color w:val="000000"/>
                <w:sz w:val="20"/>
                <w:szCs w:val="20"/>
                <w:lang w:val="en-GB"/>
              </w:rPr>
              <w:t>201</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6E16D38F" w14:textId="77777777" w:rsidR="00A63962" w:rsidRPr="0085302F" w:rsidRDefault="00B4219F">
            <w:pPr>
              <w:jc w:val="center"/>
              <w:rPr>
                <w:lang w:val="en-GB"/>
              </w:rPr>
            </w:pPr>
            <w:r w:rsidRPr="0085302F">
              <w:rPr>
                <w:b/>
                <w:bCs/>
                <w:color w:val="000000"/>
                <w:sz w:val="20"/>
                <w:szCs w:val="20"/>
                <w:lang w:val="en-GB"/>
              </w:rPr>
              <w:t>25.1</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7CBEF5AE" w14:textId="77777777" w:rsidR="00A63962" w:rsidRPr="0085302F" w:rsidRDefault="00B4219F">
            <w:pPr>
              <w:jc w:val="center"/>
              <w:rPr>
                <w:lang w:val="en-GB"/>
              </w:rPr>
            </w:pPr>
            <w:r w:rsidRPr="0085302F">
              <w:rPr>
                <w:b/>
                <w:bCs/>
                <w:color w:val="000000"/>
                <w:sz w:val="20"/>
                <w:szCs w:val="20"/>
                <w:lang w:val="en-GB"/>
              </w:rPr>
              <w:t>97.4</w:t>
            </w:r>
          </w:p>
        </w:tc>
      </w:tr>
      <w:tr w:rsidR="00A63962" w:rsidRPr="0085302F" w14:paraId="6A77763D"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7A10195C" w14:textId="77777777" w:rsidR="00A63962" w:rsidRPr="0085302F" w:rsidRDefault="00B4219F">
            <w:pPr>
              <w:rPr>
                <w:lang w:val="en-GB"/>
              </w:rPr>
            </w:pPr>
            <w:r w:rsidRPr="0085302F">
              <w:rPr>
                <w:color w:val="000000"/>
                <w:sz w:val="20"/>
                <w:szCs w:val="20"/>
                <w:lang w:val="en-GB"/>
              </w:rPr>
              <w:t>Missing / not recorded</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56A9D1F6" w14:textId="77777777" w:rsidR="00A63962" w:rsidRPr="0085302F" w:rsidRDefault="00B4219F">
            <w:pPr>
              <w:jc w:val="center"/>
              <w:rPr>
                <w:lang w:val="en-GB"/>
              </w:rPr>
            </w:pPr>
            <w:r w:rsidRPr="0085302F">
              <w:rPr>
                <w:color w:val="000000"/>
                <w:sz w:val="20"/>
                <w:szCs w:val="20"/>
                <w:lang w:val="en-GB"/>
              </w:rPr>
              <w:t>21</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4BE8A7CD" w14:textId="77777777" w:rsidR="00A63962" w:rsidRPr="0085302F" w:rsidRDefault="00B4219F">
            <w:pPr>
              <w:jc w:val="center"/>
              <w:rPr>
                <w:lang w:val="en-GB"/>
              </w:rPr>
            </w:pPr>
            <w:r w:rsidRPr="0085302F">
              <w:rPr>
                <w:color w:val="000000"/>
                <w:sz w:val="20"/>
                <w:szCs w:val="20"/>
                <w:lang w:val="en-GB"/>
              </w:rPr>
              <w:t>2.6</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77A50B8" w14:textId="77777777" w:rsidR="00A63962" w:rsidRPr="0085302F" w:rsidRDefault="00B4219F">
            <w:pPr>
              <w:jc w:val="center"/>
              <w:rPr>
                <w:lang w:val="en-GB"/>
              </w:rPr>
            </w:pPr>
            <w:r w:rsidRPr="0085302F">
              <w:rPr>
                <w:color w:val="000000"/>
                <w:sz w:val="20"/>
                <w:szCs w:val="20"/>
                <w:lang w:val="en-GB"/>
              </w:rPr>
              <w:t>100.0</w:t>
            </w:r>
          </w:p>
        </w:tc>
      </w:tr>
      <w:tr w:rsidR="00A63962" w:rsidRPr="0085302F" w14:paraId="09226D11" w14:textId="77777777">
        <w:tc>
          <w:tcPr>
            <w:tcW w:w="50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03FFE25F" w14:textId="77777777" w:rsidR="00A63962" w:rsidRPr="0085302F" w:rsidRDefault="00B4219F">
            <w:pPr>
              <w:rPr>
                <w:lang w:val="en-GB"/>
              </w:rPr>
            </w:pPr>
            <w:r w:rsidRPr="0085302F">
              <w:rPr>
                <w:b/>
                <w:bCs/>
                <w:color w:val="000000"/>
                <w:sz w:val="20"/>
                <w:szCs w:val="20"/>
                <w:lang w:val="en-GB"/>
              </w:rPr>
              <w:t>Total</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0A9C12AF" w14:textId="77777777" w:rsidR="00A63962" w:rsidRPr="0085302F" w:rsidRDefault="00B4219F">
            <w:pPr>
              <w:jc w:val="center"/>
              <w:rPr>
                <w:lang w:val="en-GB"/>
              </w:rPr>
            </w:pPr>
            <w:r w:rsidRPr="0085302F">
              <w:rPr>
                <w:b/>
                <w:bCs/>
                <w:color w:val="000000"/>
                <w:sz w:val="20"/>
                <w:szCs w:val="20"/>
                <w:lang w:val="en-GB"/>
              </w:rPr>
              <w:t>801</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20857195" w14:textId="77777777" w:rsidR="00A63962" w:rsidRPr="0085302F" w:rsidRDefault="00B4219F">
            <w:pPr>
              <w:jc w:val="center"/>
              <w:rPr>
                <w:lang w:val="en-GB"/>
              </w:rPr>
            </w:pPr>
            <w:r w:rsidRPr="0085302F">
              <w:rPr>
                <w:b/>
                <w:bCs/>
                <w:color w:val="000000"/>
                <w:sz w:val="20"/>
                <w:szCs w:val="20"/>
                <w:lang w:val="en-GB"/>
              </w:rPr>
              <w:t>100.0</w:t>
            </w:r>
          </w:p>
        </w:tc>
        <w:tc>
          <w:tcPr>
            <w:tcW w:w="1440" w:type="dxa"/>
            <w:tcBorders>
              <w:top w:val="single" w:sz="1" w:space="0" w:color="888888"/>
              <w:left w:val="single" w:sz="1" w:space="0" w:color="888888"/>
              <w:bottom w:val="single" w:sz="1" w:space="0" w:color="888888"/>
              <w:right w:val="single" w:sz="1" w:space="0" w:color="888888"/>
            </w:tcBorders>
            <w:tcMar>
              <w:top w:w="55" w:type="dxa"/>
              <w:left w:w="90" w:type="dxa"/>
              <w:bottom w:w="55" w:type="dxa"/>
              <w:right w:w="90" w:type="dxa"/>
            </w:tcMar>
            <w:vAlign w:val="center"/>
          </w:tcPr>
          <w:p w14:paraId="3A6328D6" w14:textId="77777777" w:rsidR="00A63962" w:rsidRPr="0085302F" w:rsidRDefault="00A63962">
            <w:pPr>
              <w:jc w:val="center"/>
              <w:rPr>
                <w:lang w:val="en-GB"/>
              </w:rPr>
            </w:pPr>
          </w:p>
        </w:tc>
      </w:tr>
    </w:tbl>
    <w:p w14:paraId="08BED80E" w14:textId="5B5FD399" w:rsidR="00A63962" w:rsidRPr="0085302F" w:rsidRDefault="00B4219F">
      <w:pPr>
        <w:spacing w:line="480" w:lineRule="auto"/>
        <w:jc w:val="both"/>
        <w:rPr>
          <w:lang w:val="en-GB"/>
        </w:rPr>
      </w:pPr>
      <w:r w:rsidRPr="0085302F">
        <w:rPr>
          <w:color w:val="000000"/>
          <w:sz w:val="20"/>
          <w:szCs w:val="20"/>
          <w:lang w:val="en-GB"/>
        </w:rPr>
        <w:t xml:space="preserve">Biopsy-site information was unavailable for 21 patients (2.6%). </w:t>
      </w:r>
      <w:r w:rsidR="000777B5" w:rsidRPr="000777B5">
        <w:rPr>
          <w:color w:val="000000"/>
          <w:sz w:val="20"/>
          <w:szCs w:val="20"/>
          <w:lang w:val="en-GB"/>
        </w:rPr>
        <w:t>three-site topographic sampling, including antrum, corpus, and incisura</w:t>
      </w:r>
      <w:r w:rsidR="0041365D">
        <w:rPr>
          <w:color w:val="000000"/>
          <w:sz w:val="20"/>
          <w:szCs w:val="20"/>
          <w:lang w:val="en-GB"/>
        </w:rPr>
        <w:t>,</w:t>
      </w:r>
      <w:r w:rsidRPr="0085302F">
        <w:rPr>
          <w:color w:val="000000"/>
          <w:sz w:val="20"/>
          <w:szCs w:val="20"/>
          <w:lang w:val="en-GB"/>
        </w:rPr>
        <w:t xml:space="preserve"> was achieved in 25.1% of endoscopies. Among staged patients (n = 521), those with three-site sampling had a substantially higher proportion of </w:t>
      </w:r>
      <w:r w:rsidR="00090A18" w:rsidRPr="0085302F">
        <w:rPr>
          <w:color w:val="000000"/>
          <w:sz w:val="20"/>
          <w:szCs w:val="20"/>
          <w:lang w:val="en-GB"/>
        </w:rPr>
        <w:t xml:space="preserve">OLGA/OLGIM stage ≥ </w:t>
      </w:r>
      <w:r w:rsidR="0038467C" w:rsidRPr="0085302F">
        <w:rPr>
          <w:color w:val="000000"/>
          <w:sz w:val="20"/>
          <w:szCs w:val="20"/>
          <w:lang w:val="en-GB"/>
        </w:rPr>
        <w:t>II (</w:t>
      </w:r>
      <w:r w:rsidRPr="0085302F">
        <w:rPr>
          <w:color w:val="000000"/>
          <w:sz w:val="20"/>
          <w:szCs w:val="20"/>
          <w:lang w:val="en-GB"/>
        </w:rPr>
        <w:t>10.3%) compared with those with incomplete sampling (3.1%), indicating probable underestimation of advanced disease in the overall cohort.</w:t>
      </w:r>
    </w:p>
    <w:sectPr w:rsidR="00A63962" w:rsidRPr="0085302F">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48D02" w14:textId="77777777" w:rsidR="00A319D2" w:rsidRDefault="00A319D2" w:rsidP="0085302F">
      <w:r>
        <w:separator/>
      </w:r>
    </w:p>
  </w:endnote>
  <w:endnote w:type="continuationSeparator" w:id="0">
    <w:p w14:paraId="4D458196" w14:textId="77777777" w:rsidR="00A319D2" w:rsidRDefault="00A319D2" w:rsidP="00853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16BC1" w14:textId="77777777" w:rsidR="00A319D2" w:rsidRDefault="00A319D2" w:rsidP="0085302F">
      <w:r>
        <w:separator/>
      </w:r>
    </w:p>
  </w:footnote>
  <w:footnote w:type="continuationSeparator" w:id="0">
    <w:p w14:paraId="5FA7399E" w14:textId="77777777" w:rsidR="00A319D2" w:rsidRDefault="00A319D2" w:rsidP="00853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525A9"/>
    <w:multiLevelType w:val="hybridMultilevel"/>
    <w:tmpl w:val="07FA72DA"/>
    <w:lvl w:ilvl="0" w:tplc="8C94800C">
      <w:start w:val="1"/>
      <w:numFmt w:val="bullet"/>
      <w:lvlText w:val="●"/>
      <w:lvlJc w:val="left"/>
      <w:pPr>
        <w:ind w:left="720" w:hanging="360"/>
      </w:pPr>
    </w:lvl>
    <w:lvl w:ilvl="1" w:tplc="BC2A1180">
      <w:start w:val="1"/>
      <w:numFmt w:val="bullet"/>
      <w:lvlText w:val="○"/>
      <w:lvlJc w:val="left"/>
      <w:pPr>
        <w:ind w:left="1440" w:hanging="360"/>
      </w:pPr>
    </w:lvl>
    <w:lvl w:ilvl="2" w:tplc="C1D2069C">
      <w:start w:val="1"/>
      <w:numFmt w:val="bullet"/>
      <w:lvlText w:val="■"/>
      <w:lvlJc w:val="left"/>
      <w:pPr>
        <w:ind w:left="2160" w:hanging="360"/>
      </w:pPr>
    </w:lvl>
    <w:lvl w:ilvl="3" w:tplc="0CB49142">
      <w:start w:val="1"/>
      <w:numFmt w:val="bullet"/>
      <w:lvlText w:val="●"/>
      <w:lvlJc w:val="left"/>
      <w:pPr>
        <w:ind w:left="2880" w:hanging="360"/>
      </w:pPr>
    </w:lvl>
    <w:lvl w:ilvl="4" w:tplc="39B441AA">
      <w:start w:val="1"/>
      <w:numFmt w:val="bullet"/>
      <w:lvlText w:val="○"/>
      <w:lvlJc w:val="left"/>
      <w:pPr>
        <w:ind w:left="3600" w:hanging="360"/>
      </w:pPr>
    </w:lvl>
    <w:lvl w:ilvl="5" w:tplc="97F8844E">
      <w:start w:val="1"/>
      <w:numFmt w:val="bullet"/>
      <w:lvlText w:val="■"/>
      <w:lvlJc w:val="left"/>
      <w:pPr>
        <w:ind w:left="4320" w:hanging="360"/>
      </w:pPr>
    </w:lvl>
    <w:lvl w:ilvl="6" w:tplc="30AEF756">
      <w:start w:val="1"/>
      <w:numFmt w:val="bullet"/>
      <w:lvlText w:val="●"/>
      <w:lvlJc w:val="left"/>
      <w:pPr>
        <w:ind w:left="5040" w:hanging="360"/>
      </w:pPr>
    </w:lvl>
    <w:lvl w:ilvl="7" w:tplc="4D9259B4">
      <w:start w:val="1"/>
      <w:numFmt w:val="bullet"/>
      <w:lvlText w:val="●"/>
      <w:lvlJc w:val="left"/>
      <w:pPr>
        <w:ind w:left="5760" w:hanging="360"/>
      </w:pPr>
    </w:lvl>
    <w:lvl w:ilvl="8" w:tplc="D616A43C">
      <w:start w:val="1"/>
      <w:numFmt w:val="bullet"/>
      <w:lvlText w:val="●"/>
      <w:lvlJc w:val="left"/>
      <w:pPr>
        <w:ind w:left="6480" w:hanging="360"/>
      </w:pPr>
    </w:lvl>
  </w:abstractNum>
  <w:num w:numId="1" w16cid:durableId="12503871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962"/>
    <w:rsid w:val="00007D4B"/>
    <w:rsid w:val="00020B89"/>
    <w:rsid w:val="00022603"/>
    <w:rsid w:val="0004048C"/>
    <w:rsid w:val="000632C5"/>
    <w:rsid w:val="000777B5"/>
    <w:rsid w:val="00090A18"/>
    <w:rsid w:val="00093893"/>
    <w:rsid w:val="00097A68"/>
    <w:rsid w:val="000A1DF6"/>
    <w:rsid w:val="000B7C00"/>
    <w:rsid w:val="000C7224"/>
    <w:rsid w:val="000F2230"/>
    <w:rsid w:val="000F3F73"/>
    <w:rsid w:val="000F7A5E"/>
    <w:rsid w:val="00113215"/>
    <w:rsid w:val="00136CB2"/>
    <w:rsid w:val="00137730"/>
    <w:rsid w:val="00140B4C"/>
    <w:rsid w:val="00147876"/>
    <w:rsid w:val="00156E46"/>
    <w:rsid w:val="00174136"/>
    <w:rsid w:val="00176748"/>
    <w:rsid w:val="00183BCD"/>
    <w:rsid w:val="001C5042"/>
    <w:rsid w:val="001E7F48"/>
    <w:rsid w:val="00202C4C"/>
    <w:rsid w:val="00216CEA"/>
    <w:rsid w:val="00216F80"/>
    <w:rsid w:val="0024288B"/>
    <w:rsid w:val="00243343"/>
    <w:rsid w:val="00260F02"/>
    <w:rsid w:val="00264362"/>
    <w:rsid w:val="00273986"/>
    <w:rsid w:val="002772D7"/>
    <w:rsid w:val="002810E1"/>
    <w:rsid w:val="0028161A"/>
    <w:rsid w:val="002A61E8"/>
    <w:rsid w:val="002B194C"/>
    <w:rsid w:val="002C0640"/>
    <w:rsid w:val="002E2EA0"/>
    <w:rsid w:val="002E4487"/>
    <w:rsid w:val="002E4A41"/>
    <w:rsid w:val="002E7F50"/>
    <w:rsid w:val="00301EB3"/>
    <w:rsid w:val="00313530"/>
    <w:rsid w:val="00340054"/>
    <w:rsid w:val="00345F1B"/>
    <w:rsid w:val="003474ED"/>
    <w:rsid w:val="0035649D"/>
    <w:rsid w:val="003615FE"/>
    <w:rsid w:val="00376791"/>
    <w:rsid w:val="0038467C"/>
    <w:rsid w:val="00384CD6"/>
    <w:rsid w:val="003C4122"/>
    <w:rsid w:val="003D2917"/>
    <w:rsid w:val="003E112C"/>
    <w:rsid w:val="00403EFA"/>
    <w:rsid w:val="0041365D"/>
    <w:rsid w:val="00433C01"/>
    <w:rsid w:val="004464D2"/>
    <w:rsid w:val="00461087"/>
    <w:rsid w:val="00464760"/>
    <w:rsid w:val="004725BE"/>
    <w:rsid w:val="004804CC"/>
    <w:rsid w:val="00482AB8"/>
    <w:rsid w:val="004A3716"/>
    <w:rsid w:val="004A5681"/>
    <w:rsid w:val="004B713B"/>
    <w:rsid w:val="004D5FC7"/>
    <w:rsid w:val="004F071D"/>
    <w:rsid w:val="004F0E85"/>
    <w:rsid w:val="00523B67"/>
    <w:rsid w:val="0053285B"/>
    <w:rsid w:val="00550197"/>
    <w:rsid w:val="00550BA2"/>
    <w:rsid w:val="00566D80"/>
    <w:rsid w:val="0057041F"/>
    <w:rsid w:val="00570B36"/>
    <w:rsid w:val="00572FC0"/>
    <w:rsid w:val="00577BAE"/>
    <w:rsid w:val="005A5FA2"/>
    <w:rsid w:val="005B4A92"/>
    <w:rsid w:val="005B51C0"/>
    <w:rsid w:val="005D14A2"/>
    <w:rsid w:val="005E57C9"/>
    <w:rsid w:val="005E731B"/>
    <w:rsid w:val="006157FE"/>
    <w:rsid w:val="00616E7C"/>
    <w:rsid w:val="00631E4D"/>
    <w:rsid w:val="006448F5"/>
    <w:rsid w:val="00656F80"/>
    <w:rsid w:val="006624D2"/>
    <w:rsid w:val="00686F65"/>
    <w:rsid w:val="006955BE"/>
    <w:rsid w:val="006B262B"/>
    <w:rsid w:val="006B3AF6"/>
    <w:rsid w:val="006C3E5A"/>
    <w:rsid w:val="006D0CED"/>
    <w:rsid w:val="006D2D6F"/>
    <w:rsid w:val="006F650E"/>
    <w:rsid w:val="006F6F5D"/>
    <w:rsid w:val="0070155C"/>
    <w:rsid w:val="00705699"/>
    <w:rsid w:val="007125BF"/>
    <w:rsid w:val="007314DC"/>
    <w:rsid w:val="00745585"/>
    <w:rsid w:val="007618AB"/>
    <w:rsid w:val="00765044"/>
    <w:rsid w:val="00783556"/>
    <w:rsid w:val="00783D86"/>
    <w:rsid w:val="007A5506"/>
    <w:rsid w:val="007A6FB1"/>
    <w:rsid w:val="007B7CFD"/>
    <w:rsid w:val="007C7F0E"/>
    <w:rsid w:val="007D0097"/>
    <w:rsid w:val="007D32B1"/>
    <w:rsid w:val="00807EF7"/>
    <w:rsid w:val="0081005E"/>
    <w:rsid w:val="00815B34"/>
    <w:rsid w:val="0085298D"/>
    <w:rsid w:val="0085302F"/>
    <w:rsid w:val="00871E8A"/>
    <w:rsid w:val="00881E4F"/>
    <w:rsid w:val="00887F36"/>
    <w:rsid w:val="0089133B"/>
    <w:rsid w:val="008C1256"/>
    <w:rsid w:val="008D35F7"/>
    <w:rsid w:val="008D4E59"/>
    <w:rsid w:val="008E06DB"/>
    <w:rsid w:val="008E0937"/>
    <w:rsid w:val="008E5B19"/>
    <w:rsid w:val="0090143E"/>
    <w:rsid w:val="00901661"/>
    <w:rsid w:val="00901ED7"/>
    <w:rsid w:val="00902EEF"/>
    <w:rsid w:val="00914755"/>
    <w:rsid w:val="00936451"/>
    <w:rsid w:val="00946DB3"/>
    <w:rsid w:val="009677E8"/>
    <w:rsid w:val="009858AC"/>
    <w:rsid w:val="009F402D"/>
    <w:rsid w:val="009F4FDF"/>
    <w:rsid w:val="00A05117"/>
    <w:rsid w:val="00A054AC"/>
    <w:rsid w:val="00A10991"/>
    <w:rsid w:val="00A142C1"/>
    <w:rsid w:val="00A23C89"/>
    <w:rsid w:val="00A319D2"/>
    <w:rsid w:val="00A51474"/>
    <w:rsid w:val="00A5342D"/>
    <w:rsid w:val="00A63962"/>
    <w:rsid w:val="00A6660F"/>
    <w:rsid w:val="00A766B6"/>
    <w:rsid w:val="00A85E44"/>
    <w:rsid w:val="00A87FA6"/>
    <w:rsid w:val="00AC1554"/>
    <w:rsid w:val="00B07C57"/>
    <w:rsid w:val="00B239A0"/>
    <w:rsid w:val="00B310EC"/>
    <w:rsid w:val="00B4219F"/>
    <w:rsid w:val="00B8424B"/>
    <w:rsid w:val="00BA77FF"/>
    <w:rsid w:val="00BC1EB2"/>
    <w:rsid w:val="00BC7C14"/>
    <w:rsid w:val="00BC7FC9"/>
    <w:rsid w:val="00BD2A22"/>
    <w:rsid w:val="00BD30E2"/>
    <w:rsid w:val="00BD3496"/>
    <w:rsid w:val="00BE3250"/>
    <w:rsid w:val="00BF366F"/>
    <w:rsid w:val="00C0232A"/>
    <w:rsid w:val="00C20DF3"/>
    <w:rsid w:val="00C35A95"/>
    <w:rsid w:val="00C46F64"/>
    <w:rsid w:val="00C5251C"/>
    <w:rsid w:val="00C81A3B"/>
    <w:rsid w:val="00C83515"/>
    <w:rsid w:val="00C93981"/>
    <w:rsid w:val="00CA3CD5"/>
    <w:rsid w:val="00CA47B5"/>
    <w:rsid w:val="00CB0737"/>
    <w:rsid w:val="00CB0B83"/>
    <w:rsid w:val="00CD11CF"/>
    <w:rsid w:val="00CD43FC"/>
    <w:rsid w:val="00D115D7"/>
    <w:rsid w:val="00D35294"/>
    <w:rsid w:val="00D47A46"/>
    <w:rsid w:val="00D602C4"/>
    <w:rsid w:val="00D649D6"/>
    <w:rsid w:val="00D72388"/>
    <w:rsid w:val="00D81E64"/>
    <w:rsid w:val="00D82741"/>
    <w:rsid w:val="00D870BE"/>
    <w:rsid w:val="00DA6BFD"/>
    <w:rsid w:val="00DC497C"/>
    <w:rsid w:val="00E115E8"/>
    <w:rsid w:val="00E14B22"/>
    <w:rsid w:val="00E1735B"/>
    <w:rsid w:val="00E24808"/>
    <w:rsid w:val="00E509C0"/>
    <w:rsid w:val="00E570C4"/>
    <w:rsid w:val="00E57826"/>
    <w:rsid w:val="00E65E4E"/>
    <w:rsid w:val="00E94CCC"/>
    <w:rsid w:val="00EE66DC"/>
    <w:rsid w:val="00F249A2"/>
    <w:rsid w:val="00F262BB"/>
    <w:rsid w:val="00F33E05"/>
    <w:rsid w:val="00F436F8"/>
    <w:rsid w:val="00F463AE"/>
    <w:rsid w:val="00F72EA2"/>
    <w:rsid w:val="00F835CC"/>
    <w:rsid w:val="00FA1311"/>
    <w:rsid w:val="00FA7D0B"/>
    <w:rsid w:val="00FB1F49"/>
    <w:rsid w:val="00FB21E9"/>
    <w:rsid w:val="00FB7612"/>
    <w:rsid w:val="00FC1731"/>
    <w:rsid w:val="00FD21E8"/>
    <w:rsid w:val="00FE105F"/>
    <w:rsid w:val="00FE2F3B"/>
    <w:rsid w:val="00FF382C"/>
    <w:rsid w:val="00FF4EC5"/>
    <w:rsid w:val="00FF79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7A515"/>
  <w15:docId w15:val="{53DE9AB4-D339-4523-B06B-7864F795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character" w:styleId="Textodelmarcadordeposicin">
    <w:name w:val="Placeholder Text"/>
    <w:basedOn w:val="Fuentedeprrafopredeter"/>
    <w:uiPriority w:val="99"/>
    <w:semiHidden/>
    <w:rsid w:val="006955BE"/>
    <w:rPr>
      <w:color w:val="666666"/>
    </w:rPr>
  </w:style>
  <w:style w:type="character" w:styleId="Mencinsinresolver">
    <w:name w:val="Unresolved Mention"/>
    <w:basedOn w:val="Fuentedeprrafopredeter"/>
    <w:uiPriority w:val="99"/>
    <w:semiHidden/>
    <w:unhideWhenUsed/>
    <w:rsid w:val="00D602C4"/>
    <w:rPr>
      <w:color w:val="605E5C"/>
      <w:shd w:val="clear" w:color="auto" w:fill="E1DFDD"/>
    </w:rPr>
  </w:style>
  <w:style w:type="paragraph" w:styleId="Encabezado">
    <w:name w:val="header"/>
    <w:basedOn w:val="Normal"/>
    <w:link w:val="EncabezadoCar"/>
    <w:uiPriority w:val="99"/>
    <w:unhideWhenUsed/>
    <w:rsid w:val="0085302F"/>
    <w:pPr>
      <w:tabs>
        <w:tab w:val="center" w:pos="4419"/>
        <w:tab w:val="right" w:pos="8838"/>
      </w:tabs>
    </w:pPr>
  </w:style>
  <w:style w:type="character" w:customStyle="1" w:styleId="EncabezadoCar">
    <w:name w:val="Encabezado Car"/>
    <w:basedOn w:val="Fuentedeprrafopredeter"/>
    <w:link w:val="Encabezado"/>
    <w:uiPriority w:val="99"/>
    <w:rsid w:val="0085302F"/>
  </w:style>
  <w:style w:type="paragraph" w:styleId="Piedepgina">
    <w:name w:val="footer"/>
    <w:basedOn w:val="Normal"/>
    <w:link w:val="PiedepginaCar"/>
    <w:uiPriority w:val="99"/>
    <w:unhideWhenUsed/>
    <w:rsid w:val="0085302F"/>
    <w:pPr>
      <w:tabs>
        <w:tab w:val="center" w:pos="4419"/>
        <w:tab w:val="right" w:pos="8838"/>
      </w:tabs>
    </w:pPr>
  </w:style>
  <w:style w:type="character" w:customStyle="1" w:styleId="PiedepginaCar">
    <w:name w:val="Pie de página Car"/>
    <w:basedOn w:val="Fuentedeprrafopredeter"/>
    <w:link w:val="Piedepgina"/>
    <w:uiPriority w:val="99"/>
    <w:rsid w:val="00853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517">
      <w:marLeft w:val="480"/>
      <w:marRight w:val="0"/>
      <w:marTop w:val="0"/>
      <w:marBottom w:val="0"/>
      <w:divBdr>
        <w:top w:val="none" w:sz="0" w:space="0" w:color="auto"/>
        <w:left w:val="none" w:sz="0" w:space="0" w:color="auto"/>
        <w:bottom w:val="none" w:sz="0" w:space="0" w:color="auto"/>
        <w:right w:val="none" w:sz="0" w:space="0" w:color="auto"/>
      </w:divBdr>
    </w:div>
    <w:div w:id="58401781">
      <w:marLeft w:val="480"/>
      <w:marRight w:val="0"/>
      <w:marTop w:val="0"/>
      <w:marBottom w:val="0"/>
      <w:divBdr>
        <w:top w:val="none" w:sz="0" w:space="0" w:color="auto"/>
        <w:left w:val="none" w:sz="0" w:space="0" w:color="auto"/>
        <w:bottom w:val="none" w:sz="0" w:space="0" w:color="auto"/>
        <w:right w:val="none" w:sz="0" w:space="0" w:color="auto"/>
      </w:divBdr>
    </w:div>
    <w:div w:id="95715126">
      <w:marLeft w:val="480"/>
      <w:marRight w:val="0"/>
      <w:marTop w:val="0"/>
      <w:marBottom w:val="0"/>
      <w:divBdr>
        <w:top w:val="none" w:sz="0" w:space="0" w:color="auto"/>
        <w:left w:val="none" w:sz="0" w:space="0" w:color="auto"/>
        <w:bottom w:val="none" w:sz="0" w:space="0" w:color="auto"/>
        <w:right w:val="none" w:sz="0" w:space="0" w:color="auto"/>
      </w:divBdr>
    </w:div>
    <w:div w:id="185021040">
      <w:marLeft w:val="640"/>
      <w:marRight w:val="0"/>
      <w:marTop w:val="0"/>
      <w:marBottom w:val="0"/>
      <w:divBdr>
        <w:top w:val="none" w:sz="0" w:space="0" w:color="auto"/>
        <w:left w:val="none" w:sz="0" w:space="0" w:color="auto"/>
        <w:bottom w:val="none" w:sz="0" w:space="0" w:color="auto"/>
        <w:right w:val="none" w:sz="0" w:space="0" w:color="auto"/>
      </w:divBdr>
    </w:div>
    <w:div w:id="187180295">
      <w:marLeft w:val="640"/>
      <w:marRight w:val="0"/>
      <w:marTop w:val="0"/>
      <w:marBottom w:val="0"/>
      <w:divBdr>
        <w:top w:val="none" w:sz="0" w:space="0" w:color="auto"/>
        <w:left w:val="none" w:sz="0" w:space="0" w:color="auto"/>
        <w:bottom w:val="none" w:sz="0" w:space="0" w:color="auto"/>
        <w:right w:val="none" w:sz="0" w:space="0" w:color="auto"/>
      </w:divBdr>
    </w:div>
    <w:div w:id="193613854">
      <w:marLeft w:val="640"/>
      <w:marRight w:val="0"/>
      <w:marTop w:val="0"/>
      <w:marBottom w:val="0"/>
      <w:divBdr>
        <w:top w:val="none" w:sz="0" w:space="0" w:color="auto"/>
        <w:left w:val="none" w:sz="0" w:space="0" w:color="auto"/>
        <w:bottom w:val="none" w:sz="0" w:space="0" w:color="auto"/>
        <w:right w:val="none" w:sz="0" w:space="0" w:color="auto"/>
      </w:divBdr>
    </w:div>
    <w:div w:id="240146204">
      <w:marLeft w:val="640"/>
      <w:marRight w:val="0"/>
      <w:marTop w:val="0"/>
      <w:marBottom w:val="0"/>
      <w:divBdr>
        <w:top w:val="none" w:sz="0" w:space="0" w:color="auto"/>
        <w:left w:val="none" w:sz="0" w:space="0" w:color="auto"/>
        <w:bottom w:val="none" w:sz="0" w:space="0" w:color="auto"/>
        <w:right w:val="none" w:sz="0" w:space="0" w:color="auto"/>
      </w:divBdr>
    </w:div>
    <w:div w:id="267548467">
      <w:marLeft w:val="640"/>
      <w:marRight w:val="0"/>
      <w:marTop w:val="0"/>
      <w:marBottom w:val="0"/>
      <w:divBdr>
        <w:top w:val="none" w:sz="0" w:space="0" w:color="auto"/>
        <w:left w:val="none" w:sz="0" w:space="0" w:color="auto"/>
        <w:bottom w:val="none" w:sz="0" w:space="0" w:color="auto"/>
        <w:right w:val="none" w:sz="0" w:space="0" w:color="auto"/>
      </w:divBdr>
    </w:div>
    <w:div w:id="277030086">
      <w:marLeft w:val="640"/>
      <w:marRight w:val="0"/>
      <w:marTop w:val="0"/>
      <w:marBottom w:val="0"/>
      <w:divBdr>
        <w:top w:val="none" w:sz="0" w:space="0" w:color="auto"/>
        <w:left w:val="none" w:sz="0" w:space="0" w:color="auto"/>
        <w:bottom w:val="none" w:sz="0" w:space="0" w:color="auto"/>
        <w:right w:val="none" w:sz="0" w:space="0" w:color="auto"/>
      </w:divBdr>
    </w:div>
    <w:div w:id="291180367">
      <w:marLeft w:val="640"/>
      <w:marRight w:val="0"/>
      <w:marTop w:val="0"/>
      <w:marBottom w:val="0"/>
      <w:divBdr>
        <w:top w:val="none" w:sz="0" w:space="0" w:color="auto"/>
        <w:left w:val="none" w:sz="0" w:space="0" w:color="auto"/>
        <w:bottom w:val="none" w:sz="0" w:space="0" w:color="auto"/>
        <w:right w:val="none" w:sz="0" w:space="0" w:color="auto"/>
      </w:divBdr>
    </w:div>
    <w:div w:id="321586176">
      <w:marLeft w:val="640"/>
      <w:marRight w:val="0"/>
      <w:marTop w:val="0"/>
      <w:marBottom w:val="0"/>
      <w:divBdr>
        <w:top w:val="none" w:sz="0" w:space="0" w:color="auto"/>
        <w:left w:val="none" w:sz="0" w:space="0" w:color="auto"/>
        <w:bottom w:val="none" w:sz="0" w:space="0" w:color="auto"/>
        <w:right w:val="none" w:sz="0" w:space="0" w:color="auto"/>
      </w:divBdr>
    </w:div>
    <w:div w:id="527569968">
      <w:marLeft w:val="640"/>
      <w:marRight w:val="0"/>
      <w:marTop w:val="0"/>
      <w:marBottom w:val="0"/>
      <w:divBdr>
        <w:top w:val="none" w:sz="0" w:space="0" w:color="auto"/>
        <w:left w:val="none" w:sz="0" w:space="0" w:color="auto"/>
        <w:bottom w:val="none" w:sz="0" w:space="0" w:color="auto"/>
        <w:right w:val="none" w:sz="0" w:space="0" w:color="auto"/>
      </w:divBdr>
    </w:div>
    <w:div w:id="534193028">
      <w:marLeft w:val="480"/>
      <w:marRight w:val="0"/>
      <w:marTop w:val="0"/>
      <w:marBottom w:val="0"/>
      <w:divBdr>
        <w:top w:val="none" w:sz="0" w:space="0" w:color="auto"/>
        <w:left w:val="none" w:sz="0" w:space="0" w:color="auto"/>
        <w:bottom w:val="none" w:sz="0" w:space="0" w:color="auto"/>
        <w:right w:val="none" w:sz="0" w:space="0" w:color="auto"/>
      </w:divBdr>
    </w:div>
    <w:div w:id="553663346">
      <w:marLeft w:val="480"/>
      <w:marRight w:val="0"/>
      <w:marTop w:val="0"/>
      <w:marBottom w:val="0"/>
      <w:divBdr>
        <w:top w:val="none" w:sz="0" w:space="0" w:color="auto"/>
        <w:left w:val="none" w:sz="0" w:space="0" w:color="auto"/>
        <w:bottom w:val="none" w:sz="0" w:space="0" w:color="auto"/>
        <w:right w:val="none" w:sz="0" w:space="0" w:color="auto"/>
      </w:divBdr>
    </w:div>
    <w:div w:id="604773740">
      <w:marLeft w:val="480"/>
      <w:marRight w:val="0"/>
      <w:marTop w:val="0"/>
      <w:marBottom w:val="0"/>
      <w:divBdr>
        <w:top w:val="none" w:sz="0" w:space="0" w:color="auto"/>
        <w:left w:val="none" w:sz="0" w:space="0" w:color="auto"/>
        <w:bottom w:val="none" w:sz="0" w:space="0" w:color="auto"/>
        <w:right w:val="none" w:sz="0" w:space="0" w:color="auto"/>
      </w:divBdr>
    </w:div>
    <w:div w:id="612713405">
      <w:marLeft w:val="480"/>
      <w:marRight w:val="0"/>
      <w:marTop w:val="0"/>
      <w:marBottom w:val="0"/>
      <w:divBdr>
        <w:top w:val="none" w:sz="0" w:space="0" w:color="auto"/>
        <w:left w:val="none" w:sz="0" w:space="0" w:color="auto"/>
        <w:bottom w:val="none" w:sz="0" w:space="0" w:color="auto"/>
        <w:right w:val="none" w:sz="0" w:space="0" w:color="auto"/>
      </w:divBdr>
    </w:div>
    <w:div w:id="631374087">
      <w:marLeft w:val="640"/>
      <w:marRight w:val="0"/>
      <w:marTop w:val="0"/>
      <w:marBottom w:val="0"/>
      <w:divBdr>
        <w:top w:val="none" w:sz="0" w:space="0" w:color="auto"/>
        <w:left w:val="none" w:sz="0" w:space="0" w:color="auto"/>
        <w:bottom w:val="none" w:sz="0" w:space="0" w:color="auto"/>
        <w:right w:val="none" w:sz="0" w:space="0" w:color="auto"/>
      </w:divBdr>
    </w:div>
    <w:div w:id="651912629">
      <w:marLeft w:val="640"/>
      <w:marRight w:val="0"/>
      <w:marTop w:val="0"/>
      <w:marBottom w:val="0"/>
      <w:divBdr>
        <w:top w:val="none" w:sz="0" w:space="0" w:color="auto"/>
        <w:left w:val="none" w:sz="0" w:space="0" w:color="auto"/>
        <w:bottom w:val="none" w:sz="0" w:space="0" w:color="auto"/>
        <w:right w:val="none" w:sz="0" w:space="0" w:color="auto"/>
      </w:divBdr>
    </w:div>
    <w:div w:id="693531444">
      <w:marLeft w:val="640"/>
      <w:marRight w:val="0"/>
      <w:marTop w:val="0"/>
      <w:marBottom w:val="0"/>
      <w:divBdr>
        <w:top w:val="none" w:sz="0" w:space="0" w:color="auto"/>
        <w:left w:val="none" w:sz="0" w:space="0" w:color="auto"/>
        <w:bottom w:val="none" w:sz="0" w:space="0" w:color="auto"/>
        <w:right w:val="none" w:sz="0" w:space="0" w:color="auto"/>
      </w:divBdr>
    </w:div>
    <w:div w:id="715668567">
      <w:marLeft w:val="640"/>
      <w:marRight w:val="0"/>
      <w:marTop w:val="0"/>
      <w:marBottom w:val="0"/>
      <w:divBdr>
        <w:top w:val="none" w:sz="0" w:space="0" w:color="auto"/>
        <w:left w:val="none" w:sz="0" w:space="0" w:color="auto"/>
        <w:bottom w:val="none" w:sz="0" w:space="0" w:color="auto"/>
        <w:right w:val="none" w:sz="0" w:space="0" w:color="auto"/>
      </w:divBdr>
    </w:div>
    <w:div w:id="740257179">
      <w:marLeft w:val="640"/>
      <w:marRight w:val="0"/>
      <w:marTop w:val="0"/>
      <w:marBottom w:val="0"/>
      <w:divBdr>
        <w:top w:val="none" w:sz="0" w:space="0" w:color="auto"/>
        <w:left w:val="none" w:sz="0" w:space="0" w:color="auto"/>
        <w:bottom w:val="none" w:sz="0" w:space="0" w:color="auto"/>
        <w:right w:val="none" w:sz="0" w:space="0" w:color="auto"/>
      </w:divBdr>
    </w:div>
    <w:div w:id="777985684">
      <w:marLeft w:val="640"/>
      <w:marRight w:val="0"/>
      <w:marTop w:val="0"/>
      <w:marBottom w:val="0"/>
      <w:divBdr>
        <w:top w:val="none" w:sz="0" w:space="0" w:color="auto"/>
        <w:left w:val="none" w:sz="0" w:space="0" w:color="auto"/>
        <w:bottom w:val="none" w:sz="0" w:space="0" w:color="auto"/>
        <w:right w:val="none" w:sz="0" w:space="0" w:color="auto"/>
      </w:divBdr>
    </w:div>
    <w:div w:id="840505423">
      <w:marLeft w:val="640"/>
      <w:marRight w:val="0"/>
      <w:marTop w:val="0"/>
      <w:marBottom w:val="0"/>
      <w:divBdr>
        <w:top w:val="none" w:sz="0" w:space="0" w:color="auto"/>
        <w:left w:val="none" w:sz="0" w:space="0" w:color="auto"/>
        <w:bottom w:val="none" w:sz="0" w:space="0" w:color="auto"/>
        <w:right w:val="none" w:sz="0" w:space="0" w:color="auto"/>
      </w:divBdr>
    </w:div>
    <w:div w:id="872614154">
      <w:marLeft w:val="640"/>
      <w:marRight w:val="0"/>
      <w:marTop w:val="0"/>
      <w:marBottom w:val="0"/>
      <w:divBdr>
        <w:top w:val="none" w:sz="0" w:space="0" w:color="auto"/>
        <w:left w:val="none" w:sz="0" w:space="0" w:color="auto"/>
        <w:bottom w:val="none" w:sz="0" w:space="0" w:color="auto"/>
        <w:right w:val="none" w:sz="0" w:space="0" w:color="auto"/>
      </w:divBdr>
    </w:div>
    <w:div w:id="894781473">
      <w:marLeft w:val="480"/>
      <w:marRight w:val="0"/>
      <w:marTop w:val="0"/>
      <w:marBottom w:val="0"/>
      <w:divBdr>
        <w:top w:val="none" w:sz="0" w:space="0" w:color="auto"/>
        <w:left w:val="none" w:sz="0" w:space="0" w:color="auto"/>
        <w:bottom w:val="none" w:sz="0" w:space="0" w:color="auto"/>
        <w:right w:val="none" w:sz="0" w:space="0" w:color="auto"/>
      </w:divBdr>
    </w:div>
    <w:div w:id="913856828">
      <w:marLeft w:val="640"/>
      <w:marRight w:val="0"/>
      <w:marTop w:val="0"/>
      <w:marBottom w:val="0"/>
      <w:divBdr>
        <w:top w:val="none" w:sz="0" w:space="0" w:color="auto"/>
        <w:left w:val="none" w:sz="0" w:space="0" w:color="auto"/>
        <w:bottom w:val="none" w:sz="0" w:space="0" w:color="auto"/>
        <w:right w:val="none" w:sz="0" w:space="0" w:color="auto"/>
      </w:divBdr>
    </w:div>
    <w:div w:id="916210439">
      <w:marLeft w:val="640"/>
      <w:marRight w:val="0"/>
      <w:marTop w:val="0"/>
      <w:marBottom w:val="0"/>
      <w:divBdr>
        <w:top w:val="none" w:sz="0" w:space="0" w:color="auto"/>
        <w:left w:val="none" w:sz="0" w:space="0" w:color="auto"/>
        <w:bottom w:val="none" w:sz="0" w:space="0" w:color="auto"/>
        <w:right w:val="none" w:sz="0" w:space="0" w:color="auto"/>
      </w:divBdr>
    </w:div>
    <w:div w:id="928854184">
      <w:marLeft w:val="640"/>
      <w:marRight w:val="0"/>
      <w:marTop w:val="0"/>
      <w:marBottom w:val="0"/>
      <w:divBdr>
        <w:top w:val="none" w:sz="0" w:space="0" w:color="auto"/>
        <w:left w:val="none" w:sz="0" w:space="0" w:color="auto"/>
        <w:bottom w:val="none" w:sz="0" w:space="0" w:color="auto"/>
        <w:right w:val="none" w:sz="0" w:space="0" w:color="auto"/>
      </w:divBdr>
    </w:div>
    <w:div w:id="957832727">
      <w:marLeft w:val="640"/>
      <w:marRight w:val="0"/>
      <w:marTop w:val="0"/>
      <w:marBottom w:val="0"/>
      <w:divBdr>
        <w:top w:val="none" w:sz="0" w:space="0" w:color="auto"/>
        <w:left w:val="none" w:sz="0" w:space="0" w:color="auto"/>
        <w:bottom w:val="none" w:sz="0" w:space="0" w:color="auto"/>
        <w:right w:val="none" w:sz="0" w:space="0" w:color="auto"/>
      </w:divBdr>
    </w:div>
    <w:div w:id="1053888181">
      <w:marLeft w:val="640"/>
      <w:marRight w:val="0"/>
      <w:marTop w:val="0"/>
      <w:marBottom w:val="0"/>
      <w:divBdr>
        <w:top w:val="none" w:sz="0" w:space="0" w:color="auto"/>
        <w:left w:val="none" w:sz="0" w:space="0" w:color="auto"/>
        <w:bottom w:val="none" w:sz="0" w:space="0" w:color="auto"/>
        <w:right w:val="none" w:sz="0" w:space="0" w:color="auto"/>
      </w:divBdr>
    </w:div>
    <w:div w:id="1062212829">
      <w:marLeft w:val="640"/>
      <w:marRight w:val="0"/>
      <w:marTop w:val="0"/>
      <w:marBottom w:val="0"/>
      <w:divBdr>
        <w:top w:val="none" w:sz="0" w:space="0" w:color="auto"/>
        <w:left w:val="none" w:sz="0" w:space="0" w:color="auto"/>
        <w:bottom w:val="none" w:sz="0" w:space="0" w:color="auto"/>
        <w:right w:val="none" w:sz="0" w:space="0" w:color="auto"/>
      </w:divBdr>
    </w:div>
    <w:div w:id="1153524402">
      <w:marLeft w:val="640"/>
      <w:marRight w:val="0"/>
      <w:marTop w:val="0"/>
      <w:marBottom w:val="0"/>
      <w:divBdr>
        <w:top w:val="none" w:sz="0" w:space="0" w:color="auto"/>
        <w:left w:val="none" w:sz="0" w:space="0" w:color="auto"/>
        <w:bottom w:val="none" w:sz="0" w:space="0" w:color="auto"/>
        <w:right w:val="none" w:sz="0" w:space="0" w:color="auto"/>
      </w:divBdr>
    </w:div>
    <w:div w:id="1189490043">
      <w:marLeft w:val="640"/>
      <w:marRight w:val="0"/>
      <w:marTop w:val="0"/>
      <w:marBottom w:val="0"/>
      <w:divBdr>
        <w:top w:val="none" w:sz="0" w:space="0" w:color="auto"/>
        <w:left w:val="none" w:sz="0" w:space="0" w:color="auto"/>
        <w:bottom w:val="none" w:sz="0" w:space="0" w:color="auto"/>
        <w:right w:val="none" w:sz="0" w:space="0" w:color="auto"/>
      </w:divBdr>
    </w:div>
    <w:div w:id="1236623621">
      <w:marLeft w:val="480"/>
      <w:marRight w:val="0"/>
      <w:marTop w:val="0"/>
      <w:marBottom w:val="0"/>
      <w:divBdr>
        <w:top w:val="none" w:sz="0" w:space="0" w:color="auto"/>
        <w:left w:val="none" w:sz="0" w:space="0" w:color="auto"/>
        <w:bottom w:val="none" w:sz="0" w:space="0" w:color="auto"/>
        <w:right w:val="none" w:sz="0" w:space="0" w:color="auto"/>
      </w:divBdr>
    </w:div>
    <w:div w:id="1286353856">
      <w:marLeft w:val="480"/>
      <w:marRight w:val="0"/>
      <w:marTop w:val="0"/>
      <w:marBottom w:val="0"/>
      <w:divBdr>
        <w:top w:val="none" w:sz="0" w:space="0" w:color="auto"/>
        <w:left w:val="none" w:sz="0" w:space="0" w:color="auto"/>
        <w:bottom w:val="none" w:sz="0" w:space="0" w:color="auto"/>
        <w:right w:val="none" w:sz="0" w:space="0" w:color="auto"/>
      </w:divBdr>
    </w:div>
    <w:div w:id="1320110952">
      <w:marLeft w:val="640"/>
      <w:marRight w:val="0"/>
      <w:marTop w:val="0"/>
      <w:marBottom w:val="0"/>
      <w:divBdr>
        <w:top w:val="none" w:sz="0" w:space="0" w:color="auto"/>
        <w:left w:val="none" w:sz="0" w:space="0" w:color="auto"/>
        <w:bottom w:val="none" w:sz="0" w:space="0" w:color="auto"/>
        <w:right w:val="none" w:sz="0" w:space="0" w:color="auto"/>
      </w:divBdr>
    </w:div>
    <w:div w:id="1342319979">
      <w:marLeft w:val="640"/>
      <w:marRight w:val="0"/>
      <w:marTop w:val="0"/>
      <w:marBottom w:val="0"/>
      <w:divBdr>
        <w:top w:val="none" w:sz="0" w:space="0" w:color="auto"/>
        <w:left w:val="none" w:sz="0" w:space="0" w:color="auto"/>
        <w:bottom w:val="none" w:sz="0" w:space="0" w:color="auto"/>
        <w:right w:val="none" w:sz="0" w:space="0" w:color="auto"/>
      </w:divBdr>
    </w:div>
    <w:div w:id="1348943024">
      <w:marLeft w:val="640"/>
      <w:marRight w:val="0"/>
      <w:marTop w:val="0"/>
      <w:marBottom w:val="0"/>
      <w:divBdr>
        <w:top w:val="none" w:sz="0" w:space="0" w:color="auto"/>
        <w:left w:val="none" w:sz="0" w:space="0" w:color="auto"/>
        <w:bottom w:val="none" w:sz="0" w:space="0" w:color="auto"/>
        <w:right w:val="none" w:sz="0" w:space="0" w:color="auto"/>
      </w:divBdr>
    </w:div>
    <w:div w:id="1354577330">
      <w:marLeft w:val="640"/>
      <w:marRight w:val="0"/>
      <w:marTop w:val="0"/>
      <w:marBottom w:val="0"/>
      <w:divBdr>
        <w:top w:val="none" w:sz="0" w:space="0" w:color="auto"/>
        <w:left w:val="none" w:sz="0" w:space="0" w:color="auto"/>
        <w:bottom w:val="none" w:sz="0" w:space="0" w:color="auto"/>
        <w:right w:val="none" w:sz="0" w:space="0" w:color="auto"/>
      </w:divBdr>
    </w:div>
    <w:div w:id="1366442338">
      <w:marLeft w:val="640"/>
      <w:marRight w:val="0"/>
      <w:marTop w:val="0"/>
      <w:marBottom w:val="0"/>
      <w:divBdr>
        <w:top w:val="none" w:sz="0" w:space="0" w:color="auto"/>
        <w:left w:val="none" w:sz="0" w:space="0" w:color="auto"/>
        <w:bottom w:val="none" w:sz="0" w:space="0" w:color="auto"/>
        <w:right w:val="none" w:sz="0" w:space="0" w:color="auto"/>
      </w:divBdr>
    </w:div>
    <w:div w:id="1412895278">
      <w:marLeft w:val="640"/>
      <w:marRight w:val="0"/>
      <w:marTop w:val="0"/>
      <w:marBottom w:val="0"/>
      <w:divBdr>
        <w:top w:val="none" w:sz="0" w:space="0" w:color="auto"/>
        <w:left w:val="none" w:sz="0" w:space="0" w:color="auto"/>
        <w:bottom w:val="none" w:sz="0" w:space="0" w:color="auto"/>
        <w:right w:val="none" w:sz="0" w:space="0" w:color="auto"/>
      </w:divBdr>
    </w:div>
    <w:div w:id="1440445078">
      <w:marLeft w:val="640"/>
      <w:marRight w:val="0"/>
      <w:marTop w:val="0"/>
      <w:marBottom w:val="0"/>
      <w:divBdr>
        <w:top w:val="none" w:sz="0" w:space="0" w:color="auto"/>
        <w:left w:val="none" w:sz="0" w:space="0" w:color="auto"/>
        <w:bottom w:val="none" w:sz="0" w:space="0" w:color="auto"/>
        <w:right w:val="none" w:sz="0" w:space="0" w:color="auto"/>
      </w:divBdr>
    </w:div>
    <w:div w:id="1458601838">
      <w:marLeft w:val="480"/>
      <w:marRight w:val="0"/>
      <w:marTop w:val="0"/>
      <w:marBottom w:val="0"/>
      <w:divBdr>
        <w:top w:val="none" w:sz="0" w:space="0" w:color="auto"/>
        <w:left w:val="none" w:sz="0" w:space="0" w:color="auto"/>
        <w:bottom w:val="none" w:sz="0" w:space="0" w:color="auto"/>
        <w:right w:val="none" w:sz="0" w:space="0" w:color="auto"/>
      </w:divBdr>
    </w:div>
    <w:div w:id="1463037259">
      <w:marLeft w:val="640"/>
      <w:marRight w:val="0"/>
      <w:marTop w:val="0"/>
      <w:marBottom w:val="0"/>
      <w:divBdr>
        <w:top w:val="none" w:sz="0" w:space="0" w:color="auto"/>
        <w:left w:val="none" w:sz="0" w:space="0" w:color="auto"/>
        <w:bottom w:val="none" w:sz="0" w:space="0" w:color="auto"/>
        <w:right w:val="none" w:sz="0" w:space="0" w:color="auto"/>
      </w:divBdr>
    </w:div>
    <w:div w:id="1511599413">
      <w:marLeft w:val="640"/>
      <w:marRight w:val="0"/>
      <w:marTop w:val="0"/>
      <w:marBottom w:val="0"/>
      <w:divBdr>
        <w:top w:val="none" w:sz="0" w:space="0" w:color="auto"/>
        <w:left w:val="none" w:sz="0" w:space="0" w:color="auto"/>
        <w:bottom w:val="none" w:sz="0" w:space="0" w:color="auto"/>
        <w:right w:val="none" w:sz="0" w:space="0" w:color="auto"/>
      </w:divBdr>
    </w:div>
    <w:div w:id="1536384987">
      <w:marLeft w:val="640"/>
      <w:marRight w:val="0"/>
      <w:marTop w:val="0"/>
      <w:marBottom w:val="0"/>
      <w:divBdr>
        <w:top w:val="none" w:sz="0" w:space="0" w:color="auto"/>
        <w:left w:val="none" w:sz="0" w:space="0" w:color="auto"/>
        <w:bottom w:val="none" w:sz="0" w:space="0" w:color="auto"/>
        <w:right w:val="none" w:sz="0" w:space="0" w:color="auto"/>
      </w:divBdr>
    </w:div>
    <w:div w:id="1538618944">
      <w:marLeft w:val="480"/>
      <w:marRight w:val="0"/>
      <w:marTop w:val="0"/>
      <w:marBottom w:val="0"/>
      <w:divBdr>
        <w:top w:val="none" w:sz="0" w:space="0" w:color="auto"/>
        <w:left w:val="none" w:sz="0" w:space="0" w:color="auto"/>
        <w:bottom w:val="none" w:sz="0" w:space="0" w:color="auto"/>
        <w:right w:val="none" w:sz="0" w:space="0" w:color="auto"/>
      </w:divBdr>
    </w:div>
    <w:div w:id="1539859469">
      <w:marLeft w:val="640"/>
      <w:marRight w:val="0"/>
      <w:marTop w:val="0"/>
      <w:marBottom w:val="0"/>
      <w:divBdr>
        <w:top w:val="none" w:sz="0" w:space="0" w:color="auto"/>
        <w:left w:val="none" w:sz="0" w:space="0" w:color="auto"/>
        <w:bottom w:val="none" w:sz="0" w:space="0" w:color="auto"/>
        <w:right w:val="none" w:sz="0" w:space="0" w:color="auto"/>
      </w:divBdr>
    </w:div>
    <w:div w:id="1548494302">
      <w:marLeft w:val="640"/>
      <w:marRight w:val="0"/>
      <w:marTop w:val="0"/>
      <w:marBottom w:val="0"/>
      <w:divBdr>
        <w:top w:val="none" w:sz="0" w:space="0" w:color="auto"/>
        <w:left w:val="none" w:sz="0" w:space="0" w:color="auto"/>
        <w:bottom w:val="none" w:sz="0" w:space="0" w:color="auto"/>
        <w:right w:val="none" w:sz="0" w:space="0" w:color="auto"/>
      </w:divBdr>
    </w:div>
    <w:div w:id="1555387185">
      <w:marLeft w:val="640"/>
      <w:marRight w:val="0"/>
      <w:marTop w:val="0"/>
      <w:marBottom w:val="0"/>
      <w:divBdr>
        <w:top w:val="none" w:sz="0" w:space="0" w:color="auto"/>
        <w:left w:val="none" w:sz="0" w:space="0" w:color="auto"/>
        <w:bottom w:val="none" w:sz="0" w:space="0" w:color="auto"/>
        <w:right w:val="none" w:sz="0" w:space="0" w:color="auto"/>
      </w:divBdr>
    </w:div>
    <w:div w:id="1600067496">
      <w:marLeft w:val="640"/>
      <w:marRight w:val="0"/>
      <w:marTop w:val="0"/>
      <w:marBottom w:val="0"/>
      <w:divBdr>
        <w:top w:val="none" w:sz="0" w:space="0" w:color="auto"/>
        <w:left w:val="none" w:sz="0" w:space="0" w:color="auto"/>
        <w:bottom w:val="none" w:sz="0" w:space="0" w:color="auto"/>
        <w:right w:val="none" w:sz="0" w:space="0" w:color="auto"/>
      </w:divBdr>
    </w:div>
    <w:div w:id="1643462831">
      <w:marLeft w:val="640"/>
      <w:marRight w:val="0"/>
      <w:marTop w:val="0"/>
      <w:marBottom w:val="0"/>
      <w:divBdr>
        <w:top w:val="none" w:sz="0" w:space="0" w:color="auto"/>
        <w:left w:val="none" w:sz="0" w:space="0" w:color="auto"/>
        <w:bottom w:val="none" w:sz="0" w:space="0" w:color="auto"/>
        <w:right w:val="none" w:sz="0" w:space="0" w:color="auto"/>
      </w:divBdr>
    </w:div>
    <w:div w:id="1700668990">
      <w:marLeft w:val="480"/>
      <w:marRight w:val="0"/>
      <w:marTop w:val="0"/>
      <w:marBottom w:val="0"/>
      <w:divBdr>
        <w:top w:val="none" w:sz="0" w:space="0" w:color="auto"/>
        <w:left w:val="none" w:sz="0" w:space="0" w:color="auto"/>
        <w:bottom w:val="none" w:sz="0" w:space="0" w:color="auto"/>
        <w:right w:val="none" w:sz="0" w:space="0" w:color="auto"/>
      </w:divBdr>
    </w:div>
    <w:div w:id="1701397180">
      <w:marLeft w:val="640"/>
      <w:marRight w:val="0"/>
      <w:marTop w:val="0"/>
      <w:marBottom w:val="0"/>
      <w:divBdr>
        <w:top w:val="none" w:sz="0" w:space="0" w:color="auto"/>
        <w:left w:val="none" w:sz="0" w:space="0" w:color="auto"/>
        <w:bottom w:val="none" w:sz="0" w:space="0" w:color="auto"/>
        <w:right w:val="none" w:sz="0" w:space="0" w:color="auto"/>
      </w:divBdr>
    </w:div>
    <w:div w:id="1746876236">
      <w:marLeft w:val="640"/>
      <w:marRight w:val="0"/>
      <w:marTop w:val="0"/>
      <w:marBottom w:val="0"/>
      <w:divBdr>
        <w:top w:val="none" w:sz="0" w:space="0" w:color="auto"/>
        <w:left w:val="none" w:sz="0" w:space="0" w:color="auto"/>
        <w:bottom w:val="none" w:sz="0" w:space="0" w:color="auto"/>
        <w:right w:val="none" w:sz="0" w:space="0" w:color="auto"/>
      </w:divBdr>
    </w:div>
    <w:div w:id="1763064137">
      <w:marLeft w:val="480"/>
      <w:marRight w:val="0"/>
      <w:marTop w:val="0"/>
      <w:marBottom w:val="0"/>
      <w:divBdr>
        <w:top w:val="none" w:sz="0" w:space="0" w:color="auto"/>
        <w:left w:val="none" w:sz="0" w:space="0" w:color="auto"/>
        <w:bottom w:val="none" w:sz="0" w:space="0" w:color="auto"/>
        <w:right w:val="none" w:sz="0" w:space="0" w:color="auto"/>
      </w:divBdr>
    </w:div>
    <w:div w:id="1802066380">
      <w:marLeft w:val="640"/>
      <w:marRight w:val="0"/>
      <w:marTop w:val="0"/>
      <w:marBottom w:val="0"/>
      <w:divBdr>
        <w:top w:val="none" w:sz="0" w:space="0" w:color="auto"/>
        <w:left w:val="none" w:sz="0" w:space="0" w:color="auto"/>
        <w:bottom w:val="none" w:sz="0" w:space="0" w:color="auto"/>
        <w:right w:val="none" w:sz="0" w:space="0" w:color="auto"/>
      </w:divBdr>
    </w:div>
    <w:div w:id="1871606442">
      <w:marLeft w:val="640"/>
      <w:marRight w:val="0"/>
      <w:marTop w:val="0"/>
      <w:marBottom w:val="0"/>
      <w:divBdr>
        <w:top w:val="none" w:sz="0" w:space="0" w:color="auto"/>
        <w:left w:val="none" w:sz="0" w:space="0" w:color="auto"/>
        <w:bottom w:val="none" w:sz="0" w:space="0" w:color="auto"/>
        <w:right w:val="none" w:sz="0" w:space="0" w:color="auto"/>
      </w:divBdr>
    </w:div>
    <w:div w:id="1883785308">
      <w:marLeft w:val="640"/>
      <w:marRight w:val="0"/>
      <w:marTop w:val="0"/>
      <w:marBottom w:val="0"/>
      <w:divBdr>
        <w:top w:val="none" w:sz="0" w:space="0" w:color="auto"/>
        <w:left w:val="none" w:sz="0" w:space="0" w:color="auto"/>
        <w:bottom w:val="none" w:sz="0" w:space="0" w:color="auto"/>
        <w:right w:val="none" w:sz="0" w:space="0" w:color="auto"/>
      </w:divBdr>
    </w:div>
    <w:div w:id="1914657254">
      <w:marLeft w:val="480"/>
      <w:marRight w:val="0"/>
      <w:marTop w:val="0"/>
      <w:marBottom w:val="0"/>
      <w:divBdr>
        <w:top w:val="none" w:sz="0" w:space="0" w:color="auto"/>
        <w:left w:val="none" w:sz="0" w:space="0" w:color="auto"/>
        <w:bottom w:val="none" w:sz="0" w:space="0" w:color="auto"/>
        <w:right w:val="none" w:sz="0" w:space="0" w:color="auto"/>
      </w:divBdr>
    </w:div>
    <w:div w:id="1995983993">
      <w:marLeft w:val="480"/>
      <w:marRight w:val="0"/>
      <w:marTop w:val="0"/>
      <w:marBottom w:val="0"/>
      <w:divBdr>
        <w:top w:val="none" w:sz="0" w:space="0" w:color="auto"/>
        <w:left w:val="none" w:sz="0" w:space="0" w:color="auto"/>
        <w:bottom w:val="none" w:sz="0" w:space="0" w:color="auto"/>
        <w:right w:val="none" w:sz="0" w:space="0" w:color="auto"/>
      </w:divBdr>
    </w:div>
    <w:div w:id="1997957315">
      <w:marLeft w:val="640"/>
      <w:marRight w:val="0"/>
      <w:marTop w:val="0"/>
      <w:marBottom w:val="0"/>
      <w:divBdr>
        <w:top w:val="none" w:sz="0" w:space="0" w:color="auto"/>
        <w:left w:val="none" w:sz="0" w:space="0" w:color="auto"/>
        <w:bottom w:val="none" w:sz="0" w:space="0" w:color="auto"/>
        <w:right w:val="none" w:sz="0" w:space="0" w:color="auto"/>
      </w:divBdr>
    </w:div>
    <w:div w:id="2003661440">
      <w:marLeft w:val="480"/>
      <w:marRight w:val="0"/>
      <w:marTop w:val="0"/>
      <w:marBottom w:val="0"/>
      <w:divBdr>
        <w:top w:val="none" w:sz="0" w:space="0" w:color="auto"/>
        <w:left w:val="none" w:sz="0" w:space="0" w:color="auto"/>
        <w:bottom w:val="none" w:sz="0" w:space="0" w:color="auto"/>
        <w:right w:val="none" w:sz="0" w:space="0" w:color="auto"/>
      </w:divBdr>
    </w:div>
    <w:div w:id="2082672044">
      <w:marLeft w:val="640"/>
      <w:marRight w:val="0"/>
      <w:marTop w:val="0"/>
      <w:marBottom w:val="0"/>
      <w:divBdr>
        <w:top w:val="none" w:sz="0" w:space="0" w:color="auto"/>
        <w:left w:val="none" w:sz="0" w:space="0" w:color="auto"/>
        <w:bottom w:val="none" w:sz="0" w:space="0" w:color="auto"/>
        <w:right w:val="none" w:sz="0" w:space="0" w:color="auto"/>
      </w:divBdr>
    </w:div>
    <w:div w:id="2098012535">
      <w:marLeft w:val="640"/>
      <w:marRight w:val="0"/>
      <w:marTop w:val="0"/>
      <w:marBottom w:val="0"/>
      <w:divBdr>
        <w:top w:val="none" w:sz="0" w:space="0" w:color="auto"/>
        <w:left w:val="none" w:sz="0" w:space="0" w:color="auto"/>
        <w:bottom w:val="none" w:sz="0" w:space="0" w:color="auto"/>
        <w:right w:val="none" w:sz="0" w:space="0" w:color="auto"/>
      </w:divBdr>
    </w:div>
    <w:div w:id="2109619186">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87404D-7937-44AD-A71C-A65A671E88B6}">
  <we:reference id="wa104382081" version="1.55.1.0" store="es-ES" storeType="OMEX"/>
  <we:alternateReferences>
    <we:reference id="WA104382081" version="1.55.1.0" store="" storeType="OMEX"/>
  </we:alternateReferences>
  <we:properties>
    <we:property name="MENDELEY_BIBLIOGRAPHY_IS_DIRTY" value="false"/>
    <we:property name="MENDELEY_BIBLIOGRAPHY_LAST_MODIFIED" value="1779130744737"/>
    <we:property name="MENDELEY_CITATIONS" value="[{&quot;citationID&quot;:&quot;MENDELEY_CITATION_609632d0-256a-41cc-bc75-5bc82e3a682e&quot;,&quot;properties&quot;:{&quot;noteIndex&quot;:0},&quot;isEdited&quot;:false,&quot;manualOverride&quot;:{&quot;isManuallyOverridden&quot;:false,&quot;citeprocText&quot;:&quot;[1]&quot;,&quot;manualOverrideText&quot;:&quot;&quot;},&quot;citationTag&quot;:&quot;MENDELEY_CITATION_v3_eyJjaXRhdGlvbklEIjoiTUVOREVMRVlfQ0lUQVRJT05fNjA5NjMyZDAtMjU2YS00MWNjLWJjNzUtNWJjODJlM2E2ODJlIiwicHJvcGVydGllcyI6eyJub3RlSW5kZXgiOjB9LCJpc0VkaXRlZCI6ZmFsc2UsIm1hbnVhbE92ZXJyaWRlIjp7ImlzTWFudWFsbHlPdmVycmlkZGVuIjpmYWxzZSwiY2l0ZXByb2NUZXh0IjoiWzFdIiwibWFudWFsT3ZlcnJpZGVUZXh0IjoiIn0sImNpdGF0aW9uSXRlbXMiOlt7ImlkIjoiMDI1MGMyNWYtOTI3Yy0zMWU3LThmNjEtYzk5YmQyOTY3OGQ3IiwiaXRlbURhdGEiOnsidHlwZSI6ImFydGljbGUtam91cm5hbCIsImlkIjoiMDI1MGMyNWYtOTI3Yy0zMWU3LThmNjEtYzk5YmQyOTY3OGQ3IiwidGl0bGUiOiJIZWxpY29iYWN0ZXIgcHlsb3JpIGluZmVjdGlvbiIsImF1dGhvciI6W3siZmFtaWx5IjoiTWFsZmVydGhlaW5lciIsImdpdmVuIjoiUGV0ZXIiLCJwYXJzZS1uYW1lcyI6ZmFsc2UsImRyb3BwaW5nLXBhcnRpY2xlIjoiIiwibm9uLWRyb3BwaW5nLXBhcnRpY2xlIjoiIn0seyJmYW1pbHkiOiJDYW1hcmdvIiwiZ2l2ZW4iOiJNLiBDb25zdGFuemEiLCJwYXJzZS1uYW1lcyI6ZmFsc2UsImRyb3BwaW5nLXBhcnRpY2xlIjoiIiwibm9uLWRyb3BwaW5nLXBhcnRpY2xlIjoiIn0seyJmYW1pbHkiOiJFbC1PbWFyIiwiZ2l2ZW4iOiJFbWFkIiwicGFyc2UtbmFtZXMiOmZhbHNlLCJkcm9wcGluZy1wYXJ0aWNsZSI6IiIsIm5vbi1kcm9wcGluZy1wYXJ0aWNsZSI6IiJ9LHsiZmFtaWx5IjoiTGlvdSIsImdpdmVuIjoiSnloIE1pbmciLCJwYXJzZS1uYW1lcyI6ZmFsc2UsImRyb3BwaW5nLXBhcnRpY2xlIjoiIiwibm9uLWRyb3BwaW5nLXBhcnRpY2xlIjoiIn0seyJmYW1pbHkiOiJQZWVrIiwiZ2l2ZW4iOiJSaWNoYXJkIiwicGFyc2UtbmFtZXMiOmZhbHNlLCJkcm9wcGluZy1wYXJ0aWNsZSI6IiIsIm5vbi1kcm9wcGluZy1wYXJ0aWNsZSI6IiJ9LHsiZmFtaWx5IjoiU2NodWx6IiwiZ2l2ZW4iOiJDaHJpc3RpYW4iLCJwYXJzZS1uYW1lcyI6ZmFsc2UsImRyb3BwaW5nLXBhcnRpY2xlIjoiIiwibm9uLWRyb3BwaW5nLXBhcnRpY2xlIjoiIn0seyJmYW1pbHkiOiJTbWl0aCIsImdpdmVuIjoiU3RlbGxhIEkuIiwicGFyc2UtbmFtZXMiOmZhbHNlLCJkcm9wcGluZy1wYXJ0aWNsZSI6IiIsIm5vbi1kcm9wcGluZy1wYXJ0aWNsZSI6IiJ9LHsiZmFtaWx5IjoiU3VlcmJhdW0iLCJnaXZlbiI6IlNlYmFzdGlhbiIsInBhcnNlLW5hbWVzIjpmYWxzZSwiZHJvcHBpbmctcGFydGljbGUiOiIiLCJub24tZHJvcHBpbmctcGFydGljbGUiOiIifV0sImNvbnRhaW5lci10aXRsZSI6Ik5hdHVyZSBSZXZpZXdzIERpc2Vhc2UgUHJpbWVycyIsImNvbnRhaW5lci10aXRsZS1zaG9ydCI6Ik5hdC4gUmV2LiBEaXMuIFByaW1lcnMiLCJET0kiOiIxMC4xMDM4L3M0MTU3Mi0wMjMtMDA0MzEtOCIsIklTU04iOiIyMDU2Njc2WCIsIlBNSUQiOiIzNzA4MTAwNSIsImlzc3VlZCI6eyJkYXRlLXBhcnRzIjpbWzIwMjMsMTIsMV1dfSwiYWJzdHJhY3QiOiJIZWxpY29iYWN0ZXIgcHlsb3JpIGluZmVjdGlvbiBjYXVzZXMgY2hyb25pYyBnYXN0cml0aXMsIHdoaWNoIGNhbiBwcm9ncmVzcyB0byBzZXZlcmUgZ2FzdHJvZHVvZGVuYWwgcGF0aG9sb2dpZXMsIGluY2x1ZGluZyBwZXB0aWMgdWxjZXIsIGdhc3RyaWMgY2FuY2VyIGFuZCBnYXN0cmljIG11Y29zYS1hc3NvY2lhdGVkIGx5bXBob2lkIHRpc3N1ZSBseW1waG9tYS4gSC4gcHlsb3JpIGlzIHVzdWFsbHkgdHJhbnNtaXR0ZWQgaW4gY2hpbGRob29kIGFuZCBwZXJzaXN0cyBmb3IgbGlmZSBpZiB1bnRyZWF0ZWQuIFRoZSBpbmZlY3Rpb24gYWZmZWN0cyBhcm91bmQgaGFsZiBvZiB0aGUgcG9wdWxhdGlvbiBpbiB0aGUgd29ybGQgYnV0IHByZXZhbGVuY2UgdmFyaWVzIGFjY29yZGluZyB0byBsb2NhdGlvbiBhbmQgc2FuaXRhdGlvbiBzdGFuZGFyZHMuIEguIHB5bG9yaSBoYXMgdW5pcXVlIHByb3BlcnRpZXMgdG8gY29sb25pemUgZ2FzdHJpYyBlcGl0aGVsaXVtIGluIGFuIGFjaWRpYyBlbnZpcm9ubWVudC4gVGhlIHBhdGhvcGh5c2lvbG9neSBvZiBILiBweWxvcmkgaW5mZWN0aW9uIGlzIGRlcGVuZGVudCBvbiBjb21wbGV4IGJhY3RlcmlhbCB2aXJ1bGVuY2UgbWVjaGFuaXNtcyBhbmQgdGhlaXIgaW50ZXJhY3Rpb24gd2l0aCB0aGUgaG9zdCBpbW11bmUgc3lzdGVtIGFuZCBlbnZpcm9ubWVudGFsIGZhY3RvcnMsIHJlc3VsdGluZyBpbiBkaXN0aW5jdCBnYXN0cml0aXMgcGhlbm90eXBlcyB0aGF0IGRldGVybWluZSBwb3NzaWJsZSBwcm9ncmVzc2lvbiB0byBkaWZmZXJlbnQgZ2FzdHJvZHVvZGVuYWwgcGF0aG9sb2dpZXMuIFRoZSBjYXVzYXRpdmUgcm9sZSBvZiBILiBweWxvcmkgaW5mZWN0aW9uIGluIGdhc3RyaWMgY2FuY2VyIGRldmVsb3BtZW50IHByZXNlbnRzIHRoZSBvcHBvcnR1bml0eSBmb3IgcHJldmVudGl2ZSBzY3JlZW4tYW5kLXRyZWF0IHN0cmF0ZWdpZXMuIEludmFzaXZlLCBlbmRvc2NvcHktYmFzZWQgYW5kIG5vbi1pbnZhc2l2ZSBtZXRob2RzLCBpbmNsdWRpbmcgYnJlYXRoLCBzdG9vbCBhbmQgc2Vyb2xvZ2ljYWwgdGVzdHMsIGFyZSB1c2VkIGluIHRoZSBkaWFnbm9zaXMgb2YgSC4gcHlsb3JpIGluZmVjdGlvbi4gVGhlaXIgdXNlIGRlcGVuZHMgb24gdGhlIHNwZWNpZmljIGluZGl2aWR1YWwgcGF0aWVudCBoaXN0b3J5IGFuZCBsb2NhbCBhdmFpbGFiaWxpdHkuIEguIHB5bG9yaSB0cmVhdG1lbnQgY29uc2lzdHMgb2YgYSBzdHJvbmcgYWNpZCBzdXBwcmVzc2FudCBpbiB2YXJpb3VzIGNvbWJpbmF0aW9ucyB3aXRoIGFudGliaW90aWNzIGFuZC9vciBiaXNtdXRoLiBUaGUgZHJhbWF0aWMgaW5jcmVhc2UgaW4gcmVzaXN0YW5jZSB0byBrZXkgYW50aWJpb3RpY3MgdXNlZCBpbiBILiBweWxvcmkgZXJhZGljYXRpb24gZGVtYW5kcyBhbnRpYmlvdGljIHN1c2NlcHRpYmlsaXR5IHRlc3RpbmcsIHN1cnZlaWxsYW5jZSBvZiByZXNpc3RhbmNlIGFuZCBhbnRpYmlvdGljIHN0ZXdhcmRzaGlwLiIsInB1Ymxpc2hlciI6Ik5hdHVyZSBSZXNlYXJjaCIsImlzc3VlIjoiMSIsInZvbHVtZSI6IjkifSwiaXNUZW1wb3JhcnkiOmZhbHNlfV19&quot;,&quot;citationItems&quot;:[{&quot;id&quot;:&quot;0250c25f-927c-31e7-8f61-c99bd29678d7&quot;,&quot;itemData&quot;:{&quot;type&quot;:&quot;article-journal&quot;,&quot;id&quot;:&quot;0250c25f-927c-31e7-8f61-c99bd29678d7&quot;,&quot;title&quot;:&quot;Helicobacter pylori infection&quot;,&quot;author&quot;:[{&quot;family&quot;:&quot;Malfertheiner&quot;,&quot;given&quot;:&quot;Peter&quot;,&quot;parse-names&quot;:false,&quot;dropping-particle&quot;:&quot;&quot;,&quot;non-dropping-particle&quot;:&quot;&quot;},{&quot;family&quot;:&quot;Camargo&quot;,&quot;given&quot;:&quot;M. Constanza&quot;,&quot;parse-names&quot;:false,&quot;dropping-particle&quot;:&quot;&quot;,&quot;non-dropping-particle&quot;:&quot;&quot;},{&quot;family&quot;:&quot;El-Omar&quot;,&quot;given&quot;:&quot;Emad&quot;,&quot;parse-names&quot;:false,&quot;dropping-particle&quot;:&quot;&quot;,&quot;non-dropping-particle&quot;:&quot;&quot;},{&quot;family&quot;:&quot;Liou&quot;,&quot;given&quot;:&quot;Jyh Ming&quot;,&quot;parse-names&quot;:false,&quot;dropping-particle&quot;:&quot;&quot;,&quot;non-dropping-particle&quot;:&quot;&quot;},{&quot;family&quot;:&quot;Peek&quot;,&quot;given&quot;:&quot;Richard&quot;,&quot;parse-names&quot;:false,&quot;dropping-particle&quot;:&quot;&quot;,&quot;non-dropping-particle&quot;:&quot;&quot;},{&quot;family&quot;:&quot;Schulz&quot;,&quot;given&quot;:&quot;Christian&quot;,&quot;parse-names&quot;:false,&quot;dropping-particle&quot;:&quot;&quot;,&quot;non-dropping-particle&quot;:&quot;&quot;},{&quot;family&quot;:&quot;Smith&quot;,&quot;given&quot;:&quot;Stella I.&quot;,&quot;parse-names&quot;:false,&quot;dropping-particle&quot;:&quot;&quot;,&quot;non-dropping-particle&quot;:&quot;&quot;},{&quot;family&quot;:&quot;Suerbaum&quot;,&quot;given&quot;:&quot;Sebastian&quot;,&quot;parse-names&quot;:false,&quot;dropping-particle&quot;:&quot;&quot;,&quot;non-dropping-particle&quot;:&quot;&quot;}],&quot;container-title&quot;:&quot;Nature Reviews Disease Primers&quot;,&quot;container-title-short&quot;:&quot;Nat. Rev. Dis. Primers&quot;,&quot;DOI&quot;:&quot;10.1038/s41572-023-00431-8&quot;,&quot;ISSN&quot;:&quot;2056676X&quot;,&quot;PMID&quot;:&quot;37081005&quot;,&quot;issued&quot;:{&quot;date-parts&quot;:[[2023,12,1]]},&quot;abstract&quot;:&quot;Helicobacter pylori infection causes chronic gastritis, which can progress to severe gastroduodenal pathologies, including peptic ulcer, gastric cancer and gastric mucosa-associated lymphoid tissue lymphoma. H. pylori is usually transmitted in childhood and persists for life if untreated. The infection affects around half of the population in the world but prevalence varies according to location and sanitation standards. H. pylori has unique properties to colonize gastric epithelium in an acidic environment. The pathophysiology of H. pylori infection is dependent on complex bacterial virulence mechanisms and their interaction with the host immune system and environmental factors, resulting in distinct gastritis phenotypes that determine possible progression to different gastroduodenal pathologies. The causative role of H. pylori infection in gastric cancer development presents the opportunity for preventive screen-and-treat strategies. Invasive, endoscopy-based and non-invasive methods, including breath, stool and serological tests, are used in the diagnosis of H. pylori infection. Their use depends on the specific individual patient history and local availability. H. pylori treatment consists of a strong acid suppressant in various combinations with antibiotics and/or bismuth. The dramatic increase in resistance to key antibiotics used in H. pylori eradication demands antibiotic susceptibility testing, surveillance of resistance and antibiotic stewardship.&quot;,&quot;publisher&quot;:&quot;Nature Research&quot;,&quot;issue&quot;:&quot;1&quot;,&quot;volume&quot;:&quot;9&quot;},&quot;isTemporary&quot;:false}]},{&quot;citationID&quot;:&quot;MENDELEY_CITATION_3bb13bd7-b7c7-4916-9e59-3879c90bd497&quot;,&quot;properties&quot;:{&quot;noteIndex&quot;:0},&quot;isEdited&quot;:false,&quot;manualOverride&quot;:{&quot;isManuallyOverridden&quot;:false,&quot;citeprocText&quot;:&quot;[2]&quot;,&quot;manualOverrideText&quot;:&quot;&quot;},&quot;citationTag&quot;:&quot;MENDELEY_CITATION_v3_eyJjaXRhdGlvbklEIjoiTUVOREVMRVlfQ0lUQVRJT05fM2JiMTNiZDctYjdjNy00OTE2LTllNTktMzg3OWM5MGJkNDk3IiwicHJvcGVydGllcyI6eyJub3RlSW5kZXgiOjB9LCJpc0VkaXRlZCI6ZmFsc2UsIm1hbnVhbE92ZXJyaWRlIjp7ImlzTWFudWFsbHlPdmVycmlkZGVuIjpmYWxzZSwiY2l0ZXByb2NUZXh0IjoiWzJdIiwibWFudWFsT3ZlcnJpZGVUZXh0IjoiIn0sImNpdGF0aW9uSXRlbXMiOlt7ImlkIjoiYmNhMTkyYjItNDUzZi0zZjc1LWEwNGItYzlkYjUxMzgwYjU1IiwiaXRlbURhdGEiOnsidHlwZSI6ImFydGljbGUiLCJpZCI6ImJjYTE5MmIyLTQ1M2YtM2Y3NS1hMDRiLWM5ZGI1MTM4MGI1NSIsInRpdGxlIjoiRGVjb2RpbmcgaW5mbGFtbWF0b3J5IG1lZGlhdG9ycyBpbiB0aGUgQ29ycmVhJ3MgY2FzY2FkZTogRnJvbSBjaHJvbmljIGdhc3RyaXRpcyB0byBjYXJjaW5vZ2VuZXNpcyBhbmQgdGFyZ2V0ZWQgdGhlcmFwaWVzIiwiYXV0aG9yIjpbeyJmYW1pbHkiOiJaaG91IiwiZ2l2ZW4iOiJKdW4iLCJwYXJzZS1uYW1lcyI6ZmFsc2UsImRyb3BwaW5nLXBhcnRpY2xlIjoiIiwibm9uLWRyb3BwaW5nLXBhcnRpY2xlIjoiIn0seyJmYW1pbHkiOiJMaSIsImdpdmVuIjoiSmlxaWFuZyIsInBhcnNlLW5hbWVzIjpmYWxzZSwiZHJvcHBpbmctcGFydGljbGUiOiIiLCJub24tZHJvcHBpbmctcGFydGljbGUiOiIifSx7ImZhbWlseSI6IkNoZW4iLCJnaXZlbiI6IkppZSIsInBhcnNlLW5hbWVzIjpmYWxzZSwiZHJvcHBpbmctcGFydGljbGUiOiIiLCJub24tZHJvcHBpbmctcGFydGljbGUiOiIifSx7ImZhbWlseSI6IkxhbiIsImdpdmVuIjoiWGkiLCJwYXJzZS1uYW1lcyI6ZmFsc2UsImRyb3BwaW5nLXBhcnRpY2xlIjoiIiwibm9uLWRyb3BwaW5nLXBhcnRpY2xlIjoiIn0seyJmYW1pbHkiOiJBaSIsImdpdmVuIjoiWWFubGluZyIsInBhcnNlLW5hbWVzIjpmYWxzZSwiZHJvcHBpbmctcGFydGljbGUiOiIiLCJub24tZHJvcHBpbmctcGFydGljbGUiOiIifSx7ImZhbWlseSI6IkxpdSIsImdpdmVuIjoiUGVpeWFvIiwicGFyc2UtbmFtZXMiOmZhbHNlLCJkcm9wcGluZy1wYXJ0aWNsZSI6IiIsIm5vbi1kcm9wcGluZy1wYXJ0aWNsZSI6IiJ9LHsiZmFtaWx5IjoiUGVuZyIsImdpdmVuIjoiSmluZyIsInBhcnNlLW5hbWVzIjpmYWxzZSwiZHJvcHBpbmctcGFydGljbGUiOiIiLCJub24tZHJvcHBpbmctcGFydGljbGUiOiIifSx7ImZhbWlseSI6IlBhbiIsImdpdmVuIjoiWGlueXUiLCJwYXJzZS1uYW1lcyI6ZmFsc2UsImRyb3BwaW5nLXBhcnRpY2xlIjoiIiwibm9uLWRyb3BwaW5nLXBhcnRpY2xlIjoiIn0seyJmYW1pbHkiOiJaaGFuZyIsImdpdmVuIjoiWXVhbmhhbyIsInBhcnNlLW5hbWVzIjpmYWxzZSwiZHJvcHBpbmctcGFydGljbGUiOiIiLCJub24tZHJvcHBpbmctcGFydGljbGUiOiIifSx7ImZhbWlseSI6IlpoYW5nIiwiZ2l2ZW4iOiJIZWJpbiIsInBhcnNlLW5hbWVzIjpmYWxzZSwiZHJvcHBpbmctcGFydGljbGUiOiIiLCJub24tZHJvcHBpbmctcGFydGljbGUiOiIifSx7ImZhbWlseSI6IkxpIiwiZ2l2ZW4iOiJYdWV5aSIsInBhcnNlLW5hbWVzIjpmYWxzZSwiZHJvcHBpbmctcGFydGljbGUiOiIiLCJub24tZHJvcHBpbmctcGFydGljbGUiOiIifSx7ImZhbWlseSI6IldlbiIsImdpdmVuIjoiWXVlcWlhbmciLCJwYXJzZS1uYW1lcyI6ZmFsc2UsImRyb3BwaW5nLXBhcnRpY2xlIjoiIiwibm9uLWRyb3BwaW5nLXBhcnRpY2xlIjoiIn0seyJmYW1pbHkiOiJKaWFuZyIsImdpdmVuIjoiV2VpIiwicGFyc2UtbmFtZXMiOmZhbHNlLCJkcm9wcGluZy1wYXJ0aWNsZSI6IiIsIm5vbi1kcm9wcGluZy1wYXJ0aWNsZSI6IiJ9LHsiZmFtaWx5IjoiWmVuZyIsImdpdmVuIjoiSmluaGFvIiwicGFyc2UtbmFtZXMiOmZhbHNlLCJkcm9wcGluZy1wYXJ0aWNsZSI6IiIsIm5vbi1kcm9wcGluZy1wYXJ0aWNsZSI6IiJ9XSwiY29udGFpbmVyLXRpdGxlIjoiSW50ZXJuYXRpb25hbCBJbW11bm9waGFybWFjb2xvZ3kiLCJjb250YWluZXItdGl0bGUtc2hvcnQiOiJJbnQuIEltbXVub3BoYXJtYWNvbC4iLCJET0kiOiIxMC4xMDE2L2ouaW50aW1wLjIwMjUuMTE1MTkxIiwiSVNTTiI6IjE4NzgxNzA1IiwiUE1JRCI6IjQwNjM5MDQ5IiwiaXNzdWVkIjp7ImRhdGUtcGFydHMiOltbMjAyNSw5LDIzXV19LCJhYnN0cmFjdCI6Ikdhc3RyaWMgY2FuY2VyIChHQykgc3RhbmRzIGFzIG9uZSBvZiB0aGUgbW9zdCBwcmV2YWxlbnQgbWFsaWduYW50IHR1bW9ycyB3b3JsZHdpZGUsIHdpdGggaXRzIHBhdGhvZ2VuZXNpcyByZW1haW5pbmcgaW5jb21wbGV0ZWx5IGVsdWNpZGF0ZWQuIENvcnJlYSdzIGNhc2NhZGUgZGVsaW5lYXRlcyBhIHNlcXVlbnRpYWwgcHJvZ3Jlc3Npb24gZnJvbSBub3JtYWwgZ2FzdHJpYyBtdWNvc2EgdGhyb3VnaCBjaHJvbmljIGdhc3RyaXRpcywgYXRyb3BoaWMgZ2FzdHJpdGlzIChBRyksIGludGVzdGluYWwgbWV0YXBsYXNpYSAoSU0pLCBhbmQgZHlzcGxhc2lhLCB1bHRpbWF0ZWx5IGN1bG1pbmF0aW5nIGluIGFkZW5vY2FyY2lub21hLiBJbmZsYW1tYXRpb24gc2VydmVzIGFzIHRoZSBpbml0aWF0aW5nIHBoYXNlIG9mIHRoaXMgY2FzY2FkZSwgcHJlZG9taW5hbnRseSB0cmlnZ2VyZWQgYnkgSGVsaWNvYmFjdGVyIHB5bG9yaSAoSC4gcHlsb3JpKSBpbmZlY3Rpb24uIEguIHB5bG9yaSBpbmR1Y2VzIHN1YnN0YW50aWFsIHByb2R1Y3Rpb24gb2YgaW5mbGFtbWF0b3J5IG1lZGlhdG9ycywgaW5jbHVkaW5nIGN5dG9raW5lcywgY2hlbW9raW5lcywgZ3Jvd3RoIGZhY3RvcnMsIGFuZCBvdGhlcnMuIFRoZXNlIG1lZGlhdG9ycyBvcmNoZXN0cmF0ZSBtdWx0aS1zdGVwIHJlZ3VsYXRpb24gb2YgQ29ycmVhJ3MgY2FzY2FkZSB0aHJvdWdoIG1lY2hhbmlzbXMgZW5jb21wYXNzaW5nIHJlY3J1aXRtZW50IGFuZCBpbmZpbHRyYXRpb24gb2YgaW5mbGFtbWF0b3J5IGNlbGxzLCBveGlkYXRpdmUgc3RyZXNzLCBkeXNyZWd1bGF0aW9uIG9mIGNlbGwgcHJvbGlmZXJhdGlvbiBhbmQgYXBvcHRvc2lzLCBpbW11bm9zdXBwcmVzc2lvbi9pbW11bmUgZXZhc2lvbiwgYW5naW9nZW5lc2lzLCBlcGl0aGVsaWFsLW1lc2VuY2h5bWFsIHRyYW5zaXRpb24gKEVNVCksIGFuZCB0dW1vciBpbnZhc2lvbiBhbmQgbWV0YXN0YXNpcy4gVGhpcyBzdHVkeSByZXByZXNlbnRzIHRoZSBmaXJzdCBzeXN0ZW1hdGljIGludmVzdGlnYXRpb24gY29tcHJlaGVuc2l2ZWx5IGVsdWNpZGF0aW5nIHRoZSBzcGVjaWZpYyBtZWNoYW5pc21zIHRocm91Z2ggd2hpY2ggaW5mbGFtbWF0b3J5IG1lZGlhdG9ycyBwcm9tb3RlIENvcnJlYSdzIGNhc2NhZGUgcHJvZ3Jlc3Npb24uIEZ1cnRoZXJtb3JlLCB3ZSBleHBsb3JlIHRoZSB0aGVyYXBldXRpYyBwb3RlbnRpYWwgb2Ygbm92ZWwgaW50ZXJ2ZW50aW9uIHN0cmF0ZWdpZXMgdGFyZ2V0aW5nIGluZmxhbW1hdG9yeSBtZWRpYXRvcnMgYWNyb3NzIG11bHRpcGxlIHN0YWdlcywgaW5jbHVkaW5nIG5hdHVyYWwgcHJvZHVjdHMsIGN5dG9raW5lIGFudGFnb25pc3RzLCBhbmQgZW1lcmdpbmcgbmFub3RlY2hub2xvZ3ktYmFzZWQgYXBwcm9hY2hlcywgd2hpY2ggbWF5IGVuYWJsZSByZXZlcnNhbCBvZiBDb3JyZWEncyBjYXNjYWRlLiBUaGVzZSBmaW5kaW5ncyBwcm92aWRlIG5ldyBpbnNpZ2h0cyBmb3IgZGV2ZWxvcGluZyBwcmV2ZW50aXZlIGFuZCB0aGVyYXBldXRpYyByZWdpbWVucyBhZ2FpbnN0IGdhc3RyaWMgY2FyY2lub2dlbmVzaXMuIiwicHVibGlzaGVyIjoiRWxzZXZpZXIgQi5WLiIsInZvbHVtZSI6IjE2MiJ9LCJpc1RlbXBvcmFyeSI6ZmFsc2V9XX0=&quot;,&quot;citationItems&quot;:[{&quot;id&quot;:&quot;bca192b2-453f-3f75-a04b-c9db51380b55&quot;,&quot;itemData&quot;:{&quot;type&quot;:&quot;article&quot;,&quot;id&quot;:&quot;bca192b2-453f-3f75-a04b-c9db51380b55&quot;,&quot;title&quot;:&quot;Decoding inflammatory mediators in the Correa's cascade: From chronic gastritis to carcinogenesis and targeted therapies&quot;,&quot;author&quot;:[{&quot;family&quot;:&quot;Zhou&quot;,&quot;given&quot;:&quot;Jun&quot;,&quot;parse-names&quot;:false,&quot;dropping-particle&quot;:&quot;&quot;,&quot;non-dropping-particle&quot;:&quot;&quot;},{&quot;family&quot;:&quot;Li&quot;,&quot;given&quot;:&quot;Jiqiang&quot;,&quot;parse-names&quot;:false,&quot;dropping-particle&quot;:&quot;&quot;,&quot;non-dropping-particle&quot;:&quot;&quot;},{&quot;family&quot;:&quot;Chen&quot;,&quot;given&quot;:&quot;Jie&quot;,&quot;parse-names&quot;:false,&quot;dropping-particle&quot;:&quot;&quot;,&quot;non-dropping-particle&quot;:&quot;&quot;},{&quot;family&quot;:&quot;Lan&quot;,&quot;given&quot;:&quot;Xi&quot;,&quot;parse-names&quot;:false,&quot;dropping-particle&quot;:&quot;&quot;,&quot;non-dropping-particle&quot;:&quot;&quot;},{&quot;family&quot;:&quot;Ai&quot;,&quot;given&quot;:&quot;Yanling&quot;,&quot;parse-names&quot;:false,&quot;dropping-particle&quot;:&quot;&quot;,&quot;non-dropping-particle&quot;:&quot;&quot;},{&quot;family&quot;:&quot;Liu&quot;,&quot;given&quot;:&quot;Peiyao&quot;,&quot;parse-names&quot;:false,&quot;dropping-particle&quot;:&quot;&quot;,&quot;non-dropping-particle&quot;:&quot;&quot;},{&quot;family&quot;:&quot;Peng&quot;,&quot;given&quot;:&quot;Jing&quot;,&quot;parse-names&quot;:false,&quot;dropping-particle&quot;:&quot;&quot;,&quot;non-dropping-particle&quot;:&quot;&quot;},{&quot;family&quot;:&quot;Pan&quot;,&quot;given&quot;:&quot;Xinyu&quot;,&quot;parse-names&quot;:false,&quot;dropping-particle&quot;:&quot;&quot;,&quot;non-dropping-particle&quot;:&quot;&quot;},{&quot;family&quot;:&quot;Zhang&quot;,&quot;given&quot;:&quot;Yuanhao&quot;,&quot;parse-names&quot;:false,&quot;dropping-particle&quot;:&quot;&quot;,&quot;non-dropping-particle&quot;:&quot;&quot;},{&quot;family&quot;:&quot;Zhang&quot;,&quot;given&quot;:&quot;Hebin&quot;,&quot;parse-names&quot;:false,&quot;dropping-particle&quot;:&quot;&quot;,&quot;non-dropping-particle&quot;:&quot;&quot;},{&quot;family&quot;:&quot;Li&quot;,&quot;given&quot;:&quot;Xueyi&quot;,&quot;parse-names&quot;:false,&quot;dropping-particle&quot;:&quot;&quot;,&quot;non-dropping-particle&quot;:&quot;&quot;},{&quot;family&quot;:&quot;Wen&quot;,&quot;given&quot;:&quot;Yueqiang&quot;,&quot;parse-names&quot;:false,&quot;dropping-particle&quot;:&quot;&quot;,&quot;non-dropping-particle&quot;:&quot;&quot;},{&quot;family&quot;:&quot;Jiang&quot;,&quot;given&quot;:&quot;Wei&quot;,&quot;parse-names&quot;:false,&quot;dropping-particle&quot;:&quot;&quot;,&quot;non-dropping-particle&quot;:&quot;&quot;},{&quot;family&quot;:&quot;Zeng&quot;,&quot;given&quot;:&quot;Jinhao&quot;,&quot;parse-names&quot;:false,&quot;dropping-particle&quot;:&quot;&quot;,&quot;non-dropping-particle&quot;:&quot;&quot;}],&quot;container-title&quot;:&quot;International Immunopharmacology&quot;,&quot;container-title-short&quot;:&quot;Int. Immunopharmacol.&quot;,&quot;DOI&quot;:&quot;10.1016/j.intimp.2025.115191&quot;,&quot;ISSN&quot;:&quot;18781705&quot;,&quot;PMID&quot;:&quot;40639049&quot;,&quot;issued&quot;:{&quot;date-parts&quot;:[[2025,9,23]]},&quot;abstract&quot;:&quot;Gastric cancer (GC) stands as one of the most prevalent malignant tumors worldwide, with its pathogenesis remaining incompletely elucidated. Correa's cascade delineates a sequential progression from normal gastric mucosa through chronic gastritis, atrophic gastritis (AG), intestinal metaplasia (IM), and dysplasia, ultimately culminating in adenocarcinoma. Inflammation serves as the initiating phase of this cascade, predominantly triggered by Helicobacter pylori (H. pylori) infection. H. pylori induces substantial production of inflammatory mediators, including cytokines, chemokines, growth factors, and others. These mediators orchestrate multi-step regulation of Correa's cascade through mechanisms encompassing recruitment and infiltration of inflammatory cells, oxidative stress, dysregulation of cell proliferation and apoptosis, immunosuppression/immune evasion, angiogenesis, epithelial-mesenchymal transition (EMT), and tumor invasion and metastasis. This study represents the first systematic investigation comprehensively elucidating the specific mechanisms through which inflammatory mediators promote Correa's cascade progression. Furthermore, we explore the therapeutic potential of novel intervention strategies targeting inflammatory mediators across multiple stages, including natural products, cytokine antagonists, and emerging nanotechnology-based approaches, which may enable reversal of Correa's cascade. These findings provide new insights for developing preventive and therapeutic regimens against gastric carcinogenesis.&quot;,&quot;publisher&quot;:&quot;Elsevier B.V.&quot;,&quot;volume&quot;:&quot;162&quot;},&quot;isTemporary&quot;:false}]},{&quot;citationID&quot;:&quot;MENDELEY_CITATION_eef9c68f-cc5c-4267-8b6c-435510eb885a&quot;,&quot;properties&quot;:{&quot;noteIndex&quot;:0},&quot;isEdited&quot;:false,&quot;manualOverride&quot;:{&quot;isManuallyOverridden&quot;:false,&quot;citeprocText&quot;:&quot;[1]&quot;,&quot;manualOverrideText&quot;:&quot;&quot;},&quot;citationTag&quot;:&quot;MENDELEY_CITATION_v3_eyJjaXRhdGlvbklEIjoiTUVOREVMRVlfQ0lUQVRJT05fZWVmOWM2OGYtY2M1Yy00MjY3LThiNmMtNDM1NTEwZWI4ODVhIiwicHJvcGVydGllcyI6eyJub3RlSW5kZXgiOjB9LCJpc0VkaXRlZCI6ZmFsc2UsIm1hbnVhbE92ZXJyaWRlIjp7ImlzTWFudWFsbHlPdmVycmlkZGVuIjpmYWxzZSwiY2l0ZXByb2NUZXh0IjoiWzFdIiwibWFudWFsT3ZlcnJpZGVUZXh0IjoiIn0sImNpdGF0aW9uSXRlbXMiOlt7ImlkIjoiMDI1MGMyNWYtOTI3Yy0zMWU3LThmNjEtYzk5YmQyOTY3OGQ3IiwiaXRlbURhdGEiOnsidHlwZSI6ImFydGljbGUtam91cm5hbCIsImlkIjoiMDI1MGMyNWYtOTI3Yy0zMWU3LThmNjEtYzk5YmQyOTY3OGQ3IiwidGl0bGUiOiJIZWxpY29iYWN0ZXIgcHlsb3JpIGluZmVjdGlvbiIsImF1dGhvciI6W3siZmFtaWx5IjoiTWFsZmVydGhlaW5lciIsImdpdmVuIjoiUGV0ZXIiLCJwYXJzZS1uYW1lcyI6ZmFsc2UsImRyb3BwaW5nLXBhcnRpY2xlIjoiIiwibm9uLWRyb3BwaW5nLXBhcnRpY2xlIjoiIn0seyJmYW1pbHkiOiJDYW1hcmdvIiwiZ2l2ZW4iOiJNLiBDb25zdGFuemEiLCJwYXJzZS1uYW1lcyI6ZmFsc2UsImRyb3BwaW5nLXBhcnRpY2xlIjoiIiwibm9uLWRyb3BwaW5nLXBhcnRpY2xlIjoiIn0seyJmYW1pbHkiOiJFbC1PbWFyIiwiZ2l2ZW4iOiJFbWFkIiwicGFyc2UtbmFtZXMiOmZhbHNlLCJkcm9wcGluZy1wYXJ0aWNsZSI6IiIsIm5vbi1kcm9wcGluZy1wYXJ0aWNsZSI6IiJ9LHsiZmFtaWx5IjoiTGlvdSIsImdpdmVuIjoiSnloIE1pbmciLCJwYXJzZS1uYW1lcyI6ZmFsc2UsImRyb3BwaW5nLXBhcnRpY2xlIjoiIiwibm9uLWRyb3BwaW5nLXBhcnRpY2xlIjoiIn0seyJmYW1pbHkiOiJQZWVrIiwiZ2l2ZW4iOiJSaWNoYXJkIiwicGFyc2UtbmFtZXMiOmZhbHNlLCJkcm9wcGluZy1wYXJ0aWNsZSI6IiIsIm5vbi1kcm9wcGluZy1wYXJ0aWNsZSI6IiJ9LHsiZmFtaWx5IjoiU2NodWx6IiwiZ2l2ZW4iOiJDaHJpc3RpYW4iLCJwYXJzZS1uYW1lcyI6ZmFsc2UsImRyb3BwaW5nLXBhcnRpY2xlIjoiIiwibm9uLWRyb3BwaW5nLXBhcnRpY2xlIjoiIn0seyJmYW1pbHkiOiJTbWl0aCIsImdpdmVuIjoiU3RlbGxhIEkuIiwicGFyc2UtbmFtZXMiOmZhbHNlLCJkcm9wcGluZy1wYXJ0aWNsZSI6IiIsIm5vbi1kcm9wcGluZy1wYXJ0aWNsZSI6IiJ9LHsiZmFtaWx5IjoiU3VlcmJhdW0iLCJnaXZlbiI6IlNlYmFzdGlhbiIsInBhcnNlLW5hbWVzIjpmYWxzZSwiZHJvcHBpbmctcGFydGljbGUiOiIiLCJub24tZHJvcHBpbmctcGFydGljbGUiOiIifV0sImNvbnRhaW5lci10aXRsZSI6Ik5hdHVyZSBSZXZpZXdzIERpc2Vhc2UgUHJpbWVycyIsImNvbnRhaW5lci10aXRsZS1zaG9ydCI6Ik5hdC4gUmV2LiBEaXMuIFByaW1lcnMiLCJET0kiOiIxMC4xMDM4L3M0MTU3Mi0wMjMtMDA0MzEtOCIsIklTU04iOiIyMDU2Njc2WCIsIlBNSUQiOiIzNzA4MTAwNSIsImlzc3VlZCI6eyJkYXRlLXBhcnRzIjpbWzIwMjMsMTIsMV1dfSwiYWJzdHJhY3QiOiJIZWxpY29iYWN0ZXIgcHlsb3JpIGluZmVjdGlvbiBjYXVzZXMgY2hyb25pYyBnYXN0cml0aXMsIHdoaWNoIGNhbiBwcm9ncmVzcyB0byBzZXZlcmUgZ2FzdHJvZHVvZGVuYWwgcGF0aG9sb2dpZXMsIGluY2x1ZGluZyBwZXB0aWMgdWxjZXIsIGdhc3RyaWMgY2FuY2VyIGFuZCBnYXN0cmljIG11Y29zYS1hc3NvY2lhdGVkIGx5bXBob2lkIHRpc3N1ZSBseW1waG9tYS4gSC4gcHlsb3JpIGlzIHVzdWFsbHkgdHJhbnNtaXR0ZWQgaW4gY2hpbGRob29kIGFuZCBwZXJzaXN0cyBmb3IgbGlmZSBpZiB1bnRyZWF0ZWQuIFRoZSBpbmZlY3Rpb24gYWZmZWN0cyBhcm91bmQgaGFsZiBvZiB0aGUgcG9wdWxhdGlvbiBpbiB0aGUgd29ybGQgYnV0IHByZXZhbGVuY2UgdmFyaWVzIGFjY29yZGluZyB0byBsb2NhdGlvbiBhbmQgc2FuaXRhdGlvbiBzdGFuZGFyZHMuIEguIHB5bG9yaSBoYXMgdW5pcXVlIHByb3BlcnRpZXMgdG8gY29sb25pemUgZ2FzdHJpYyBlcGl0aGVsaXVtIGluIGFuIGFjaWRpYyBlbnZpcm9ubWVudC4gVGhlIHBhdGhvcGh5c2lvbG9neSBvZiBILiBweWxvcmkgaW5mZWN0aW9uIGlzIGRlcGVuZGVudCBvbiBjb21wbGV4IGJhY3RlcmlhbCB2aXJ1bGVuY2UgbWVjaGFuaXNtcyBhbmQgdGhlaXIgaW50ZXJhY3Rpb24gd2l0aCB0aGUgaG9zdCBpbW11bmUgc3lzdGVtIGFuZCBlbnZpcm9ubWVudGFsIGZhY3RvcnMsIHJlc3VsdGluZyBpbiBkaXN0aW5jdCBnYXN0cml0aXMgcGhlbm90eXBlcyB0aGF0IGRldGVybWluZSBwb3NzaWJsZSBwcm9ncmVzc2lvbiB0byBkaWZmZXJlbnQgZ2FzdHJvZHVvZGVuYWwgcGF0aG9sb2dpZXMuIFRoZSBjYXVzYXRpdmUgcm9sZSBvZiBILiBweWxvcmkgaW5mZWN0aW9uIGluIGdhc3RyaWMgY2FuY2VyIGRldmVsb3BtZW50IHByZXNlbnRzIHRoZSBvcHBvcnR1bml0eSBmb3IgcHJldmVudGl2ZSBzY3JlZW4tYW5kLXRyZWF0IHN0cmF0ZWdpZXMuIEludmFzaXZlLCBlbmRvc2NvcHktYmFzZWQgYW5kIG5vbi1pbnZhc2l2ZSBtZXRob2RzLCBpbmNsdWRpbmcgYnJlYXRoLCBzdG9vbCBhbmQgc2Vyb2xvZ2ljYWwgdGVzdHMsIGFyZSB1c2VkIGluIHRoZSBkaWFnbm9zaXMgb2YgSC4gcHlsb3JpIGluZmVjdGlvbi4gVGhlaXIgdXNlIGRlcGVuZHMgb24gdGhlIHNwZWNpZmljIGluZGl2aWR1YWwgcGF0aWVudCBoaXN0b3J5IGFuZCBsb2NhbCBhdmFpbGFiaWxpdHkuIEguIHB5bG9yaSB0cmVhdG1lbnQgY29uc2lzdHMgb2YgYSBzdHJvbmcgYWNpZCBzdXBwcmVzc2FudCBpbiB2YXJpb3VzIGNvbWJpbmF0aW9ucyB3aXRoIGFudGliaW90aWNzIGFuZC9vciBiaXNtdXRoLiBUaGUgZHJhbWF0aWMgaW5jcmVhc2UgaW4gcmVzaXN0YW5jZSB0byBrZXkgYW50aWJpb3RpY3MgdXNlZCBpbiBILiBweWxvcmkgZXJhZGljYXRpb24gZGVtYW5kcyBhbnRpYmlvdGljIHN1c2NlcHRpYmlsaXR5IHRlc3RpbmcsIHN1cnZlaWxsYW5jZSBvZiByZXNpc3RhbmNlIGFuZCBhbnRpYmlvdGljIHN0ZXdhcmRzaGlwLiIsInB1Ymxpc2hlciI6Ik5hdHVyZSBSZXNlYXJjaCIsImlzc3VlIjoiMSIsInZvbHVtZSI6IjkifSwiaXNUZW1wb3JhcnkiOmZhbHNlfV19&quot;,&quot;citationItems&quot;:[{&quot;id&quot;:&quot;0250c25f-927c-31e7-8f61-c99bd29678d7&quot;,&quot;itemData&quot;:{&quot;type&quot;:&quot;article-journal&quot;,&quot;id&quot;:&quot;0250c25f-927c-31e7-8f61-c99bd29678d7&quot;,&quot;title&quot;:&quot;Helicobacter pylori infection&quot;,&quot;author&quot;:[{&quot;family&quot;:&quot;Malfertheiner&quot;,&quot;given&quot;:&quot;Peter&quot;,&quot;parse-names&quot;:false,&quot;dropping-particle&quot;:&quot;&quot;,&quot;non-dropping-particle&quot;:&quot;&quot;},{&quot;family&quot;:&quot;Camargo&quot;,&quot;given&quot;:&quot;M. Constanza&quot;,&quot;parse-names&quot;:false,&quot;dropping-particle&quot;:&quot;&quot;,&quot;non-dropping-particle&quot;:&quot;&quot;},{&quot;family&quot;:&quot;El-Omar&quot;,&quot;given&quot;:&quot;Emad&quot;,&quot;parse-names&quot;:false,&quot;dropping-particle&quot;:&quot;&quot;,&quot;non-dropping-particle&quot;:&quot;&quot;},{&quot;family&quot;:&quot;Liou&quot;,&quot;given&quot;:&quot;Jyh Ming&quot;,&quot;parse-names&quot;:false,&quot;dropping-particle&quot;:&quot;&quot;,&quot;non-dropping-particle&quot;:&quot;&quot;},{&quot;family&quot;:&quot;Peek&quot;,&quot;given&quot;:&quot;Richard&quot;,&quot;parse-names&quot;:false,&quot;dropping-particle&quot;:&quot;&quot;,&quot;non-dropping-particle&quot;:&quot;&quot;},{&quot;family&quot;:&quot;Schulz&quot;,&quot;given&quot;:&quot;Christian&quot;,&quot;parse-names&quot;:false,&quot;dropping-particle&quot;:&quot;&quot;,&quot;non-dropping-particle&quot;:&quot;&quot;},{&quot;family&quot;:&quot;Smith&quot;,&quot;given&quot;:&quot;Stella I.&quot;,&quot;parse-names&quot;:false,&quot;dropping-particle&quot;:&quot;&quot;,&quot;non-dropping-particle&quot;:&quot;&quot;},{&quot;family&quot;:&quot;Suerbaum&quot;,&quot;given&quot;:&quot;Sebastian&quot;,&quot;parse-names&quot;:false,&quot;dropping-particle&quot;:&quot;&quot;,&quot;non-dropping-particle&quot;:&quot;&quot;}],&quot;container-title&quot;:&quot;Nature Reviews Disease Primers&quot;,&quot;container-title-short&quot;:&quot;Nat. Rev. Dis. Primers&quot;,&quot;DOI&quot;:&quot;10.1038/s41572-023-00431-8&quot;,&quot;ISSN&quot;:&quot;2056676X&quot;,&quot;PMID&quot;:&quot;37081005&quot;,&quot;issued&quot;:{&quot;date-parts&quot;:[[2023,12,1]]},&quot;abstract&quot;:&quot;Helicobacter pylori infection causes chronic gastritis, which can progress to severe gastroduodenal pathologies, including peptic ulcer, gastric cancer and gastric mucosa-associated lymphoid tissue lymphoma. H. pylori is usually transmitted in childhood and persists for life if untreated. The infection affects around half of the population in the world but prevalence varies according to location and sanitation standards. H. pylori has unique properties to colonize gastric epithelium in an acidic environment. The pathophysiology of H. pylori infection is dependent on complex bacterial virulence mechanisms and their interaction with the host immune system and environmental factors, resulting in distinct gastritis phenotypes that determine possible progression to different gastroduodenal pathologies. The causative role of H. pylori infection in gastric cancer development presents the opportunity for preventive screen-and-treat strategies. Invasive, endoscopy-based and non-invasive methods, including breath, stool and serological tests, are used in the diagnosis of H. pylori infection. Their use depends on the specific individual patient history and local availability. H. pylori treatment consists of a strong acid suppressant in various combinations with antibiotics and/or bismuth. The dramatic increase in resistance to key antibiotics used in H. pylori eradication demands antibiotic susceptibility testing, surveillance of resistance and antibiotic stewardship.&quot;,&quot;publisher&quot;:&quot;Nature Research&quot;,&quot;issue&quot;:&quot;1&quot;,&quot;volume&quot;:&quot;9&quot;},&quot;isTemporary&quot;:false}]},{&quot;citationID&quot;:&quot;MENDELEY_CITATION_849471d9-7819-45ab-a989-1b30a1476724&quot;,&quot;properties&quot;:{&quot;noteIndex&quot;:0},&quot;isEdited&quot;:false,&quot;manualOverride&quot;:{&quot;isManuallyOverridden&quot;:false,&quot;citeprocText&quot;:&quot;[3,4]&quot;,&quot;manualOverrideText&quot;:&quot;&quot;},&quot;citationTag&quot;:&quot;MENDELEY_CITATION_v3_eyJjaXRhdGlvbklEIjoiTUVOREVMRVlfQ0lUQVRJT05fODQ5NDcxZDktNzgxOS00NWFiLWE5ODktMWIzMGExNDc2NzI0IiwicHJvcGVydGllcyI6eyJub3RlSW5kZXgiOjB9LCJpc0VkaXRlZCI6ZmFsc2UsIm1hbnVhbE92ZXJyaWRlIjp7ImlzTWFudWFsbHlPdmVycmlkZGVuIjpmYWxzZSwiY2l0ZXByb2NUZXh0IjoiWzMsNF0iLCJtYW51YWxPdmVycmlkZVRleHQiOiIifSwiY2l0YXRpb25JdGVtcyI6W3siaWQiOiI5ZTc2MDE2NS1jMDdhLTNlOTQtOWRkOS0wNjk1YjIwNmNhNjEiLCJpdGVtRGF0YSI6eyJ0eXBlIjoiYXJ0aWNsZS1qb3VybmFsIiwiaWQiOiI5ZTc2MDE2NS1jMDdhLTNlOTQtOWRkOS0wNjk1YjIwNmNhNjEiLCJ0aXRsZSI6Ikdhc3RyaXRpcyBzdGFnaW5nIGluIGNsaW5pY2FsIHByYWN0aWNlOiBUaGUgT0xHQSBzdGFnaW5nIHN5c3RlbSIsImF1dGhvciI6W3siZmFtaWx5IjoiUnVnZ2UiLCJnaXZlbiI6Ik1hc3NpbW8iLCJwYXJzZS1uYW1lcyI6ZmFsc2UsImRyb3BwaW5nLXBhcnRpY2xlIjoiIiwibm9uLWRyb3BwaW5nLXBhcnRpY2xlIjoiIn0seyJmYW1pbHkiOiJNZWdnaW8iLCJnaXZlbiI6IkFsYmVydG8iLCJwYXJzZS1uYW1lcyI6ZmFsc2UsImRyb3BwaW5nLXBhcnRpY2xlIjoiIiwibm9uLWRyb3BwaW5nLXBhcnRpY2xlIjoiIn0seyJmYW1pbHkiOiJQZW5uZWxsaSIsImdpdmVuIjoiR2lhbm1hcmlhIiwicGFyc2UtbmFtZXMiOmZhbHNlLCJkcm9wcGluZy1wYXJ0aWNsZSI6IiIsIm5vbi1kcm9wcGluZy1wYXJ0aWNsZSI6IiJ9LHsiZmFtaWx5IjoiUGlzY2lvbGkiLCJnaXZlbiI6IkZyYW5jZXNjbyIsInBhcnNlLW5hbWVzIjpmYWxzZSwiZHJvcHBpbmctcGFydGljbGUiOiIiLCJub24tZHJvcHBpbmctcGFydGljbGUiOiIifSx7ImZhbWlseSI6IkdpYWNvbWVsbGkiLCJnaXZlbiI6Ikx1Y2lhbm8iLCJwYXJzZS1uYW1lcyI6ZmFsc2UsImRyb3BwaW5nLXBhcnRpY2xlIjoiIiwibm9uLWRyb3BwaW5nLXBhcnRpY2xlIjoiIn0seyJmYW1pbHkiOiJQcmV0aXMiLCJnaXZlbiI6Ikdpb3Zhbm5pIiwicGFyc2UtbmFtZXMiOmZhbHNlLCJkcm9wcGluZy1wYXJ0aWNsZSI6IiIsIm5vbi1kcm9wcGluZy1wYXJ0aWNsZSI6IkRlIn0seyJmYW1pbHkiOiJHcmFoYW0iLCJnaXZlbiI6IkRhdmlkIFkuIiwicGFyc2UtbmFtZXMiOmZhbHNlLCJkcm9wcGluZy1wYXJ0aWNsZSI6IiIsIm5vbi1kcm9wcGluZy1wYXJ0aWNsZSI6IiJ9XSwiY29udGFpbmVyLXRpdGxlIjoiR3V0IiwiY29udGFpbmVyLXRpdGxlLXNob3J0IjoiR3V0IiwiRE9JIjoiMTAuMTEzNi9ndXQuMjAwNi4xMDY2NjYiLCJJU1NOIjoiMDAxNzU3NDkiLCJQTUlEIjoiMTcxNDI2NDciLCJpc3N1ZWQiOnsiZGF0ZS1wYXJ0cyI6W1syMDA3LDVdXX0sInBhZ2UiOiI2MzEtNjM2IiwiYWJzdHJhY3QiOiJCYWNrZ3JvdW5kOiBUaGUgYXZhaWxhYmxlIGNsYXNzaWZpY2F0aW9ucyBvZiBnYXN0cml0aXMgYXJlIGluY29uc2lzdGVudGx5IHVzZWQsIHBvc3NpYmx5IGJlY2F1c2Ugbm9uZSBwcm92aWRlcyBpbW1lZGlhdGUgcHJvZ25vc3RpYy90aGVyYXBldXRpYyBpbmZvcm1hdGlvbiB0byBjbGluaWNpYW5zLiBBcyBoaXN0b2xvZ3kgcmVwb3J0aW5nIG9mIGhlcGF0aXRpcyBpbiB0ZXJtcyBvZiBzdGFnZSBpcyBjbGluaWNhbGx5IHVzZWZ1bCBhbmQgd2lkZWx5IGFjY2VwdGVkLCBhbiBpbnRlcm5hdGlvbmFsIGdyb3VwIChPcGVyYXRpdmUgTGluayBvbiBHYXN0cml0aXMgQXNzZXNzbWVudCAoT0xHQSkpIHByb3Bvc2VkIGFuIGVxdWl2YWxlbnQgc3RhZ2luZyBzeXN0ZW0gZm9yIHJlcG9ydGluZyBnYXN0cmljIGhpc3RvbG9neS4gR2FzdHJpdGlzIHN0YWdpbmcgaW50ZWdyYXRlcyB0aGUgYXRyb3BoeSBzY29yZSAob2J0YWluZWQgYnkgYmlvcHN5KSBhbmQgdGhlIGF0cm9waHkgdG9wb2dyYXBoeSAoYWNoaWV2ZWQgdGhyb3VnaCBkaXJlY3RlZCBiaW9wc3kgbWFwcGluZykuIEFpbTogVG8gdGVzdCBpbiBhIHByb3NwZWN0aXZlIGNyb3NzLXNlY3Rpb25hbCBzdHVkeSB3aGV0aGVyIE9MR0Egc3RhZ2luZyBjb25zaXN0ZW50bHkgc3RyYXRpZmllZCBwYXRpZW50cyBhY2NvcmRpbmcgdG8gdGhlaXIgY2FuY2VyIHJpc2sgYW5kIHByb3ZpZGVkIGNsZWFyIHByb2dub3N0aWMvdGhlcmFwZXV0aWMgaW5mb3JtYXRpb24uIE1ldGhvZHM6IE9MR0Egc3RhZ2luZyBmb3IgZ2FzdHJpYyBjYW5jZXIgcmlzayAoMC1JVikgYW5kIGdhc3RyaXRpcyBncmFkaW5nIChvdmVyYWxsIHNjb3JlIG9mIHRoZSBpbmZsYW1tYXRvcnkgaW5maWx0cmF0ZSwgZ3JhZGUgMS00KSB3ZXJlIGFwcGxpZWQgaW4gNDM5IHByb3NwZWN0aXZlbHkgZW5yb2xsZWQsIGNvbnNlY3V0aXZlLCBkeXNwZXB0aWMgb3V0cGF0aWVudHMgd2hvIHVuZGVyd2VudCBlbmRvc2NvcHkgd2l0aCBzdGFuZGFyZGlzZWQgYmlvcHN5IHNhbXBsaW5nLiBJbmNpZGVudGFsIG5lb3BsYXN0aWMgbGVzaW9ucyBhbmQgY29leGlzdGluZyBwZXB0aWMgdWxjZXJzIHdlcmUgcmVjb3JkZWQuIFJlc3VsdHMgd2VyZSBwcmVzZW50ZWQgYXMgc3RhZ2UgKGluY2x1ZGluZyBhbnRyYWwgKEEpIGFuZCBjb3JwdXMgKEMpIGF0cm9waHkgc2NvcmVzKSBhbmQgSCBweWxvcmkgc3RhdHVzIChlZywgQSA9IDM7IEMgPSAyOiBzdGFnZSBJVjsgSHArdmUpLiBSZXN1bHRzOiBCZW5pZ24gY29uZGl0aW9ucyAoaW5jbHVkaW5nIGR1b2RlbmFsIHVsY2VyczsgcDwwLjAwMSkgY29uc2lzdGVudGx5IGNsdXN0ZXJlZCBpbiBzdGFnZXMgMC1JSSwgd2hlcmVhcyBhbGwgbmVvcGxhc3RpYyAoaW52YXNpdmUgYW5kIG5vbi1pbnZhc2l2ZSkgbGVzaW9ucyBjbHVzdGVyZWQgaW4gc3RhZ2VzIElJSS1JViAocDwwLjAwMSkuIENvbmNsdXNpb25zOiBHYXN0cml0aXMgc3RhZ2luZywgY29tYmluZWQgd2l0aCBIIHB5bG9yaSBzdGF0dXMsIHByb3ZpZGVkIGNsaW5pY2FsbHkgcmVsZXZhbnQgaW5mb3JtYXRpb24gb24gdGhlIG92ZXJhbGwgc3RhdHVzIG9mIHRoZSBnYXN0cmljIG11Y29zYSB3aXRoIGltcGxpY2F0aW9ucyBmb3IgcHJvZ25vc2lzLCB0aGVyYXB5IGFuZCBtYW5hZ2VtZW50LiIsImlzc3VlIjoiNSIsInZvbHVtZSI6IjU2In0sImlzVGVtcG9yYXJ5IjpmYWxzZX0seyJpZCI6Ijg1YzQ0Nzg5LTMxOTAtMzRkYS04ZGM4LWYzYjUwYjVlMWNiZCIsIml0ZW1EYXRhIjp7InR5cGUiOiJhcnRpY2xlLWpvdXJuYWwiLCJpZCI6Ijg1YzQ0Nzg5LTMxOTAtMzRkYS04ZGM4LWYzYjUwYjVlMWNiZCIsInRpdGxlIjoiVGhlIHN0YWdpbmcgb2YgZ2FzdHJpdGlzIHdpdGggdGhlIE9MR0Egc3lzdGVtIGJ5IHVzaW5nIGludGVzdGluYWwgbWV0YXBsYXNpYSBhcyBhbiBhY2N1cmF0ZSBhbHRlcm5hdGl2ZSBmb3IgYXRyb3BoaWMgZ2FzdHJpdGlzIiwiYXV0aG9yIjpbeyJmYW1pbHkiOiJDYXBlbGxlIiwiZ2l2ZW4iOiJMaXNldHRlIEcuIiwicGFyc2UtbmFtZXMiOmZhbHNlLCJkcm9wcGluZy1wYXJ0aWNsZSI6IiIsIm5vbi1kcm9wcGluZy1wYXJ0aWNsZSI6IiJ9LHsiZmFtaWx5IjoiVnJpZXMiLCJnaXZlbiI6IkFubmVtYXJpZSBDLiIsInBhcnNlLW5hbWVzIjpmYWxzZSwiZHJvcHBpbmctcGFydGljbGUiOiIiLCJub24tZHJvcHBpbmctcGFydGljbGUiOiJkZSJ9LHsiZmFtaWx5IjoiSGFyaW5nc21hIiwiZ2l2ZW4iOiJKZWxsZSIsInBhcnNlLW5hbWVzIjpmYWxzZSwiZHJvcHBpbmctcGFydGljbGUiOiIiLCJub24tZHJvcHBpbmctcGFydGljbGUiOiIifSx7ImZhbWlseSI6IkJvcmciLCJnaXZlbiI6IkZyYW5rIiwicGFyc2UtbmFtZXMiOmZhbHNlLCJkcm9wcGluZy1wYXJ0aWNsZSI6IiIsIm5vbi1kcm9wcGluZy1wYXJ0aWNsZSI6IlRlciJ9LHsiZmFtaWx5IjoiVnJpZXMiLCJnaXZlbiI6IlJpY2hhcmQgQS4iLCJwYXJzZS1uYW1lcyI6ZmFsc2UsImRyb3BwaW5nLXBhcnRpY2xlIjoiIiwibm9uLWRyb3BwaW5nLXBhcnRpY2xlIjoiZGUifSx7ImZhbWlseSI6IkJydW5vIiwiZ2l2ZW4iOiJNYXJjbyBKLiIsInBhcnNlLW5hbWVzIjpmYWxzZSwiZHJvcHBpbmctcGFydGljbGUiOiIiLCJub24tZHJvcHBpbmctcGFydGljbGUiOiIifSx7ImZhbWlseSI6IkRla2tlbiIsImdpdmVuIjoiSGVybWFuIiwicGFyc2UtbmFtZXMiOmZhbHNlLCJkcm9wcGluZy1wYXJ0aWNsZSI6IiIsIm5vbi1kcm9wcGluZy1wYXJ0aWNsZSI6InZhbiJ9LHsiZmFtaWx5IjoiTWVpamVyIiwiZ2l2ZW4iOiJKb3MiLCJwYXJzZS1uYW1lcyI6ZmFsc2UsImRyb3BwaW5nLXBhcnRpY2xlIjoiIiwibm9uLWRyb3BwaW5nLXBhcnRpY2xlIjoiIn0seyJmYW1pbHkiOiJHcmlla2VuIiwiZ2l2ZW4iOiJOaWNvbGUgQy5ULiIsInBhcnNlLW5hbWVzIjpmYWxzZSwiZHJvcHBpbmctcGFydGljbGUiOiIiLCJub24tZHJvcHBpbmctcGFydGljbGUiOiJ2YW4ifSx7ImZhbWlseSI6Ikt1aXBlcnMiLCJnaXZlbiI6IkVybnN0IEouIiwicGFyc2UtbmFtZXMiOmZhbHNlLCJkcm9wcGluZy1wYXJ0aWNsZSI6IiIsIm5vbi1kcm9wcGluZy1wYXJ0aWNsZSI6IiJ9XSwiY29udGFpbmVyLXRpdGxlIjoiR2FzdHJvaW50ZXN0aW5hbCBFbmRvc2NvcHkiLCJjb250YWluZXItdGl0bGUtc2hvcnQiOiJHYXN0cm9pbnRlc3QuIEVuZG9zYy4iLCJET0kiOiIxMC4xMDE2L2ouZ2llLjIwMDkuMTIuMDI5IiwiSVNTTiI6IjAwMTY1MTA3IiwiUE1JRCI6IjIwMzgxODAxIiwiaXNzdWVkIjp7ImRhdGUtcGFydHMiOltbMjAxMCw2XV19LCJwYWdlIjoiMTE1MC0xMTU4IiwiYWJzdHJhY3QiOiJCYWNrZ3JvdW5kOiBUaGUgT0xHQSAob3BlcmF0aXZlIGxpbmsgb24gZ2FzdHJpdGlzIGFzc2Vzc21lbnQpIHN0YWdpbmcgc3lzdGVtIGlzIGJhc2VkIG9uIHNldmVyaXR5IG9mIGF0cm9waGljIGdhc3RyaXRpcyAoQUcpLiBBRyByZW1haW5zIGEgZGlmZmljdWx0IGhpc3RvcGF0aG9sb2dpYyBkaWFnbm9zaXMgd2l0aCBsb3cgaW50ZXJvYnNlcnZlciBhZ3JlZW1lbnQsIHdoZXJlYXMgaW50ZXN0aW5hbCBtZXRhcGxhc2lhIChJTSkgaXMgYXNzb2NpYXRlZCB3aXRoIGhpZ2ggaW50ZXJvYnNlcnZlciBhZ3JlZW1lbnQuIE9iamVjdGl2ZTogVGhlIGFpbSBvZiB0aGlzIHN0dWR5IHdhcyB0byBldmFsdWF0ZSB3aGV0aGVyIGEgc3RhZ2luZyBzeXN0ZW0gYmFzZWQgb24gSU0gaXMgcHJlZmVyYWJsZSB0byBlc3RpbWF0ZSBnYXN0cmljIGNhbmNlciByaXNrLiBEZXNpZ24gYW5kIFNldHRpbmc6IFByb3NwZWN0aXZlIG11bHRpY2VudGVyIHN0dWR5LiBQYXRpZW50czogQSB0b3RhbCBvZiAxMjUgcGF0aWVudHMgcHJldmlvdXNseSBkaWFnbm9zZWQgd2l0aCBnYXN0cmljIElNIG9yIGR5c3BsYXNpYS4gSW50ZXJ2ZW50aW9uczogU3VydmVpbGxhbmNlIGVuZG9zY29weSB3aXRoIGV4dGVuc2l2ZSBiaW9wc3kgc2FtcGxpbmcuIE1haW4gT3V0Y29tZSBNZWFzdXJlbWVudHM6IFRocmVlIHBhdGhvbG9naXN0cyBncmFkZWQgYmlvcHN5IHNwZWNpbWVucyBhY2NvcmRpbmcgdG8gdGhlIFN5ZG5leSBjbGFzc2lmaWNhdGlvbi4gSW50ZXJvYnNlcnZlciBhZ3JlZW1lbnQgd2FzIGFuYWx5emVkIGJ5IGthcHBhIHN0YXRpc3RpY3MuIEluIHRoZSBPTEdBLCBBRyB3YXMgcmVwbGFjZWQgYnkgSU0sIGNyZWF0aW5nIHRoZSBPTEdJTS4gUmVzdWx0czogSW50ZXJvYnNlcnZlciBhZ3JlZW1lbnQgd2FzIGZhaXIgZm9yIGR5c3BsYXNpYSAozrogPSAwLjQpLCBzdWJzdGFudGlhbCBmb3IgQUcgKM66ID0gMC42KSwgYWxtb3N0IHBlcmZlY3QgZm9yIElNICjOuiA9IDAuOSksIGFuZCBpbXByb3ZlZCBmb3IgYWxsIHN0YWdlcyBvZiBPTEdJTSBjb21wYXJlZCB3aXRoIE9MR0EuIE92ZXJhbGwsIDg0ICg2NyUpIGFuZCA3OSAoNjMlKSBwYXRpZW50cyB3ZXJlIGNsYXNzaWZpZWQgYXMgc3RhZ2UgSS1JViBhY2NvcmRpbmcgdG8gT0xHQSBhbmQgT0xHSU0sIHJlc3BlY3RpdmVseS4gT2YgdGhlIGR5c3BsYXNpYSBwYXRpZW50cywgNSAoNzElKSBhbmQgNiAoODYlKSBjbHVzdGVyZWQgaW4gc3RhZ2UgSUlJLUlWIG9mIE9MR0EgYW5kIE9MR0lNLCByZXNwZWN0aXZlbHkuIExpbWl0YXRpb246IFByb3NwZWN0aXZlIHN0dWRpZXMgc2hvdWxkIGNvbmZpcm0gdGhlIGNvcnJlbGF0aW9uIGJldHdlZW4gZ2FzdHJpYyBjYW5jZXIgcmlzayBhbmQgT0xHSU0gc3RhZ2VzLiBDb25jbHVzaW9uOiBSZXBsYWNlbWVudCBvZiBBRyBieSBJTSBpbiB0aGUgc3RhZ2luZyBvZiBnYXN0cml0aXMgY29uc2lkZXJhYmx5IGluY3JlYXNlcyBpbnRlcm9ic2VydmVyIGFncmVlbWVudC4gVGhlIGNvcnJlbGF0aW9uIHdpdGggdGhlIHNldmVyaXR5IG9mIGdhc3RyaXRpcyByZW1haW5zIGF0IGxlYXN0IGFzIHN0cm9uZy4gVGhlcmVmb3JlLCB0aGUgT0xHSU0gbWF5IGJlIHByZWZlcnJlZCBvdmVyIHRoZSBPTEdBIGZvciB0aGUgcHJlZGljdGlvbiBvZiBnYXN0cmljIGNhbmNlciByaXNrIGluIHBhdGllbnRzIHdpdGggcHJlbWFsaWduYW50IGxlc2lvbnMuIMKpIDIwMTAgQW1lcmljYW4gU29jaWV0eSBmb3IgR2FzdHJvaW50ZXN0aW5hbCBFbmRvc2NvcHkuIiwiaXNzdWUiOiI3Iiwidm9sdW1lIjoiNzEifSwiaXNUZW1wb3JhcnkiOmZhbHNlfV19&quot;,&quot;citationItems&quot;:[{&quot;id&quot;:&quot;9e760165-c07a-3e94-9dd9-0695b206ca61&quot;,&quot;itemData&quot;:{&quot;type&quot;:&quot;article-journal&quot;,&quot;id&quot;:&quot;9e760165-c07a-3e94-9dd9-0695b206ca61&quot;,&quot;title&quot;:&quot;Gastritis staging in clinical practice: The OLGA staging system&quot;,&quot;author&quot;:[{&quot;family&quot;:&quot;Rugge&quot;,&quot;given&quot;:&quot;Massimo&quot;,&quot;parse-names&quot;:false,&quot;dropping-particle&quot;:&quot;&quot;,&quot;non-dropping-particle&quot;:&quot;&quot;},{&quot;family&quot;:&quot;Meggio&quot;,&quot;given&quot;:&quot;Alberto&quot;,&quot;parse-names&quot;:false,&quot;dropping-particle&quot;:&quot;&quot;,&quot;non-dropping-particle&quot;:&quot;&quot;},{&quot;family&quot;:&quot;Pennelli&quot;,&quot;given&quot;:&quot;Gianmaria&quot;,&quot;parse-names&quot;:false,&quot;dropping-particle&quot;:&quot;&quot;,&quot;non-dropping-particle&quot;:&quot;&quot;},{&quot;family&quot;:&quot;Piscioli&quot;,&quot;given&quot;:&quot;Francesco&quot;,&quot;parse-names&quot;:false,&quot;dropping-particle&quot;:&quot;&quot;,&quot;non-dropping-particle&quot;:&quot;&quot;},{&quot;family&quot;:&quot;Giacomelli&quot;,&quot;given&quot;:&quot;Luciano&quot;,&quot;parse-names&quot;:false,&quot;dropping-particle&quot;:&quot;&quot;,&quot;non-dropping-particle&quot;:&quot;&quot;},{&quot;family&quot;:&quot;Pretis&quot;,&quot;given&quot;:&quot;Giovanni&quot;,&quot;parse-names&quot;:false,&quot;dropping-particle&quot;:&quot;&quot;,&quot;non-dropping-particle&quot;:&quot;De&quot;},{&quot;family&quot;:&quot;Graham&quot;,&quot;given&quot;:&quot;David Y.&quot;,&quot;parse-names&quot;:false,&quot;dropping-particle&quot;:&quot;&quot;,&quot;non-dropping-particle&quot;:&quot;&quot;}],&quot;container-title&quot;:&quot;Gut&quot;,&quot;container-title-short&quot;:&quot;Gut&quot;,&quot;DOI&quot;:&quot;10.1136/gut.2006.106666&quot;,&quot;ISSN&quot;:&quot;00175749&quot;,&quot;PMID&quot;:&quot;17142647&quot;,&quot;issued&quot;:{&quot;date-parts&quot;:[[2007,5]]},&quot;page&quot;:&quot;631-636&quot;,&quot;abstract&quot;:&quot;Background: The available classifications of gastritis are inconsistently used, possibly because none provides immediate prognostic/therapeutic information to clinicians. As histology reporting of hepatitis in terms of stage is clinically useful and widely accepted, an international group (Operative Link on Gastritis Assessment (OLGA)) proposed an equivalent staging system for reporting gastric histology. Gastritis staging integrates the atrophy score (obtained by biopsy) and the atrophy topography (achieved through directed biopsy mapping). Aim: To test in a prospective cross-sectional study whether OLGA staging consistently stratified patients according to their cancer risk and provided clear prognostic/therapeutic information. Methods: OLGA staging for gastric cancer risk (0-IV) and gastritis grading (overall score of the inflammatory infiltrate, grade 1-4) were applied in 439 prospectively enrolled, consecutive, dyspeptic outpatients who underwent endoscopy with standardised biopsy sampling. Incidental neoplastic lesions and coexisting peptic ulcers were recorded. Results were presented as stage (including antral (A) and corpus (C) atrophy scores) and H pylori status (eg, A = 3; C = 2: stage IV; Hp+ve). Results: Benign conditions (including duodenal ulcers; p&lt;0.001) consistently clustered in stages 0-II, whereas all neoplastic (invasive and non-invasive) lesions clustered in stages III-IV (p&lt;0.001). Conclusions: Gastritis staging, combined with H pylori status, provided clinically relevant information on the overall status of the gastric mucosa with implications for prognosis, therapy and management.&quot;,&quot;issue&quot;:&quot;5&quot;,&quot;volume&quot;:&quot;56&quot;},&quot;isTemporary&quot;:false},{&quot;id&quot;:&quot;85c44789-3190-34da-8dc8-f3b50b5e1cbd&quot;,&quot;itemData&quot;:{&quot;type&quot;:&quot;article-journal&quot;,&quot;id&quot;:&quot;85c44789-3190-34da-8dc8-f3b50b5e1cbd&quot;,&quot;title&quot;:&quot;The staging of gastritis with the OLGA system by using intestinal metaplasia as an accurate alternative for atrophic gastritis&quot;,&quot;author&quot;:[{&quot;family&quot;:&quot;Capelle&quot;,&quot;given&quot;:&quot;Lisette G.&quot;,&quot;parse-names&quot;:false,&quot;dropping-particle&quot;:&quot;&quot;,&quot;non-dropping-particle&quot;:&quot;&quot;},{&quot;family&quot;:&quot;Vries&quot;,&quot;given&quot;:&quot;Annemarie C.&quot;,&quot;parse-names&quot;:false,&quot;dropping-particle&quot;:&quot;&quot;,&quot;non-dropping-particle&quot;:&quot;de&quot;},{&quot;family&quot;:&quot;Haringsma&quot;,&quot;given&quot;:&quot;Jelle&quot;,&quot;parse-names&quot;:false,&quot;dropping-particle&quot;:&quot;&quot;,&quot;non-dropping-particle&quot;:&quot;&quot;},{&quot;family&quot;:&quot;Borg&quot;,&quot;given&quot;:&quot;Frank&quot;,&quot;parse-names&quot;:false,&quot;dropping-particle&quot;:&quot;&quot;,&quot;non-dropping-particle&quot;:&quot;Ter&quot;},{&quot;family&quot;:&quot;Vries&quot;,&quot;given&quot;:&quot;Richard A.&quot;,&quot;parse-names&quot;:false,&quot;dropping-particle&quot;:&quot;&quot;,&quot;non-dropping-particle&quot;:&quot;de&quot;},{&quot;family&quot;:&quot;Bruno&quot;,&quot;given&quot;:&quot;Marco J.&quot;,&quot;parse-names&quot;:false,&quot;dropping-particle&quot;:&quot;&quot;,&quot;non-dropping-particle&quot;:&quot;&quot;},{&quot;family&quot;:&quot;Dekken&quot;,&quot;given&quot;:&quot;Herman&quot;,&quot;parse-names&quot;:false,&quot;dropping-particle&quot;:&quot;&quot;,&quot;non-dropping-particle&quot;:&quot;van&quot;},{&quot;family&quot;:&quot;Meijer&quot;,&quot;given&quot;:&quot;Jos&quot;,&quot;parse-names&quot;:false,&quot;dropping-particle&quot;:&quot;&quot;,&quot;non-dropping-particle&quot;:&quot;&quot;},{&quot;family&quot;:&quot;Grieken&quot;,&quot;given&quot;:&quot;Nicole C.T.&quot;,&quot;parse-names&quot;:false,&quot;dropping-particle&quot;:&quot;&quot;,&quot;non-dropping-particle&quot;:&quot;van&quot;},{&quot;family&quot;:&quot;Kuipers&quot;,&quot;given&quot;:&quot;Ernst J.&quot;,&quot;parse-names&quot;:false,&quot;dropping-particle&quot;:&quot;&quot;,&quot;non-dropping-particle&quot;:&quot;&quot;}],&quot;container-title&quot;:&quot;Gastrointestinal Endoscopy&quot;,&quot;container-title-short&quot;:&quot;Gastrointest. Endosc.&quot;,&quot;DOI&quot;:&quot;10.1016/j.gie.2009.12.029&quot;,&quot;ISSN&quot;:&quot;00165107&quot;,&quot;PMID&quot;:&quot;20381801&quot;,&quot;issued&quot;:{&quot;date-parts&quot;:[[2010,6]]},&quot;page&quot;:&quot;1150-1158&quot;,&quot;abstract&quot;:&quot;Background: The OLGA (operative link on gastritis assessment) staging system is based on severity of atrophic gastritis (AG). AG remains a difficult histopathologic diagnosis with low interobserver agreement, whereas intestinal metaplasia (IM) is associated with high interobserver agreement. Objective: The aim of this study was to evaluate whether a staging system based on IM is preferable to estimate gastric cancer risk. Design and Setting: Prospective multicenter study. Patients: A total of 125 patients previously diagnosed with gastric IM or dysplasia. Interventions: Surveillance endoscopy with extensive biopsy sampling. Main Outcome Measurements: Three pathologists graded biopsy specimens according to the Sydney classification. Interobserver agreement was analyzed by kappa statistics. In the OLGA, AG was replaced by IM, creating the OLGIM. Results: Interobserver agreement was fair for dysplasia (κ = 0.4), substantial for AG (κ = 0.6), almost perfect for IM (κ = 0.9), and improved for all stages of OLGIM compared with OLGA. Overall, 84 (67%) and 79 (63%) patients were classified as stage I-IV according to OLGA and OLGIM, respectively. Of the dysplasia patients, 5 (71%) and 6 (86%) clustered in stage III-IV of OLGA and OLGIM, respectively. Limitation: Prospective studies should confirm the correlation between gastric cancer risk and OLGIM stages. Conclusion: Replacement of AG by IM in the staging of gastritis considerably increases interobserver agreement. The correlation with the severity of gastritis remains at least as strong. Therefore, the OLGIM may be preferred over the OLGA for the prediction of gastric cancer risk in patients with premalignant lesions. © 2010 American Society for Gastrointestinal Endoscopy.&quot;,&quot;issue&quot;:&quot;7&quot;,&quot;volume&quot;:&quot;71&quot;},&quot;isTemporary&quot;:false}]},{&quot;citationID&quot;:&quot;MENDELEY_CITATION_6145942d-539d-4465-b8e2-58b950becd17&quot;,&quot;properties&quot;:{&quot;noteIndex&quot;:0},&quot;isEdited&quot;:false,&quot;manualOverride&quot;:{&quot;isManuallyOverridden&quot;:false,&quot;citeprocText&quot;:&quot;[5,6]&quot;,&quot;manualOverrideText&quot;:&quot;&quot;},&quot;citationTag&quot;:&quot;MENDELEY_CITATION_v3_eyJjaXRhdGlvbklEIjoiTUVOREVMRVlfQ0lUQVRJT05fNjE0NTk0MmQtNTM5ZC00NDY1LWI4ZTItNThiOTUwYmVjZDE3IiwicHJvcGVydGllcyI6eyJub3RlSW5kZXgiOjB9LCJpc0VkaXRlZCI6ZmFsc2UsIm1hbnVhbE92ZXJyaWRlIjp7ImlzTWFudWFsbHlPdmVycmlkZGVuIjpmYWxzZSwiY2l0ZXByb2NUZXh0IjoiWzUsNl0iLCJtYW51YWxPdmVycmlkZVRleHQiOiIifSwiY2l0YXRpb25JdGVtcyI6W3siaWQiOiJlOTZkYmQ4MC05Mjk0LTMwNDAtYWJlNi0wOGRkMDJiYjIxNDciLCJpdGVtRGF0YSI6eyJ0eXBlIjoiYXJ0aWNsZS1qb3VybmFsIiwiaWQiOiJlOTZkYmQ4MC05Mjk0LTMwNDAtYWJlNi0wOGRkMDJiYjIxNDciLCJ0aXRsZSI6Ik9MR0EgYW5kIE9MR0lNIHN0YWdpbmcgc3lzdGVtcyBvbiB0aGUgcmlzayBhc3Nlc3NtZW50IG9mIGdhc3RyaWMgY2FuY2VyOiBhIHN5c3RlbWF0aWMgcmV2aWV3IGFuZCBtZXRh4oCRYW5hbHlzaXMgb2YgcHJvc3BlY3RpdmUgY29ob3J0cyIsImF1dGhvciI6W3siZmFtaWx5IjoiQmVuaXRlcy1Hb8OxaSIsImdpdmVuIjoiSGFyb2xkIiwicGFyc2UtbmFtZXMiOmZhbHNlLCJkcm9wcGluZy1wYXJ0aWNsZSI6IiIsIm5vbi1kcm9wcGluZy1wYXJ0aWNsZSI6IiJ9LHsiZmFtaWx5IjoiQ2FicmVyYS1IaW5vam9zYSIsImdpdmVuIjoiRGFjaW8iLCJwYXJzZS1uYW1lcyI6ZmFsc2UsImRyb3BwaW5nLXBhcnRpY2xlIjoiIiwibm9uLWRyb3BwaW5nLXBhcnRpY2xlIjoiIn0seyJmYW1pbHkiOiJMYXRvcnJlIiwiZ2l2ZW4iOiJHb256YWxvIiwicGFyc2UtbmFtZXMiOmZhbHNlLCJkcm9wcGluZy1wYXJ0aWNsZSI6IiIsIm5vbi1kcm9wcGluZy1wYXJ0aWNsZSI6IiJ9LHsiZmFtaWx5IjoiSGVybmFuZGV6IiwiZ2l2ZW4iOiJBZHJpYW4iLCJwYXJzZS1uYW1lcyI6ZmFsc2UsImRyb3BwaW5nLXBhcnRpY2xlIjoiVi4iLCJub24tZHJvcHBpbmctcGFydGljbGUiOiIifSx7ImZhbWlseSI6IlVjaGltYSIsImdpdmVuIjoiSHVnbyIsInBhcnNlLW5hbWVzIjpmYWxzZSwiZHJvcHBpbmctcGFydGljbGUiOiIiLCJub24tZHJvcHBpbmctcGFydGljbGUiOiIifSx7ImZhbWlseSI6IlJpcXVlbG1lIiwiZ2l2ZW4iOiJBcm5vbGRvIiwicGFyc2UtbmFtZXMiOmZhbHNlLCJkcm9wcGluZy1wYXJ0aWNsZSI6IiIsIm5vbi1kcm9wcGluZy1wYXJ0aWNsZSI6IiJ9XSwiY29udGFpbmVyLXRpdGxlIjoiVGhlcmFwZXV0aWMgQWR2YW5jZXMgaW4gR2FzdHJvZW50ZXJvbG9neSIsImNvbnRhaW5lci10aXRsZS1zaG9ydCI6IlRoZXJhcC4gQWR2LiBHYXN0cm9lbnRlcm9sLiIsIkRPSSI6IjEwLjExNzcvMTc1NjI4NDgyNTEzMjU0NjEiLCJJU1NOIjoiMTc1NjI4NDgiLCJpc3N1ZWQiOnsiZGF0ZS1wYXJ0cyI6W1syMDI1LDEsMV1dfSwiYWJzdHJhY3QiOiJCYWNrZ3JvdW5kOiBUaGUgT3BlcmF0aXZlIExpbmsgb24gR2FzdHJpdGlzIEFzc2Vzc21lbnQgKE9MR0EpIGFuZCBPcGVyYXRpdmUgTGluayBvbiBHYXN0cmljIEludGVzdGluYWwgTWV0YXBsYXNpYSBBc3Nlc3NtZW50IChPTEdJTSkgYXJlIGVzdGFibGlzaGVkIGNsYXNzaWZpY2F0aW9uIHN5c3RlbXMgdXNlZCB0byBldmFsdWF0ZSBhdHJvcGhpYyBnYXN0cml0aXMgYW5kIGludGVzdGluYWwgbWV0YXBsYXNpYSwgcmVzcGVjdGl2ZWx5LiBPYmplY3RpdmVzOiBXZSBldmFsdWF0ZWQgdGhlIGFzc29jaWF0aW9uIG9mIE9MR0EgYW5kIE9MR0lNIHNjb3JlcyBhbmQgdGhlIHJpc2sgb2YgZ2FzdHJpYyBjYW5jZXIgKEdDKSBpbiBvbmx5IHByb3NwZWN0aXZlIGNvaG9ydCBzdHVkaWVzLiBEZXNpZ246IFN5c3RlbWF0aWMgcmV2aWV3IGFuZCBtZXRhLWFuYWx5c2lzLiBEYXRhIHNvdXJjZXMgYW5kIG1ldGhvZHM6IFdlIHN5c3RlbWF0aWNhbGx5IHNlYXJjaGVkIGZvdXIgZGF0YWJhc2VzIGZvciBwcm9zcGVjdGl2ZSBjb2hvcnRzIHRoYXQgZXZhbHVhdGVkIHRoZSB1c2Ugb2YgT0xHQSBhbmQgT0xHSU0gc3RhZ2luZyBzeXN0ZW1zIGluIHByZWRpY3RpbmcgdGhlIHJpc2sgb2YgR0MuIFdlIHByaW1hcmlseSBjb21wYXJlZCBPTEdBL09MR0lNIElJSeKAk0lWIHZlcnN1cyBPTEdBL09MR0lNIDDigJNJSSBjYXRlZ29yaWVzIGFuZCBHQyBldmVudHMuIFBvb2xlZCByaXNrIHJhdGlvcyAoUlIpIGFuZCBhYnNvbHV0ZSByaXNrIGRpZmZlcmVuY2VzIHdpdGggdGhlaXIgOTUlIGNvbmZpZGVuY2UgaW50ZXJ2YWxzIChDSXMpIHdlcmUgY2FsY3VsYXRlZC4gUmVzdWx0czogRWlnaHQgc3R1ZGllcyB3ZXJlIGluY2x1ZGVkIChuID0gMTIsNTI2KS4gVGhlIG1lYW4gYWdlIG9mIHRoZSBwYXRpZW50cyByYW5nZWQgZnJvbSA0OC4yIHRvIDY0LjkgeWVhcnMuIE9MR0EgSUlJ4oCTSVYgYW5kIE9MR0lNIElJSeKAk0lWIHdlcmUgYXNzb2NpYXRlZCB3aXRoIHRoZSBkZXZlbG9wbWVudCBvZiBHQyBpbiBjb21wYXJpc29uIHRvIHRoZWlyIDDigJNJSSBjYXRlZ29yaWVzIChSUiAzMi4zMSwgOTUlIENJIDkuMTTigJMxMTQuMjEgYW5kIFJSIDEyLjM4LCA5NSUgQ0kgNS43NeKAkzI2LjY1LCByZXNwZWN0aXZlbHkpLiBPTEdBIElJSeKAk0lWIGFuZCBPTEdJTSBJSUnigJNJViB3ZXJlIGFzc29jaWF0ZWQgd2l0aCBhbiBpbmNyZWFzZSBpbiB0aGUgYWJzb2x1dGUgcmlzayBvZiBHQyBvZiA0JSBhbmQgNSUsIHJlc3BlY3RpdmVseS4gVGhlIHJpc2sgcmVtYWluZWQgc2lnbmlmaWNhbnQgaWYgd2Ugb25seSBpbmNsdWRlZCBjb3VudHJpZXMgd2l0aCBoaWdoIGluY2lkZW5jZSBvZiBHQywgYW5kIHdhcyBncmVhdGVyIGlmIHdlIGV4Y2x1ZGVkIG9uZSBzdHVkeSB0aGF0IGluY2x1ZGVkIG1vc3RseSBwYXRpZW50cyB3aXRoIGF1dG9pbW11bmUgZ2FzdHJpdGlzLiBPTEdBIElJIGFuZCBPTEdJTSBJSSB3ZXJlIGFzc29jaWF0ZWQgd2l0aCBoaWdoZXIgcmlzayBvZiBoaWdoLWdyYWRlIGR5c3BsYXNpYSAoSEdEKSBhbmQgR0MgaW4gY29tcGFyaXNvbiB3aXRoIE9MR0EgMOKAk0kgYW5kIE9MR0lNIDDigJNJLCByZXNwZWN0aXZlbHkuIENvbmNsdXNpb246IEhpZ2hlciBzdGFnZXMgaW4gT0xHQSBhbmQgT0xHSU0gc3lzdGVtcyBhcmUgYXNzb2NpYXRlZCB3aXRoIGEgc2lnbmlmaWNhbnRseSBpbmNyZWFzZWQgcmlzayBvZiBkZXZlbG9waW5nIEhHRCBhbmQgR0MsIHZhbGlkYXRpbmcgdGhlc2Ugc2NvcmluZyBzeXN0ZW1zIGZvciB0aGUgYXNzZXNzbWVudCBvZiBHQyByaXNrIGFuZCB0aGUgZGVzaWduIG9mIGVuZG9zY29waWMgc3VydmVpbGxhbmNlIHByb2dyYW1zLiBUcmlhbCBQUk9TUEVSTyByZWdpc3RyYXRpb246IENSRDQyMDI0NTY1NzcxLiIsInB1Ymxpc2hlciI6IlNBR0UgUHVibGljYXRpb25zIEx0ZCIsInZvbHVtZSI6IjE4In0sImlzVGVtcG9yYXJ5IjpmYWxzZX0seyJpZCI6IjNlMGZiYjUzLWYyY2EtMzY5ZS1hM2FkLTY1NzdhODgxZGY5OCIsIml0ZW1EYXRhIjp7InR5cGUiOiJhcnRpY2xlLWpvdXJuYWwiLCJpZCI6IjNlMGZiYjUzLWYyY2EtMzY5ZS1hM2FkLTY1NzdhODgxZGY5OCIsInRpdGxlIjoiQ2hyb25pYyBhdHJvcGhpYyBnYXN0cml0aXM6IE5hdHVyYWwgaGlzdG9yeSwgZGlhZ25vc2lzIGFuZCB0aGVyYXBldXRpYyBtYW5hZ2VtZW50LiBBIHBvc2l0aW9uIHBhcGVyIGJ5IHRoZSBJdGFsaWFuIFNvY2lldHkgb2YgSG9zcGl0YWwgR2FzdHJvZW50ZXJvbG9naXN0cyBhbmQgRGlnZXN0aXZlIEVuZG9zY29waXN0cyBbQUlHT10sIHRoZSBJdGFsaWFuIFNvY2lldHkgb2YgRGlnZXN0aXZlIEVuZG9zY29weSBbU0lFRF0sIHRoZSBJdGFsaWFuIFNvY2lldHkgb2YgR2FzdHJvZW50ZXJvbG9neSBbU0lHRV0sIGFuZCB0aGUgSXRhbGlhbiBTb2NpZXR5IG9mIEludGVybmFsIE1lZGljaW5lIFtTSU1JXSIsImF1dGhvciI6W3siZmFtaWx5IjoiTGFobmVyIiwiZ2l2ZW4iOiJFZGl0aCIsInBhcnNlLW5hbWVzIjpmYWxzZSwiZHJvcHBpbmctcGFydGljbGUiOiIiLCJub24tZHJvcHBpbmctcGFydGljbGUiOiIifSx7ImZhbWlseSI6IlphZ2FyaSIsImdpdmVuIjoiUm9jY28gTWF1cml6aW8iLCJwYXJzZS1uYW1lcyI6ZmFsc2UsImRyb3BwaW5nLXBhcnRpY2xlIjoiIiwibm9uLWRyb3BwaW5nLXBhcnRpY2xlIjoiIn0seyJmYW1pbHkiOiJadWxsbyIsImdpdmVuIjoiQW5nZWxvIiwicGFyc2UtbmFtZXMiOmZhbHNlLCJkcm9wcGluZy1wYXJ0aWNsZSI6IiIsIm5vbi1kcm9wcGluZy1wYXJ0aWNsZSI6IiJ9LHsiZmFtaWx5IjoiU2FiYXRpbm8iLCJnaXZlbiI6IkFudG9uaW8iLCJwYXJzZS1uYW1lcyI6ZmFsc2UsImRyb3BwaW5nLXBhcnRpY2xlIjoiIiwibm9uLWRyb3BwaW5nLXBhcnRpY2xlIjoiRGkifSx7ImZhbWlseSI6Ik1lZ2dpbyIsImdpdmVuIjoiQWxiZXJ0byIsInBhcnNlLW5hbWVzIjpmYWxzZSwiZHJvcHBpbmctcGFydGljbGUiOiIiLCJub24tZHJvcHBpbmctcGFydGljbGUiOiIifSx7ImZhbWlseSI6IkNlc2FybyIsImdpdmVuIjoiUGFvbGEiLCJwYXJzZS1uYW1lcyI6ZmFsc2UsImRyb3BwaW5nLXBhcnRpY2xlIjoiIiwibm9uLWRyb3BwaW5nLXBhcnRpY2xlIjoiIn0seyJmYW1pbHkiOiJMZW50aSIsImdpdmVuIjoiTWFyY28gVmluY2Vuem8iLCJwYXJzZS1uYW1lcyI6ZmFsc2UsImRyb3BwaW5nLXBhcnRpY2xlIjoiIiwibm9uLWRyb3BwaW5nLXBhcnRpY2xlIjoiIn0seyJmYW1pbHkiOiJBbm5pYmFsZSIsImdpdmVuIjoiQnJ1bm8iLCJwYXJzZS1uYW1lcyI6ZmFsc2UsImRyb3BwaW5nLXBhcnRpY2xlIjoiIiwibm9uLWRyb3BwaW5nLXBhcnRpY2xlIjoiIn0seyJmYW1pbHkiOiJDb3JhenphIiwiZ2l2ZW4iOiJHaW5vIFJvYmVydG8iLCJwYXJzZS1uYW1lcyI6ZmFsc2UsImRyb3BwaW5nLXBhcnRpY2xlIjoiIiwibm9uLWRyb3BwaW5nLXBhcnRpY2xlIjoiIn1dLCJjb250YWluZXItdGl0bGUiOiJEaWdlc3RpdmUgYW5kIExpdmVyIERpc2Vhc2UiLCJET0kiOiIxMC4xMDE2L2ouZGxkLjIwMTkuMDkuMDE2IiwiSVNTTiI6IjE4NzgzNTYyIiwiUE1JRCI6IjMxNjM1OTQ0IiwiaXNzdWVkIjp7ImRhdGUtcGFydHMiOltbMjAxOSwxMiwxXV19LCJwYWdlIjoiMTYyMS0xNjMyIiwiYWJzdHJhY3QiOiJDaHJvbmljIGF0cm9waGljIGdhc3RyaXRpcyAoQ0FHKSBpcyBhbiB1bmRlcmRpYWdub3NlZCBjb25kaXRpb24gY2hhcmFjdGVyaXNlZCBieSB0cmFuc2xhdGlvbmFsIGZlYXR1cmVzIGdvaW5nIGJleW9uZCB0aGUgc3RyaWN0IGZpZWxkIG9mIGdhc3Ryb2VudGVyb2xvZ3kgYXMgaXQgbWF5IG1hbmlmZXN0IGl0c2VsZiBieSBhIHZhcmlhYmxlIHNwZWN0cnVtIG9mIGdhc3RyaWMgYW5kIGV4dHJhLWdhc3RyaWMgc3ltcHRvbXMgYW5kIHNpZ25zLiBJdCBpcyByZWxhdGl2ZWx5IGNvbW1vbiBhbW9uZyBvbGRlciBhZHVsdHMgaW4gZGlmZmVyZW50IHBhcnRzIG9mIHRoZSB3b3JsZCwgYnV0IGxhcmdlIHZhcmlhdGlvbnMgZXhpc3QuIEhlbGljb2JhY3RlciBweWxvcmktcmVsYXRlZCBDQUcgW211bHRpZm9jYWxdIGFuZCBhdXRvaW1tdW5lIENBRyAoY29ycHVzLXJlc3RyaWN0ZWQpIGFyZSBhcHBhcmVudGx5IHR3byBkaWZmZXJlbnQgZGlzZWFzZXMsIGJ1dCB0aGV5IGRpc3BsYXkgb3ZlcmxhcHBpbmcgZmVhdHVyZXMuIFBhdGllbnRzIHdpdGggY29iYWxhbWluIGFuZC9vciBpcm9uIGRlZmljaWVuY3kgYW5hZW1pYSBvciBhdXRvaW1tdW5lIGRpc29yZGVycywgaW5jbHVkaW5nIGF1dG9pbW11bmUgdGh5cm9pZGl0aXMgYW5kIHR5cGUgMSBkaWFiZXRlcyBtZWxsaXR1cywgc2hvdWxkIGJlIG9mZmVyZWQgc2NyZWVuaW5nIGZvciBDQUcuIFBlcHNpbm9nZW5zLCBnYXN0cmluLTE3LCBhbmQgYW50aS1ILiBweWxvcmkgYW50aWJvZGllcyBzZXJ1bSBhc3NheXMgc2VlbSB0byBiZSByZWxpYWJsZSBub24taW52YXNpdmUgc2NyZWVuaW5nIHRvb2xzIGZvciB0aGUgcHJlc2VuY2Ugb2YgQ0FHLCBoZWxwZnVsIHRvIGlkZW50aWZ5IGluZGl2aWR1YWxzIHRvIHJlZmVyIHRvIGdhc3Ryb3Njb3B5IHdpdGggZml2ZSBzdGFuZGFyZCBnYXN0cmljIGJpb3BzaWVzIGluIG9yZGVyIHRvIG9idGFpbiBoaXN0b2xvZ2ljYWwgY29uZmlybWF0aW9uIG9mIGRpYWdub3Npcy4gUGF0aWVudHMgd2l0aCBDQUcgYXJlIGF0IGluY3JlYXNlZCByaXNrIG9mIGRldmVsb3BpbmcgZ2FzdHJpYyBjYW5jZXIsIGFuZCB0aGV5IHNob3VsZCBiZSBlc3RpbWF0ZWQgd2l0aCBoaXN0b2xvZ2ljYWwgc3RhZ2luZyBzeXN0ZW1zIChPTEdBIG9yIE9MR0lNKS4gSC4gcHlsb3JpIGVyYWRpY2F0aW9uIG1heSBiZSBiZW5lZmljaWFsIGJ5IG1vZGlmeWluZyB0aGUgbmF0dXJhbCBoaXN0b3J5IG9mIGF0cm9waHksIGJ1dCBub3QgdGhhdCBvZiBpbnRlc3RpbmFsIG1ldGFwbGFzaWEuIFBhdGllbnRzIHdpdGggYWR2YW5jZWQgc3RhZ2VzIG9mIENBRyAoU3RhZ2UgSUlJL0lWIE9MR0Egb3IgT0xHSU0pIHNob3VsZCB1bmRlcmdvIGVuZG9zY29waWMgc3VydmVpbGxhbmNlIGV2ZXJ5IHRocmVlIHllYXJzLCB0aG9zZSB3aXRoIGF1dG9pbW11bmUgQ0FHIGV2ZXJ5IHRocmVlLWZpdmUgeWVhcnMuIEluIHBhdGllbnRzIHdpdGggQ0FHLCBhIHNjcmVlbmluZyBmb3IgYXV0b2ltbXVuZSB0aHlyb2lkIGRpc2Vhc2UgYW5kIG1pY3JvbnV0cmllbnQgZGVmaWNpZW5jaWVzLCBpbmNsdWRpbmcgaXJvbiBhbmQgdml0YW1pbiBCMTIsIHNob3VsZCBiZSBwZXJmb3JtZWQuIFRoZSBvcHRpbWFsIHRyZWF0bWVudCBmb3IgZHlzcGVwdGljIHN5bXB0b21zIGluIHBhdGllbnRzIHdpdGggQ0FHIHJlbWFpbnMgdG8gYmUgZGVmaW5lZC4gUHJvdG9uIHB1bXAgaW5oaWJpdG9ycyBhcmUgbm90IGluZGljYXRlZCBpbiBoeXBvY2hsb3JoeWRyaWMgQ0FHIHBhdGllbnRzLiIsInB1Ymxpc2hlciI6IkVsc2V2aWVyIEIuVi4iLCJpc3N1ZSI6IjEyIiwidm9sdW1lIjoiNTEiLCJjb250YWluZXItdGl0bGUtc2hvcnQiOiIifSwiaXNUZW1wb3JhcnkiOmZhbHNlfV19&quot;,&quot;citationItems&quot;:[{&quot;id&quot;:&quot;e96dbd80-9294-3040-abe6-08dd02bb2147&quot;,&quot;itemData&quot;:{&quot;type&quot;:&quot;article-journal&quot;,&quot;id&quot;:&quot;e96dbd80-9294-3040-abe6-08dd02bb2147&quot;,&quot;title&quot;:&quot;OLGA and OLGIM staging systems on the risk assessment of gastric cancer: a systematic review and meta‑analysis of prospective cohorts&quot;,&quot;author&quot;:[{&quot;family&quot;:&quot;Benites-Goñi&quot;,&quot;given&quot;:&quot;Harold&quot;,&quot;parse-names&quot;:false,&quot;dropping-particle&quot;:&quot;&quot;,&quot;non-dropping-particle&quot;:&quot;&quot;},{&quot;family&quot;:&quot;Cabrera-Hinojosa&quot;,&quot;given&quot;:&quot;Dacio&quot;,&quot;parse-names&quot;:false,&quot;dropping-particle&quot;:&quot;&quot;,&quot;non-dropping-particle&quot;:&quot;&quot;},{&quot;family&quot;:&quot;Latorre&quot;,&quot;given&quot;:&quot;Gonzalo&quot;,&quot;parse-names&quot;:false,&quot;dropping-particle&quot;:&quot;&quot;,&quot;non-dropping-particle&quot;:&quot;&quot;},{&quot;family&quot;:&quot;Hernandez&quot;,&quot;given&quot;:&quot;Adrian&quot;,&quot;parse-names&quot;:false,&quot;dropping-particle&quot;:&quot;V.&quot;,&quot;non-dropping-particle&quot;:&quot;&quot;},{&quot;family&quot;:&quot;Uchima&quot;,&quot;given&quot;:&quot;Hugo&quot;,&quot;parse-names&quot;:false,&quot;dropping-particle&quot;:&quot;&quot;,&quot;non-dropping-particle&quot;:&quot;&quot;},{&quot;family&quot;:&quot;Riquelme&quot;,&quot;given&quot;:&quot;Arnoldo&quot;,&quot;parse-names&quot;:false,&quot;dropping-particle&quot;:&quot;&quot;,&quot;non-dropping-particle&quot;:&quot;&quot;}],&quot;container-title&quot;:&quot;Therapeutic Advances in Gastroenterology&quot;,&quot;container-title-short&quot;:&quot;Therap. Adv. Gastroenterol.&quot;,&quot;DOI&quot;:&quot;10.1177/17562848251325461&quot;,&quot;ISSN&quot;:&quot;17562848&quot;,&quot;issued&quot;:{&quot;date-parts&quot;:[[2025,1,1]]},&quot;abstract&quot;:&quot;Background: The Operative Link on Gastritis Assessment (OLGA) and Operative Link on Gastric Intestinal Metaplasia Assessment (OLGIM) are established classification systems used to evaluate atrophic gastritis and intestinal metaplasia, respectively. Objectives: We evaluated the association of OLGA and OLGIM scores and the risk of gastric cancer (GC) in only prospective cohort studies. Design: Systematic review and meta-analysis. Data sources and methods: We systematically searched four databases for prospective cohorts that evaluated the use of OLGA and OLGIM staging systems in predicting the risk of GC. We primarily compared OLGA/OLGIM III–IV versus OLGA/OLGIM 0–II categories and GC events. Pooled risk ratios (RR) and absolute risk differences with their 95% confidence intervals (CIs) were calculated. Results: Eight studies were included (n = 12,526). The mean age of the patients ranged from 48.2 to 64.9 years. OLGA III–IV and OLGIM III–IV were associated with the development of GC in comparison to their 0–II categories (RR 32.31, 95% CI 9.14–114.21 and RR 12.38, 95% CI 5.75–26.65, respectively). OLGA III–IV and OLGIM III–IV were associated with an increase in the absolute risk of GC of 4% and 5%, respectively. The risk remained significant if we only included countries with high incidence of GC, and was greater if we excluded one study that included mostly patients with autoimmune gastritis. OLGA II and OLGIM II were associated with higher risk of high-grade dysplasia (HGD) and GC in comparison with OLGA 0–I and OLGIM 0–I, respectively. Conclusion: Higher stages in OLGA and OLGIM systems are associated with a significantly increased risk of developing HGD and GC, validating these scoring systems for the assessment of GC risk and the design of endoscopic surveillance programs. Trial PROSPERO registration: CRD42024565771.&quot;,&quot;publisher&quot;:&quot;SAGE Publications Ltd&quot;,&quot;volume&quot;:&quot;18&quot;},&quot;isTemporary&quot;:false},{&quot;id&quot;:&quot;3e0fbb53-f2ca-369e-a3ad-6577a881df98&quot;,&quot;itemData&quot;:{&quot;type&quot;:&quot;article-journal&quot;,&quot;id&quot;:&quot;3e0fbb53-f2ca-369e-a3ad-6577a881df98&quot;,&quot;title&quot;:&quot;Chronic atrophic gastritis: Natural history, diagnosis and therapeutic management. A position paper by the Italian Society of Hospital Gastroenterologists and Digestive Endoscopists [AIGO], the Italian Society of Digestive Endoscopy [SIED], the Italian Society of Gastroenterology [SIGE], and the Italian Society of Internal Medicine [SIMI]&quot;,&quot;author&quot;:[{&quot;family&quot;:&quot;Lahner&quot;,&quot;given&quot;:&quot;Edith&quot;,&quot;parse-names&quot;:false,&quot;dropping-particle&quot;:&quot;&quot;,&quot;non-dropping-particle&quot;:&quot;&quot;},{&quot;family&quot;:&quot;Zagari&quot;,&quot;given&quot;:&quot;Rocco Maurizio&quot;,&quot;parse-names&quot;:false,&quot;dropping-particle&quot;:&quot;&quot;,&quot;non-dropping-particle&quot;:&quot;&quot;},{&quot;family&quot;:&quot;Zullo&quot;,&quot;given&quot;:&quot;Angelo&quot;,&quot;parse-names&quot;:false,&quot;dropping-particle&quot;:&quot;&quot;,&quot;non-dropping-particle&quot;:&quot;&quot;},{&quot;family&quot;:&quot;Sabatino&quot;,&quot;given&quot;:&quot;Antonio&quot;,&quot;parse-names&quot;:false,&quot;dropping-particle&quot;:&quot;&quot;,&quot;non-dropping-particle&quot;:&quot;Di&quot;},{&quot;family&quot;:&quot;Meggio&quot;,&quot;given&quot;:&quot;Alberto&quot;,&quot;parse-names&quot;:false,&quot;dropping-particle&quot;:&quot;&quot;,&quot;non-dropping-particle&quot;:&quot;&quot;},{&quot;family&quot;:&quot;Cesaro&quot;,&quot;given&quot;:&quot;Paola&quot;,&quot;parse-names&quot;:false,&quot;dropping-particle&quot;:&quot;&quot;,&quot;non-dropping-particle&quot;:&quot;&quot;},{&quot;family&quot;:&quot;Lenti&quot;,&quot;given&quot;:&quot;Marco Vincenzo&quot;,&quot;parse-names&quot;:false,&quot;dropping-particle&quot;:&quot;&quot;,&quot;non-dropping-particle&quot;:&quot;&quot;},{&quot;family&quot;:&quot;Annibale&quot;,&quot;given&quot;:&quot;Bruno&quot;,&quot;parse-names&quot;:false,&quot;dropping-particle&quot;:&quot;&quot;,&quot;non-dropping-particle&quot;:&quot;&quot;},{&quot;family&quot;:&quot;Corazza&quot;,&quot;given&quot;:&quot;Gino Roberto&quot;,&quot;parse-names&quot;:false,&quot;dropping-particle&quot;:&quot;&quot;,&quot;non-dropping-particle&quot;:&quot;&quot;}],&quot;container-title&quot;:&quot;Digestive and Liver Disease&quot;,&quot;DOI&quot;:&quot;10.1016/j.dld.2019.09.016&quot;,&quot;ISSN&quot;:&quot;18783562&quot;,&quot;PMID&quot;:&quot;31635944&quot;,&quot;issued&quot;:{&quot;date-parts&quot;:[[2019,12,1]]},&quot;page&quot;:&quot;1621-1632&quot;,&quot;abstract&quot;:&quot;Chronic atrophic gastritis (CAG) is an underdiagnosed condition characterised by translational features going beyond the strict field of gastroenterology as it may manifest itself by a variable spectrum of gastric and extra-gastric symptoms and signs. It is relatively common among older adults in different parts of the world, but large variations exist. Helicobacter pylori-related CAG [multifocal] and autoimmune CAG (corpus-restricted) are apparently two different diseases, but they display overlapping features. Patients with cobalamin and/or iron deficiency anaemia or autoimmune disorders, including autoimmune thyroiditis and type 1 diabetes mellitus, should be offered screening for CAG. Pepsinogens, gastrin-17, and anti-H. pylori antibodies serum assays seem to be reliable non-invasive screening tools for the presence of CAG, helpful to identify individuals to refer to gastroscopy with five standard gastric biopsies in order to obtain histological confirmation of diagnosis. Patients with CAG are at increased risk of developing gastric cancer, and they should be estimated with histological staging systems (OLGA or OLGIM). H. pylori eradication may be beneficial by modifying the natural history of atrophy, but not that of intestinal metaplasia. Patients with advanced stages of CAG (Stage III/IV OLGA or OLGIM) should undergo endoscopic surveillance every three years, those with autoimmune CAG every three-five years. In patients with CAG, a screening for autoimmune thyroid disease and micronutrient deficiencies, including iron and vitamin B12, should be performed. The optimal treatment for dyspeptic symptoms in patients with CAG remains to be defined. Proton pump inhibitors are not indicated in hypochlorhydric CAG patients.&quot;,&quot;publisher&quot;:&quot;Elsevier B.V.&quot;,&quot;issue&quot;:&quot;12&quot;,&quot;volume&quot;:&quot;51&quot;,&quot;container-title-short&quot;:&quot;&quot;},&quot;isTemporary&quot;:false}]},{&quot;citationID&quot;:&quot;MENDELEY_CITATION_5b5b4658-4d28-41a3-9dd2-2d5c2f5a2027&quot;,&quot;properties&quot;:{&quot;noteIndex&quot;:0},&quot;isEdited&quot;:false,&quot;manualOverride&quot;:{&quot;isManuallyOverridden&quot;:false,&quot;citeprocText&quot;:&quot;[1,3,6,7]&quot;,&quot;manualOverrideText&quot;:&quot;&quot;},&quot;citationTag&quot;:&quot;MENDELEY_CITATION_v3_eyJjaXRhdGlvbklEIjoiTUVOREVMRVlfQ0lUQVRJT05fNWI1YjQ2NTgtNGQyOC00MWEzLTlkZDItMmQ1YzJmNWEyMDI3IiwicHJvcGVydGllcyI6eyJub3RlSW5kZXgiOjB9LCJpc0VkaXRlZCI6ZmFsc2UsIm1hbnVhbE92ZXJyaWRlIjp7ImlzTWFudWFsbHlPdmVycmlkZGVuIjpmYWxzZSwiY2l0ZXByb2NUZXh0IjoiWzEsMyw2LDddIiwibWFudWFsT3ZlcnJpZGVUZXh0IjoiIn0sImNpdGF0aW9uSXRlbXMiOlt7ImlkIjoiOWU3NjAxNjUtYzA3YS0zZTk0LTlkZDktMDY5NWIyMDZjYTYxIiwiaXRlbURhdGEiOnsidHlwZSI6ImFydGljbGUtam91cm5hbCIsImlkIjoiOWU3NjAxNjUtYzA3YS0zZTk0LTlkZDktMDY5NWIyMDZjYTYxIiwidGl0bGUiOiJHYXN0cml0aXMgc3RhZ2luZyBpbiBjbGluaWNhbCBwcmFjdGljZTogVGhlIE9MR0Egc3RhZ2luZyBzeXN0ZW0iLCJhdXRob3IiOlt7ImZhbWlseSI6IlJ1Z2dlIiwiZ2l2ZW4iOiJNYXNzaW1vIiwicGFyc2UtbmFtZXMiOmZhbHNlLCJkcm9wcGluZy1wYXJ0aWNsZSI6IiIsIm5vbi1kcm9wcGluZy1wYXJ0aWNsZSI6IiJ9LHsiZmFtaWx5IjoiTWVnZ2lvIiwiZ2l2ZW4iOiJBbGJlcnRvIiwicGFyc2UtbmFtZXMiOmZhbHNlLCJkcm9wcGluZy1wYXJ0aWNsZSI6IiIsIm5vbi1kcm9wcGluZy1wYXJ0aWNsZSI6IiJ9LHsiZmFtaWx5IjoiUGVubmVsbGkiLCJnaXZlbiI6IkdpYW5tYXJpYSIsInBhcnNlLW5hbWVzIjpmYWxzZSwiZHJvcHBpbmctcGFydGljbGUiOiIiLCJub24tZHJvcHBpbmctcGFydGljbGUiOiIifSx7ImZhbWlseSI6IlBpc2Npb2xpIiwiZ2l2ZW4iOiJGcmFuY2VzY28iLCJwYXJzZS1uYW1lcyI6ZmFsc2UsImRyb3BwaW5nLXBhcnRpY2xlIjoiIiwibm9uLWRyb3BwaW5nLXBhcnRpY2xlIjoiIn0seyJmYW1pbHkiOiJHaWFjb21lbGxpIiwiZ2l2ZW4iOiJMdWNpYW5vIiwicGFyc2UtbmFtZXMiOmZhbHNlLCJkcm9wcGluZy1wYXJ0aWNsZSI6IiIsIm5vbi1kcm9wcGluZy1wYXJ0aWNsZSI6IiJ9LHsiZmFtaWx5IjoiUHJldGlzIiwiZ2l2ZW4iOiJHaW92YW5uaSIsInBhcnNlLW5hbWVzIjpmYWxzZSwiZHJvcHBpbmctcGFydGljbGUiOiIiLCJub24tZHJvcHBpbmctcGFydGljbGUiOiJEZSJ9LHsiZmFtaWx5IjoiR3JhaGFtIiwiZ2l2ZW4iOiJEYXZpZCBZLiIsInBhcnNlLW5hbWVzIjpmYWxzZSwiZHJvcHBpbmctcGFydGljbGUiOiIiLCJub24tZHJvcHBpbmctcGFydGljbGUiOiIifV0sImNvbnRhaW5lci10aXRsZSI6Ikd1dCIsImNvbnRhaW5lci10aXRsZS1zaG9ydCI6Ikd1dCIsIkRPSSI6IjEwLjExMzYvZ3V0LjIwMDYuMTA2NjY2IiwiSVNTTiI6IjAwMTc1NzQ5IiwiUE1JRCI6IjE3MTQyNjQ3IiwiaXNzdWVkIjp7ImRhdGUtcGFydHMiOltbMjAwNyw1XV19LCJwYWdlIjoiNjMxLTYzNiIsImFic3RyYWN0IjoiQmFja2dyb3VuZDogVGhlIGF2YWlsYWJsZSBjbGFzc2lmaWNhdGlvbnMgb2YgZ2FzdHJpdGlzIGFyZSBpbmNvbnNpc3RlbnRseSB1c2VkLCBwb3NzaWJseSBiZWNhdXNlIG5vbmUgcHJvdmlkZXMgaW1tZWRpYXRlIHByb2dub3N0aWMvdGhlcmFwZXV0aWMgaW5mb3JtYXRpb24gdG8gY2xpbmljaWFucy4gQXMgaGlzdG9sb2d5IHJlcG9ydGluZyBvZiBoZXBhdGl0aXMgaW4gdGVybXMgb2Ygc3RhZ2UgaXMgY2xpbmljYWxseSB1c2VmdWwgYW5kIHdpZGVseSBhY2NlcHRlZCwgYW4gaW50ZXJuYXRpb25hbCBncm91cCAoT3BlcmF0aXZlIExpbmsgb24gR2FzdHJpdGlzIEFzc2Vzc21lbnQgKE9MR0EpKSBwcm9wb3NlZCBhbiBlcXVpdmFsZW50IHN0YWdpbmcgc3lzdGVtIGZvciByZXBvcnRpbmcgZ2FzdHJpYyBoaXN0b2xvZ3kuIEdhc3RyaXRpcyBzdGFnaW5nIGludGVncmF0ZXMgdGhlIGF0cm9waHkgc2NvcmUgKG9idGFpbmVkIGJ5IGJpb3BzeSkgYW5kIHRoZSBhdHJvcGh5IHRvcG9ncmFwaHkgKGFjaGlldmVkIHRocm91Z2ggZGlyZWN0ZWQgYmlvcHN5IG1hcHBpbmcpLiBBaW06IFRvIHRlc3QgaW4gYSBwcm9zcGVjdGl2ZSBjcm9zcy1zZWN0aW9uYWwgc3R1ZHkgd2hldGhlciBPTEdBIHN0YWdpbmcgY29uc2lzdGVudGx5IHN0cmF0aWZpZWQgcGF0aWVudHMgYWNjb3JkaW5nIHRvIHRoZWlyIGNhbmNlciByaXNrIGFuZCBwcm92aWRlZCBjbGVhciBwcm9nbm9zdGljL3RoZXJhcGV1dGljIGluZm9ybWF0aW9uLiBNZXRob2RzOiBPTEdBIHN0YWdpbmcgZm9yIGdhc3RyaWMgY2FuY2VyIHJpc2sgKDAtSVYpIGFuZCBnYXN0cml0aXMgZ3JhZGluZyAob3ZlcmFsbCBzY29yZSBvZiB0aGUgaW5mbGFtbWF0b3J5IGluZmlsdHJhdGUsIGdyYWRlIDEtNCkgd2VyZSBhcHBsaWVkIGluIDQzOSBwcm9zcGVjdGl2ZWx5IGVucm9sbGVkLCBjb25zZWN1dGl2ZSwgZHlzcGVwdGljIG91dHBhdGllbnRzIHdobyB1bmRlcndlbnQgZW5kb3Njb3B5IHdpdGggc3RhbmRhcmRpc2VkIGJpb3BzeSBzYW1wbGluZy4gSW5jaWRlbnRhbCBuZW9wbGFzdGljIGxlc2lvbnMgYW5kIGNvZXhpc3RpbmcgcGVwdGljIHVsY2VycyB3ZXJlIHJlY29yZGVkLiBSZXN1bHRzIHdlcmUgcHJlc2VudGVkIGFzIHN0YWdlIChpbmNsdWRpbmcgYW50cmFsIChBKSBhbmQgY29ycHVzIChDKSBhdHJvcGh5IHNjb3JlcykgYW5kIEggcHlsb3JpIHN0YXR1cyAoZWcsIEEgPSAzOyBDID0gMjogc3RhZ2UgSVY7IEhwK3ZlKS4gUmVzdWx0czogQmVuaWduIGNvbmRpdGlvbnMgKGluY2x1ZGluZyBkdW9kZW5hbCB1bGNlcnM7IHA8MC4wMDEpIGNvbnNpc3RlbnRseSBjbHVzdGVyZWQgaW4gc3RhZ2VzIDAtSUksIHdoZXJlYXMgYWxsIG5lb3BsYXN0aWMgKGludmFzaXZlIGFuZCBub24taW52YXNpdmUpIGxlc2lvbnMgY2x1c3RlcmVkIGluIHN0YWdlcyBJSUktSVYgKHA8MC4wMDEpLiBDb25jbHVzaW9uczogR2FzdHJpdGlzIHN0YWdpbmcsIGNvbWJpbmVkIHdpdGggSCBweWxvcmkgc3RhdHVzLCBwcm92aWRlZCBjbGluaWNhbGx5IHJlbGV2YW50IGluZm9ybWF0aW9uIG9uIHRoZSBvdmVyYWxsIHN0YXR1cyBvZiB0aGUgZ2FzdHJpYyBtdWNvc2Egd2l0aCBpbXBsaWNhdGlvbnMgZm9yIHByb2dub3NpcywgdGhlcmFweSBhbmQgbWFuYWdlbWVudC4iLCJpc3N1ZSI6IjUiLCJ2b2x1bWUiOiI1NiJ9LCJpc1RlbXBvcmFyeSI6ZmFsc2V9LHsiaWQiOiIzZTBmYmI1My1mMmNhLTM2OWUtYTNhZC02NTc3YTg4MWRmOTgiLCJpdGVtRGF0YSI6eyJ0eXBlIjoiYXJ0aWNsZS1qb3VybmFsIiwiaWQiOiIzZTBmYmI1My1mMmNhLTM2OWUtYTNhZC02NTc3YTg4MWRmOTgiLCJ0aXRsZSI6IkNocm9uaWMgYXRyb3BoaWMgZ2FzdHJpdGlzOiBOYXR1cmFsIGhpc3RvcnksIGRpYWdub3NpcyBhbmQgdGhlcmFwZXV0aWMgbWFuYWdlbWVudC4gQSBwb3NpdGlvbiBwYXBlciBieSB0aGUgSXRhbGlhbiBTb2NpZXR5IG9mIEhvc3BpdGFsIEdhc3Ryb2VudGVyb2xvZ2lzdHMgYW5kIERpZ2VzdGl2ZSBFbmRvc2NvcGlzdHMgW0FJR09dLCB0aGUgSXRhbGlhbiBTb2NpZXR5IG9mIERpZ2VzdGl2ZSBFbmRvc2NvcHkgW1NJRURdLCB0aGUgSXRhbGlhbiBTb2NpZXR5IG9mIEdhc3Ryb2VudGVyb2xvZ3kgW1NJR0VdLCBhbmQgdGhlIEl0YWxpYW4gU29jaWV0eSBvZiBJbnRlcm5hbCBNZWRpY2luZSBbU0lNSV0iLCJhdXRob3IiOlt7ImZhbWlseSI6IkxhaG5lciIsImdpdmVuIjoiRWRpdGgiLCJwYXJzZS1uYW1lcyI6ZmFsc2UsImRyb3BwaW5nLXBhcnRpY2xlIjoiIiwibm9uLWRyb3BwaW5nLXBhcnRpY2xlIjoiIn0seyJmYW1pbHkiOiJaYWdhcmkiLCJnaXZlbiI6IlJvY2NvIE1hdXJpemlvIiwicGFyc2UtbmFtZXMiOmZhbHNlLCJkcm9wcGluZy1wYXJ0aWNsZSI6IiIsIm5vbi1kcm9wcGluZy1wYXJ0aWNsZSI6IiJ9LHsiZmFtaWx5IjoiWnVsbG8iLCJnaXZlbiI6IkFuZ2VsbyIsInBhcnNlLW5hbWVzIjpmYWxzZSwiZHJvcHBpbmctcGFydGljbGUiOiIiLCJub24tZHJvcHBpbmctcGFydGljbGUiOiIifSx7ImZhbWlseSI6IlNhYmF0aW5vIiwiZ2l2ZW4iOiJBbnRvbmlvIiwicGFyc2UtbmFtZXMiOmZhbHNlLCJkcm9wcGluZy1wYXJ0aWNsZSI6IiIsIm5vbi1kcm9wcGluZy1wYXJ0aWNsZSI6IkRpIn0seyJmYW1pbHkiOiJNZWdnaW8iLCJnaXZlbiI6IkFsYmVydG8iLCJwYXJzZS1uYW1lcyI6ZmFsc2UsImRyb3BwaW5nLXBhcnRpY2xlIjoiIiwibm9uLWRyb3BwaW5nLXBhcnRpY2xlIjoiIn0seyJmYW1pbHkiOiJDZXNhcm8iLCJnaXZlbiI6IlBhb2xhIiwicGFyc2UtbmFtZXMiOmZhbHNlLCJkcm9wcGluZy1wYXJ0aWNsZSI6IiIsIm5vbi1kcm9wcGluZy1wYXJ0aWNsZSI6IiJ9LHsiZmFtaWx5IjoiTGVudGkiLCJnaXZlbiI6Ik1hcmNvIFZpbmNlbnpvIiwicGFyc2UtbmFtZXMiOmZhbHNlLCJkcm9wcGluZy1wYXJ0aWNsZSI6IiIsIm5vbi1kcm9wcGluZy1wYXJ0aWNsZSI6IiJ9LHsiZmFtaWx5IjoiQW5uaWJhbGUiLCJnaXZlbiI6IkJydW5vIiwicGFyc2UtbmFtZXMiOmZhbHNlLCJkcm9wcGluZy1wYXJ0aWNsZSI6IiIsIm5vbi1kcm9wcGluZy1wYXJ0aWNsZSI6IiJ9LHsiZmFtaWx5IjoiQ29yYXp6YSIsImdpdmVuIjoiR2lubyBSb2JlcnRvIiwicGFyc2UtbmFtZXMiOmZhbHNlLCJkcm9wcGluZy1wYXJ0aWNsZSI6IiIsIm5vbi1kcm9wcGluZy1wYXJ0aWNsZSI6IiJ9XSwiY29udGFpbmVyLXRpdGxlIjoiRGlnZXN0aXZlIGFuZCBMaXZlciBEaXNlYXNlIiwiRE9JIjoiMTAuMTAxNi9qLmRsZC4yMDE5LjA5LjAxNiIsIklTU04iOiIxODc4MzU2MiIsIlBNSUQiOiIzMTYzNTk0NCIsImlzc3VlZCI6eyJkYXRlLXBhcnRzIjpbWzIwMTksMTIsMV1dfSwicGFnZSI6IjE2MjEtMTYzMiIsImFic3RyYWN0IjoiQ2hyb25pYyBhdHJvcGhpYyBnYXN0cml0aXMgKENBRykgaXMgYW4gdW5kZXJkaWFnbm9zZWQgY29uZGl0aW9uIGNoYXJhY3RlcmlzZWQgYnkgdHJhbnNsYXRpb25hbCBmZWF0dXJlcyBnb2luZyBiZXlvbmQgdGhlIHN0cmljdCBmaWVsZCBvZiBnYXN0cm9lbnRlcm9sb2d5IGFzIGl0IG1heSBtYW5pZmVzdCBpdHNlbGYgYnkgYSB2YXJpYWJsZSBzcGVjdHJ1bSBvZiBnYXN0cmljIGFuZCBleHRyYS1nYXN0cmljIHN5bXB0b21zIGFuZCBzaWducy4gSXQgaXMgcmVsYXRpdmVseSBjb21tb24gYW1vbmcgb2xkZXIgYWR1bHRzIGluIGRpZmZlcmVudCBwYXJ0cyBvZiB0aGUgd29ybGQsIGJ1dCBsYXJnZSB2YXJpYXRpb25zIGV4aXN0LiBIZWxpY29iYWN0ZXIgcHlsb3JpLXJlbGF0ZWQgQ0FHIFttdWx0aWZvY2FsXSBhbmQgYXV0b2ltbXVuZSBDQUcgKGNvcnB1cy1yZXN0cmljdGVkKSBhcmUgYXBwYXJlbnRseSB0d28gZGlmZmVyZW50IGRpc2Vhc2VzLCBidXQgdGhleSBkaXNwbGF5IG92ZXJsYXBwaW5nIGZlYXR1cmVzLiBQYXRpZW50cyB3aXRoIGNvYmFsYW1pbiBhbmQvb3IgaXJvbiBkZWZpY2llbmN5IGFuYWVtaWEgb3IgYXV0b2ltbXVuZSBkaXNvcmRlcnMsIGluY2x1ZGluZyBhdXRvaW1tdW5lIHRoeXJvaWRpdGlzIGFuZCB0eXBlIDEgZGlhYmV0ZXMgbWVsbGl0dXMsIHNob3VsZCBiZSBvZmZlcmVkIHNjcmVlbmluZyBmb3IgQ0FHLiBQZXBzaW5vZ2VucywgZ2FzdHJpbi0xNywgYW5kIGFudGktSC4gcHlsb3JpIGFudGlib2RpZXMgc2VydW0gYXNzYXlzIHNlZW0gdG8gYmUgcmVsaWFibGUgbm9uLWludmFzaXZlIHNjcmVlbmluZyB0b29scyBmb3IgdGhlIHByZXNlbmNlIG9mIENBRywgaGVscGZ1bCB0byBpZGVudGlmeSBpbmRpdmlkdWFscyB0byByZWZlciB0byBnYXN0cm9zY29weSB3aXRoIGZpdmUgc3RhbmRhcmQgZ2FzdHJpYyBiaW9wc2llcyBpbiBvcmRlciB0byBvYnRhaW4gaGlzdG9sb2dpY2FsIGNvbmZpcm1hdGlvbiBvZiBkaWFnbm9zaXMuIFBhdGllbnRzIHdpdGggQ0FHIGFyZSBhdCBpbmNyZWFzZWQgcmlzayBvZiBkZXZlbG9waW5nIGdhc3RyaWMgY2FuY2VyLCBhbmQgdGhleSBzaG91bGQgYmUgZXN0aW1hdGVkIHdpdGggaGlzdG9sb2dpY2FsIHN0YWdpbmcgc3lzdGVtcyAoT0xHQSBvciBPTEdJTSkuIEguIHB5bG9yaSBlcmFkaWNhdGlvbiBtYXkgYmUgYmVuZWZpY2lhbCBieSBtb2RpZnlpbmcgdGhlIG5hdHVyYWwgaGlzdG9yeSBvZiBhdHJvcGh5LCBidXQgbm90IHRoYXQgb2YgaW50ZXN0aW5hbCBtZXRhcGxhc2lhLiBQYXRpZW50cyB3aXRoIGFkdmFuY2VkIHN0YWdlcyBvZiBDQUcgKFN0YWdlIElJSS9JViBPTEdBIG9yIE9MR0lNKSBzaG91bGQgdW5kZXJnbyBlbmRvc2NvcGljIHN1cnZlaWxsYW5jZSBldmVyeSB0aHJlZSB5ZWFycywgdGhvc2Ugd2l0aCBhdXRvaW1tdW5lIENBRyBldmVyeSB0aHJlZS1maXZlIHllYXJzLiBJbiBwYXRpZW50cyB3aXRoIENBRywgYSBzY3JlZW5pbmcgZm9yIGF1dG9pbW11bmUgdGh5cm9pZCBkaXNlYXNlIGFuZCBtaWNyb251dHJpZW50IGRlZmljaWVuY2llcywgaW5jbHVkaW5nIGlyb24gYW5kIHZpdGFtaW4gQjEyLCBzaG91bGQgYmUgcGVyZm9ybWVkLiBUaGUgb3B0aW1hbCB0cmVhdG1lbnQgZm9yIGR5c3BlcHRpYyBzeW1wdG9tcyBpbiBwYXRpZW50cyB3aXRoIENBRyByZW1haW5zIHRvIGJlIGRlZmluZWQuIFByb3RvbiBwdW1wIGluaGliaXRvcnMgYXJlIG5vdCBpbmRpY2F0ZWQgaW4gaHlwb2NobG9yaHlkcmljIENBRyBwYXRpZW50cy4iLCJwdWJsaXNoZXIiOiJFbHNldmllciBCLlYuIiwiaXNzdWUiOiIxMiIsInZvbHVtZSI6IjUxIiwiY29udGFpbmVyLXRpdGxlLXNob3J0IjoiIn0sImlzVGVtcG9yYXJ5IjpmYWxzZX0seyJpZCI6ImQxOGI5ZGJmLWRkNzYtM2I1ZC05OGE5LTZkMDg5ZmM1NzUyNiIsIml0ZW1EYXRhIjp7InR5cGUiOiJhcnRpY2xlLWpvdXJuYWwiLCJpZCI6ImQxOGI5ZGJmLWRkNzYtM2I1ZC05OGE5LTZkMDg5ZmM1NzUyNiIsInRpdGxlIjoiTWFuYWdlbWVudCBvZiBIZWxpY29iYWN0ZXIgcHlsb3JpIGluZmVjdGlvbjogdGhlIE1hYXN0cmljaHQgVkkvRmxvcmVuY2UgY29uc2Vuc3VzIHJlcG9ydCIsImF1dGhvciI6W3siZmFtaWx5IjoiTWFsZmVydGhlaW5lciIsImdpdmVuIjoiUGV0ZXIiLCJwYXJzZS1uYW1lcyI6ZmFsc2UsImRyb3BwaW5nLXBhcnRpY2xlIjoiIiwibm9uLWRyb3BwaW5nLXBhcnRpY2xlIjoiIn0seyJmYW1pbHkiOiJNZWdyYXVkIiwiZ2l2ZW4iOiJGcmFuY2lzIiwicGFyc2UtbmFtZXMiOmZhbHNlLCJkcm9wcGluZy1wYXJ0aWNsZSI6IiIsIm5vbi1kcm9wcGluZy1wYXJ0aWNsZSI6IiJ9LHsiZmFtaWx5IjoiUm9ra2FzIiwiZ2l2ZW4iOiJUaGVvZG9yZSIsInBhcnNlLW5hbWVzIjpmYWxzZSwiZHJvcHBpbmctcGFydGljbGUiOiIiLCJub24tZHJvcHBpbmctcGFydGljbGUiOiIifSx7ImZhbWlseSI6Ikdpc2JlcnQiLCJnaXZlbiI6IkphdmllciBQLiIsInBhcnNlLW5hbWVzIjpmYWxzZSwiZHJvcHBpbmctcGFydGljbGUiOiIiLCJub24tZHJvcHBpbmctcGFydGljbGUiOiIifSx7ImZhbWlseSI6Ikxpb3UiLCJnaXZlbiI6Ikp5aCBNaW5nIiwicGFyc2UtbmFtZXMiOmZhbHNlLCJkcm9wcGluZy1wYXJ0aWNsZSI6IiIsIm5vbi1kcm9wcGluZy1wYXJ0aWNsZSI6IiJ9LHsiZmFtaWx5IjoiU2NodWx6IiwiZ2l2ZW4iOiJDaHJpc3RpYW4iLCJwYXJzZS1uYW1lcyI6ZmFsc2UsImRyb3BwaW5nLXBhcnRpY2xlIjoiIiwibm9uLWRyb3BwaW5nLXBhcnRpY2xlIjoiIn0seyJmYW1pbHkiOiJHYXNiYXJyaW5pIiwiZ2l2ZW4iOiJBbnRvbmlvIiwicGFyc2UtbmFtZXMiOmZhbHNlLCJkcm9wcGluZy1wYXJ0aWNsZSI6IiIsIm5vbi1kcm9wcGluZy1wYXJ0aWNsZSI6IiJ9LHsiZmFtaWx5IjoiSHVudCIsImdpdmVuIjoiUmljaGFyZCBILiIsInBhcnNlLW5hbWVzIjpmYWxzZSwiZHJvcHBpbmctcGFydGljbGUiOiIiLCJub24tZHJvcHBpbmctcGFydGljbGUiOiIifSx7ImZhbWlseSI6IkxlamEiLCJnaXZlbiI6Ik1hcmNpcyIsInBhcnNlLW5hbWVzIjpmYWxzZSwiZHJvcHBpbmctcGFydGljbGUiOiIiLCJub24tZHJvcHBpbmctcGFydGljbGUiOiIifSx7ImZhbWlseSI6Ik/igJlNb3JhaW4iLCJnaXZlbiI6IkNvbG0iLCJwYXJzZS1uYW1lcyI6ZmFsc2UsImRyb3BwaW5nLXBhcnRpY2xlIjoiIiwibm9uLWRyb3BwaW5nLXBhcnRpY2xlIjoiIn0seyJmYW1pbHkiOiJSdWdnZSIsImdpdmVuIjoiTWFzc2ltbyIsInBhcnNlLW5hbWVzIjpmYWxzZSwiZHJvcHBpbmctcGFydGljbGUiOiIiLCJub24tZHJvcHBpbmctcGFydGljbGUiOiIifSx7ImZhbWlseSI6IlN1ZXJiYXVtIiwiZ2l2ZW4iOiJTZWJhc3RpYW4iLCJwYXJzZS1uYW1lcyI6ZmFsc2UsImRyb3BwaW5nLXBhcnRpY2xlIjoiIiwibm9uLWRyb3BwaW5nLXBhcnRpY2xlIjoiIn0seyJmYW1pbHkiOiJUaWxnIiwiZ2l2ZW4iOiJIZXJiZXJ0IiwicGFyc2UtbmFtZXMiOmZhbHNlLCJkcm9wcGluZy1wYXJ0aWNsZSI6IiIsIm5vbi1kcm9wcGluZy1wYXJ0aWNsZSI6IiJ9LHsiZmFtaWx5IjoiU3VnYW5vIiwiZ2l2ZW4iOiJLZW50YXJvIiwicGFyc2UtbmFtZXMiOmZhbHNlLCJkcm9wcGluZy1wYXJ0aWNsZSI6IiIsIm5vbi1kcm9wcGluZy1wYXJ0aWNsZSI6IiJ9LHsiZmFtaWx5IjoiRWwtT21hciIsImdpdmVuIjoiRW1hZCBNLiIsInBhcnNlLW5hbWVzIjpmYWxzZSwiZHJvcHBpbmctcGFydGljbGUiOiIiLCJub24tZHJvcHBpbmctcGFydGljbGUiOiIifSx7ImZhbWlseSI6IkFncmV1cyIsImdpdmVuIjoiTC4iLCJwYXJzZS1uYW1lcyI6ZmFsc2UsImRyb3BwaW5nLXBhcnRpY2xlIjoiIiwibm9uLWRyb3BwaW5nLXBhcnRpY2xlIjoiIn0seyJmYW1pbHkiOiJCYXp6b2xpIiwiZ2l2ZW4iOiJGLiIsInBhcnNlLW5hbWVzIjpmYWxzZSwiZHJvcHBpbmctcGFydGljbGUiOiIiLCJub24tZHJvcHBpbmctcGFydGljbGUiOiIifSx7ImZhbWlseSI6IkJvcmRpbiIsImdpdmVuIjoiRC4iLCJwYXJzZS1uYW1lcyI6ZmFsc2UsImRyb3BwaW5nLXBhcnRpY2xlIjoiIiwibm9uLWRyb3BwaW5nLXBhcnRpY2xlIjoiIn0seyJmYW1pbHkiOiJMb2dpbm92IiwiZ2l2ZW4iOiJBLiBTLiIsInBhcnNlLW5hbWVzIjpmYWxzZSwiZHJvcHBpbmctcGFydGljbGUiOiIiLCJub24tZHJvcHBpbmctcGFydGljbGUiOiIifSx7ImZhbWlseSI6Ik1hcmlvIiwiZ2l2ZW4iOiJGLiIsInBhcnNlLW5hbWVzIjpmYWxzZSwiZHJvcHBpbmctcGFydGljbGUiOiJEaSIsIm5vbi1kcm9wcGluZy1wYXJ0aWNsZSI6IiJ9LHsiZmFtaWx5IjoiRGluaXMtUmliZWlybyIsImdpdmVuIjoiTS4iLCJwYXJzZS1uYW1lcyI6ZmFsc2UsImRyb3BwaW5nLXBhcnRpY2xlIjoiIiwibm9uLWRyb3BwaW5nLXBhcnRpY2xlIjoiIn0seyJmYW1pbHkiOiJFbmdzdHJhbmQiLCJnaXZlbiI6IkwuIiwicGFyc2UtbmFtZXMiOmZhbHNlLCJkcm9wcGluZy1wYXJ0aWNsZSI6IiIsIm5vbi1kcm9wcGluZy1wYXJ0aWNsZSI6IiJ9LHsiZmFtaWx5IjoiRmFsbG9uZSIsImdpdmVuIjoiQy4iLCJwYXJzZS1uYW1lcyI6ZmFsc2UsImRyb3BwaW5nLXBhcnRpY2xlIjoiIiwibm9uLWRyb3BwaW5nLXBhcnRpY2xlIjoiIn0seyJmYW1pbHkiOiJHb2giLCJnaXZlbiI6IksuIEwuIiwicGFyc2UtbmFtZXMiOmZhbHNlLCJkcm9wcGluZy1wYXJ0aWNsZSI6IiIsIm5vbi1kcm9wcGluZy1wYXJ0aWNsZSI6IiJ9LHsiZmFtaWx5IjoiR3JhaGFtIiwiZ2l2ZW4iOiJELiIsInBhcnNlLW5hbWVzIjpmYWxzZSwiZHJvcHBpbmctcGFydGljbGUiOiIiLCJub24tZHJvcHBpbmctcGFydGljbGUiOiIifSx7ImZhbWlseSI6Ikt1aXBlcnMiLCJnaXZlbiI6IkUuIEouIiwicGFyc2UtbmFtZXMiOmZhbHNlLCJkcm9wcGluZy1wYXJ0aWNsZSI6IiIsIm5vbi1kcm9wcGluZy1wYXJ0aWNsZSI6IiJ9LHsiZmFtaWx5IjoiS3VwY2luc2thcyIsImdpdmVuIjoiSi4iLCJwYXJzZS1uYW1lcyI6ZmFsc2UsImRyb3BwaW5nLXBhcnRpY2xlIjoiIiwibm9uLWRyb3BwaW5nLXBhcnRpY2xlIjoiIn0seyJmYW1pbHkiOiJMYW5hcyIsImdpdmVuIjoiQS4iLCJwYXJzZS1uYW1lcyI6ZmFsc2UsImRyb3BwaW5nLXBhcnRpY2xlIjoiIiwibm9uLWRyb3BwaW5nLXBhcnRpY2xlIjoiIn0seyJmYW1pbHkiOiJNYWNoYWRvIiwiZ2l2ZW4iOiJKLiBDLiIsInBhcnNlLW5hbWVzIjpmYWxzZSwiZHJvcHBpbmctcGFydGljbGUiOiIiLCJub24tZHJvcHBpbmctcGFydGljbGUiOiIifSx7ImZhbWlseSI6Ik1haGFjaGFpIiwiZ2l2ZW4iOiJWLiIsInBhcnNlLW5hbWVzIjpmYWxzZSwiZHJvcHBpbmctcGFydGljbGUiOiIiLCJub24tZHJvcHBpbmctcGFydGljbGUiOiIifSx7ImZhbWlseSI6Ik1hcnNoYWxsIiwiZ2l2ZW4iOiJCLiBKLiIsInBhcnNlLW5hbWVzIjpmYWxzZSwiZHJvcHBpbmctcGFydGljbGUiOiIiLCJub24tZHJvcHBpbmctcGFydGljbGUiOiIifSx7ImZhbWlseSI6Ik1pbG9zYXZsamV2aWMiLCJnaXZlbiI6IlQuIiwicGFyc2UtbmFtZXMiOmZhbHNlLCJkcm9wcGluZy1wYXJ0aWNsZSI6IiIsIm5vbi1kcm9wcGluZy1wYXJ0aWNsZSI6IiJ9LHsiZmFtaWx5IjoiTW9zcyIsImdpdmVuIjoiUy4gRi4iLCJwYXJzZS1uYW1lcyI6ZmFsc2UsImRyb3BwaW5nLXBhcnRpY2xlIjoiIiwibm9uLWRyb3BwaW5nLXBhcnRpY2xlIjoiIn0seyJmYW1pbHkiOiJQYXJrIiwiZ2l2ZW4iOiJKLiBZLiIsInBhcnNlLW5hbWVzIjpmYWxzZSwiZHJvcHBpbmctcGFydGljbGUiOiIiLCJub24tZHJvcHBpbmctcGFydGljbGUiOiIifSx7ImZhbWlseSI6Ik5pdiIsImdpdmVuIjoiWS4iLCJwYXJzZS1uYW1lcyI6ZmFsc2UsImRyb3BwaW5nLXBhcnRpY2xlIjoiIiwibm9uLWRyb3BwaW5nLXBhcnRpY2xlIjoiIn0seyJmYW1pbHkiOiJSYWppbGljLVN0b2phbm92aWMiLCJnaXZlbiI6Ik0uIiwicGFyc2UtbmFtZXMiOmZhbHNlLCJkcm9wcGluZy1wYXJ0aWNsZSI6IiIsIm5vbi1kcm9wcGluZy1wYXJ0aWNsZSI6IiJ9LHsiZmFtaWx5IjoiUmlzdGltYWtpIiwiZ2l2ZW4iOiJBLiIsInBhcnNlLW5hbWVzIjpmYWxzZSwiZHJvcHBpbmctcGFydGljbGUiOiIiLCJub24tZHJvcHBpbmctcGFydGljbGUiOiIifSx7ImZhbWlseSI6IlNtaXRoIiwiZ2l2ZW4iOiJTLiIsInBhcnNlLW5hbWVzIjpmYWxzZSwiZHJvcHBpbmctcGFydGljbGUiOiIiLCJub24tZHJvcHBpbmctcGFydGljbGUiOiIifSx7ImZhbWlseSI6IlRlcGVzIiwiZ2l2ZW4iOiJCLiIsInBhcnNlLW5hbWVzIjpmYWxzZSwiZHJvcHBpbmctcGFydGljbGUiOiIiLCJub24tZHJvcHBpbmctcGFydGljbGUiOiIifSx7ImZhbWlseSI6Ild1IiwiZ2l2ZW4iOiJDLiBZLiIsInBhcnNlLW5hbWVzIjpmYWxzZSwiZHJvcHBpbmctcGFydGljbGUiOiIiLCJub24tZHJvcHBpbmctcGFydGljbGUiOiIifSx7ImZhbWlseSI6Ilpob3UiLCJnaXZlbiI6IkwuIiwicGFyc2UtbmFtZXMiOmZhbHNlLCJkcm9wcGluZy1wYXJ0aWNsZSI6IiIsIm5vbi1kcm9wcGluZy1wYXJ0aWNsZSI6IiJ9XSwiY29udGFpbmVyLXRpdGxlIjoiR3V0IiwiY29udGFpbmVyLXRpdGxlLXNob3J0IjoiR3V0IiwiRE9JIjoiMTAuMTEzNi9ndXRqbmwtMjAyMi0zMjc3NDUiLCJJU1NOIjoiMTQ2ODMyODgiLCJQTUlEIjoiMzU5NDQ5MjUiLCJpc3N1ZWQiOnsiZGF0ZS1wYXJ0cyI6W1syMDIyLDksMV1dfSwicGFnZSI6IjE3MjQtMTc2MiIsImFic3RyYWN0IjoiSGVsaWNvYmFjdGVyIHB5bG9yaSBJbmZlY3Rpb24gaXMgZm9ybWFsbHkgcmVjb2duaXNlZCBhcyBhbiBpbmZlY3Rpb3VzIGRpc2Vhc2UsIGFuIGVudGl0eSB0aGF0IGlzIG5vdyBpbmNsdWRlZCBpbiB0aGUgSW50ZXJuYXRpb25hbCBDbGFzc2lmaWNhdGlvbiBvZiBEaXNlYXNlcyAxMXRoIFJldmlzaW9uLiBUaGlzIGluIHByaW5jaXBsZSBsZWFkcyB0byB0aGUgcmVjb21tZW5kYXRpb24gdGhhdCBhbGwgaW5mZWN0ZWQgcGF0aWVudHMgc2hvdWxkIHJlY2VpdmUgdHJlYXRtZW50LiBJbiB0aGUgY29udGV4dCBvZiB0aGUgd2lkZSBjbGluaWNhbCBzcGVjdHJ1bSBhc3NvY2lhdGVkIHdpdGggSGVsaWNvYmFjdGVyIHB5bG9yaSBnYXN0cml0aXMsIHNwZWNpZmljIGlzc3VlcyBwZXJzaXN0IGFuZCByZXF1aXJlIHJlZ3VsYXIgdXBkYXRlcyBmb3Igb3B0aW1pc2VkIG1hbmFnZW1lbnQuIFRoZSBpZGVudGlmaWNhdGlvbiBvZiBkaXN0aW5jdCBjbGluaWNhbCBzY2VuYXJpb3MsIHByb3BlciB0ZXN0aW5nIGFuZCBhZG9wdGlvbiBvZiBlZmZlY3RpdmUgc3RyYXRlZ2llcyBmb3IgcHJldmVudGlvbiBvZiBnYXN0cmljIGNhbmNlciBhbmQgb3RoZXIgY29tcGxpY2F0aW9ucyBhcmUgYWRkcmVzc2VkLiBILiBweWxvcmkgdHJlYXRtZW50IGlzIGNoYWxsZW5nZWQgYnkgdGhlIGNvbnRpbnVvdXNseSByaXNpbmcgYW50aWJpb3RpYyByZXNpc3RhbmNlIGFuZCBkZW1hbmRzIGZvciBzdXNjZXB0aWJpbGl0eSB0ZXN0aW5nIHdpdGggY29uc2lkZXJhdGlvbiBvZiBub3ZlbCBtb2xlY3VsYXIgdGVjaG5vbG9naWVzIGFuZCBjYXJlZnVsIHNlbGVjdGlvbiBvZiBmaXJzdCBsaW5lIGFuZCByZXNjdWUgdGhlcmFwaWVzLiBUaGUgcm9sZSBvZiBILiBweWxvcmkgYW5kIGFudGliaW90aWMgdGhlcmFwaWVzIGFuZCB0aGVpciBpbXBhY3Qgb24gdGhlIGd1dCBtaWNyb2Jpb3RhIGFyZSBhbHNvIGNvbnNpZGVyZWQuIFByb2dyZXNzIG1hZGUgaW4gdGhlIG1hbmFnZW1lbnQgb2YgSC4gcHlsb3JpIGluZmVjdGlvbiBpcyBjb3ZlcmVkIGluIHRoZSBwcmVzZW50IHNpeHRoIGVkaXRpb24gb2YgdGhlIE1hYXN0cmljaHQvIEZsb3JlbmNlIDIwMjEgQ29uc2Vuc3VzIFJlcG9ydCwga2V5IGFzcGVjdHMgcmVsYXRlZCB0byB0aGUgY2xpbmljYWwgcm9sZSBvZiBILiBweWxvcmkgaW5mZWN0aW9uIHdlcmUgcmUtZXZhbHVhdGVkIGFuZCB1cGRhdGVkLiBGb3J0eS1vbmUgZXhwZXJ0cyBmcm9tIDI5IGNvdW50cmllcyByZXByZXNlbnRpbmcgYSBnbG9iYWwgY29tbXVuaXR5LCBleGFtaW5lZCB0aGUgbmV3IGRhdGEgcmVsYXRlZCB0byBILiBweWxvcmkgaW5mZWN0aW9uIGluIGZpdmUgd29ya2luZyBncm91cHM6ICgxKSBpbmRpY2F0aW9ucy9hc3NvY2lhdGlvbnMsICgyKSBkaWFnbm9zaXMsICgzKSB0cmVhdG1lbnQsICg0KSBwcmV2ZW50aW9uL2dhc3RyaWMgY2FuY2VyIGFuZCAoNSkgSC4gcHlsb3JpIGFuZCB0aGUgZ3V0IG1pY3JvYmlvdGEuIFRoZSByZXN1bHRzIG9mIHRoZSBpbmRpdmlkdWFsIHdvcmtpbmcgZ3JvdXBzIHdlcmUgcHJlc2VudGVkIGZvciBhIGZpbmFsIGNvbnNlbnN1cyB2b3RpbmcgdGhhdCBpbmNsdWRlZCBhbGwgcGFydGljaXBhbnRzLiBSZWNvbW1lbmRhdGlvbnMgYXJlIHByb3ZpZGVkIG9uIHRoZSBiYXNpcyBvZiB0aGUgYmVzdCBhdmFpbGFibGUgZXZpZGVuY2UgYW5kIHJlbGV2YW5jZSB0byB0aGUgbWFuYWdlbWVudCBvZiBILiBweWxvcmkgaW5mZWN0aW9uIGluIHZhcmlvdXMgY2xpbmljYWwgZmllbGRzLiIsInB1Ymxpc2hlciI6IkJNSiBQdWJsaXNoaW5nIEdyb3VwIiwiaXNzdWUiOiI5Iiwidm9sdW1lIjoiNzEifSwiaXNUZW1wb3JhcnkiOmZhbHNlfSx7ImlkIjoiMDI1MGMyNWYtOTI3Yy0zMWU3LThmNjEtYzk5YmQyOTY3OGQ3IiwiaXRlbURhdGEiOnsidHlwZSI6ImFydGljbGUtam91cm5hbCIsImlkIjoiMDI1MGMyNWYtOTI3Yy0zMWU3LThmNjEtYzk5YmQyOTY3OGQ3IiwidGl0bGUiOiJIZWxpY29iYWN0ZXIgcHlsb3JpIGluZmVjdGlvbiIsImF1dGhvciI6W3siZmFtaWx5IjoiTWFsZmVydGhlaW5lciIsImdpdmVuIjoiUGV0ZXIiLCJwYXJzZS1uYW1lcyI6ZmFsc2UsImRyb3BwaW5nLXBhcnRpY2xlIjoiIiwibm9uLWRyb3BwaW5nLXBhcnRpY2xlIjoiIn0seyJmYW1pbHkiOiJDYW1hcmdvIiwiZ2l2ZW4iOiJNLiBDb25zdGFuemEiLCJwYXJzZS1uYW1lcyI6ZmFsc2UsImRyb3BwaW5nLXBhcnRpY2xlIjoiIiwibm9uLWRyb3BwaW5nLXBhcnRpY2xlIjoiIn0seyJmYW1pbHkiOiJFbC1PbWFyIiwiZ2l2ZW4iOiJFbWFkIiwicGFyc2UtbmFtZXMiOmZhbHNlLCJkcm9wcGluZy1wYXJ0aWNsZSI6IiIsIm5vbi1kcm9wcGluZy1wYXJ0aWNsZSI6IiJ9LHsiZmFtaWx5IjoiTGlvdSIsImdpdmVuIjoiSnloIE1pbmciLCJwYXJzZS1uYW1lcyI6ZmFsc2UsImRyb3BwaW5nLXBhcnRpY2xlIjoiIiwibm9uLWRyb3BwaW5nLXBhcnRpY2xlIjoiIn0seyJmYW1pbHkiOiJQZWVrIiwiZ2l2ZW4iOiJSaWNoYXJkIiwicGFyc2UtbmFtZXMiOmZhbHNlLCJkcm9wcGluZy1wYXJ0aWNsZSI6IiIsIm5vbi1kcm9wcGluZy1wYXJ0aWNsZSI6IiJ9LHsiZmFtaWx5IjoiU2NodWx6IiwiZ2l2ZW4iOiJDaHJpc3RpYW4iLCJwYXJzZS1uYW1lcyI6ZmFsc2UsImRyb3BwaW5nLXBhcnRpY2xlIjoiIiwibm9uLWRyb3BwaW5nLXBhcnRpY2xlIjoiIn0seyJmYW1pbHkiOiJTbWl0aCIsImdpdmVuIjoiU3RlbGxhIEkuIiwicGFyc2UtbmFtZXMiOmZhbHNlLCJkcm9wcGluZy1wYXJ0aWNsZSI6IiIsIm5vbi1kcm9wcGluZy1wYXJ0aWNsZSI6IiJ9LHsiZmFtaWx5IjoiU3VlcmJhdW0iLCJnaXZlbiI6IlNlYmFzdGlhbiIsInBhcnNlLW5hbWVzIjpmYWxzZSwiZHJvcHBpbmctcGFydGljbGUiOiIiLCJub24tZHJvcHBpbmctcGFydGljbGUiOiIifV0sImNvbnRhaW5lci10aXRsZSI6Ik5hdHVyZSBSZXZpZXdzIERpc2Vhc2UgUHJpbWVycyIsImNvbnRhaW5lci10aXRsZS1zaG9ydCI6Ik5hdC4gUmV2LiBEaXMuIFByaW1lcnMiLCJET0kiOiIxMC4xMDM4L3M0MTU3Mi0wMjMtMDA0MzEtOCIsIklTU04iOiIyMDU2Njc2WCIsIlBNSUQiOiIzNzA4MTAwNSIsImlzc3VlZCI6eyJkYXRlLXBhcnRzIjpbWzIwMjMsMTIsMV1dfSwiYWJzdHJhY3QiOiJIZWxpY29iYWN0ZXIgcHlsb3JpIGluZmVjdGlvbiBjYXVzZXMgY2hyb25pYyBnYXN0cml0aXMsIHdoaWNoIGNhbiBwcm9ncmVzcyB0byBzZXZlcmUgZ2FzdHJvZHVvZGVuYWwgcGF0aG9sb2dpZXMsIGluY2x1ZGluZyBwZXB0aWMgdWxjZXIsIGdhc3RyaWMgY2FuY2VyIGFuZCBnYXN0cmljIG11Y29zYS1hc3NvY2lhdGVkIGx5bXBob2lkIHRpc3N1ZSBseW1waG9tYS4gSC4gcHlsb3JpIGlzIHVzdWFsbHkgdHJhbnNtaXR0ZWQgaW4gY2hpbGRob29kIGFuZCBwZXJzaXN0cyBmb3IgbGlmZSBpZiB1bnRyZWF0ZWQuIFRoZSBpbmZlY3Rpb24gYWZmZWN0cyBhcm91bmQgaGFsZiBvZiB0aGUgcG9wdWxhdGlvbiBpbiB0aGUgd29ybGQgYnV0IHByZXZhbGVuY2UgdmFyaWVzIGFjY29yZGluZyB0byBsb2NhdGlvbiBhbmQgc2FuaXRhdGlvbiBzdGFuZGFyZHMuIEguIHB5bG9yaSBoYXMgdW5pcXVlIHByb3BlcnRpZXMgdG8gY29sb25pemUgZ2FzdHJpYyBlcGl0aGVsaXVtIGluIGFuIGFjaWRpYyBlbnZpcm9ubWVudC4gVGhlIHBhdGhvcGh5c2lvbG9neSBvZiBILiBweWxvcmkgaW5mZWN0aW9uIGlzIGRlcGVuZGVudCBvbiBjb21wbGV4IGJhY3RlcmlhbCB2aXJ1bGVuY2UgbWVjaGFuaXNtcyBhbmQgdGhlaXIgaW50ZXJhY3Rpb24gd2l0aCB0aGUgaG9zdCBpbW11bmUgc3lzdGVtIGFuZCBlbnZpcm9ubWVudGFsIGZhY3RvcnMsIHJlc3VsdGluZyBpbiBkaXN0aW5jdCBnYXN0cml0aXMgcGhlbm90eXBlcyB0aGF0IGRldGVybWluZSBwb3NzaWJsZSBwcm9ncmVzc2lvbiB0byBkaWZmZXJlbnQgZ2FzdHJvZHVvZGVuYWwgcGF0aG9sb2dpZXMuIFRoZSBjYXVzYXRpdmUgcm9sZSBvZiBILiBweWxvcmkgaW5mZWN0aW9uIGluIGdhc3RyaWMgY2FuY2VyIGRldmVsb3BtZW50IHByZXNlbnRzIHRoZSBvcHBvcnR1bml0eSBmb3IgcHJldmVudGl2ZSBzY3JlZW4tYW5kLXRyZWF0IHN0cmF0ZWdpZXMuIEludmFzaXZlLCBlbmRvc2NvcHktYmFzZWQgYW5kIG5vbi1pbnZhc2l2ZSBtZXRob2RzLCBpbmNsdWRpbmcgYnJlYXRoLCBzdG9vbCBhbmQgc2Vyb2xvZ2ljYWwgdGVzdHMsIGFyZSB1c2VkIGluIHRoZSBkaWFnbm9zaXMgb2YgSC4gcHlsb3JpIGluZmVjdGlvbi4gVGhlaXIgdXNlIGRlcGVuZHMgb24gdGhlIHNwZWNpZmljIGluZGl2aWR1YWwgcGF0aWVudCBoaXN0b3J5IGFuZCBsb2NhbCBhdmFpbGFiaWxpdHkuIEguIHB5bG9yaSB0cmVhdG1lbnQgY29uc2lzdHMgb2YgYSBzdHJvbmcgYWNpZCBzdXBwcmVzc2FudCBpbiB2YXJpb3VzIGNvbWJpbmF0aW9ucyB3aXRoIGFudGliaW90aWNzIGFuZC9vciBiaXNtdXRoLiBUaGUgZHJhbWF0aWMgaW5jcmVhc2UgaW4gcmVzaXN0YW5jZSB0byBrZXkgYW50aWJpb3RpY3MgdXNlZCBpbiBILiBweWxvcmkgZXJhZGljYXRpb24gZGVtYW5kcyBhbnRpYmlvdGljIHN1c2NlcHRpYmlsaXR5IHRlc3RpbmcsIHN1cnZlaWxsYW5jZSBvZiByZXNpc3RhbmNlIGFuZCBhbnRpYmlvdGljIHN0ZXdhcmRzaGlwLiIsInB1Ymxpc2hlciI6Ik5hdHVyZSBSZXNlYXJjaCIsImlzc3VlIjoiMSIsInZvbHVtZSI6IjkifSwiaXNUZW1wb3JhcnkiOmZhbHNlfV19&quot;,&quot;citationItems&quot;:[{&quot;id&quot;:&quot;9e760165-c07a-3e94-9dd9-0695b206ca61&quot;,&quot;itemData&quot;:{&quot;type&quot;:&quot;article-journal&quot;,&quot;id&quot;:&quot;9e760165-c07a-3e94-9dd9-0695b206ca61&quot;,&quot;title&quot;:&quot;Gastritis staging in clinical practice: The OLGA staging system&quot;,&quot;author&quot;:[{&quot;family&quot;:&quot;Rugge&quot;,&quot;given&quot;:&quot;Massimo&quot;,&quot;parse-names&quot;:false,&quot;dropping-particle&quot;:&quot;&quot;,&quot;non-dropping-particle&quot;:&quot;&quot;},{&quot;family&quot;:&quot;Meggio&quot;,&quot;given&quot;:&quot;Alberto&quot;,&quot;parse-names&quot;:false,&quot;dropping-particle&quot;:&quot;&quot;,&quot;non-dropping-particle&quot;:&quot;&quot;},{&quot;family&quot;:&quot;Pennelli&quot;,&quot;given&quot;:&quot;Gianmaria&quot;,&quot;parse-names&quot;:false,&quot;dropping-particle&quot;:&quot;&quot;,&quot;non-dropping-particle&quot;:&quot;&quot;},{&quot;family&quot;:&quot;Piscioli&quot;,&quot;given&quot;:&quot;Francesco&quot;,&quot;parse-names&quot;:false,&quot;dropping-particle&quot;:&quot;&quot;,&quot;non-dropping-particle&quot;:&quot;&quot;},{&quot;family&quot;:&quot;Giacomelli&quot;,&quot;given&quot;:&quot;Luciano&quot;,&quot;parse-names&quot;:false,&quot;dropping-particle&quot;:&quot;&quot;,&quot;non-dropping-particle&quot;:&quot;&quot;},{&quot;family&quot;:&quot;Pretis&quot;,&quot;given&quot;:&quot;Giovanni&quot;,&quot;parse-names&quot;:false,&quot;dropping-particle&quot;:&quot;&quot;,&quot;non-dropping-particle&quot;:&quot;De&quot;},{&quot;family&quot;:&quot;Graham&quot;,&quot;given&quot;:&quot;David Y.&quot;,&quot;parse-names&quot;:false,&quot;dropping-particle&quot;:&quot;&quot;,&quot;non-dropping-particle&quot;:&quot;&quot;}],&quot;container-title&quot;:&quot;Gut&quot;,&quot;container-title-short&quot;:&quot;Gut&quot;,&quot;DOI&quot;:&quot;10.1136/gut.2006.106666&quot;,&quot;ISSN&quot;:&quot;00175749&quot;,&quot;PMID&quot;:&quot;17142647&quot;,&quot;issued&quot;:{&quot;date-parts&quot;:[[2007,5]]},&quot;page&quot;:&quot;631-636&quot;,&quot;abstract&quot;:&quot;Background: The available classifications of gastritis are inconsistently used, possibly because none provides immediate prognostic/therapeutic information to clinicians. As histology reporting of hepatitis in terms of stage is clinically useful and widely accepted, an international group (Operative Link on Gastritis Assessment (OLGA)) proposed an equivalent staging system for reporting gastric histology. Gastritis staging integrates the atrophy score (obtained by biopsy) and the atrophy topography (achieved through directed biopsy mapping). Aim: To test in a prospective cross-sectional study whether OLGA staging consistently stratified patients according to their cancer risk and provided clear prognostic/therapeutic information. Methods: OLGA staging for gastric cancer risk (0-IV) and gastritis grading (overall score of the inflammatory infiltrate, grade 1-4) were applied in 439 prospectively enrolled, consecutive, dyspeptic outpatients who underwent endoscopy with standardised biopsy sampling. Incidental neoplastic lesions and coexisting peptic ulcers were recorded. Results were presented as stage (including antral (A) and corpus (C) atrophy scores) and H pylori status (eg, A = 3; C = 2: stage IV; Hp+ve). Results: Benign conditions (including duodenal ulcers; p&lt;0.001) consistently clustered in stages 0-II, whereas all neoplastic (invasive and non-invasive) lesions clustered in stages III-IV (p&lt;0.001). Conclusions: Gastritis staging, combined with H pylori status, provided clinically relevant information on the overall status of the gastric mucosa with implications for prognosis, therapy and management.&quot;,&quot;issue&quot;:&quot;5&quot;,&quot;volume&quot;:&quot;56&quot;},&quot;isTemporary&quot;:false},{&quot;id&quot;:&quot;3e0fbb53-f2ca-369e-a3ad-6577a881df98&quot;,&quot;itemData&quot;:{&quot;type&quot;:&quot;article-journal&quot;,&quot;id&quot;:&quot;3e0fbb53-f2ca-369e-a3ad-6577a881df98&quot;,&quot;title&quot;:&quot;Chronic atrophic gastritis: Natural history, diagnosis and therapeutic management. A position paper by the Italian Society of Hospital Gastroenterologists and Digestive Endoscopists [AIGO], the Italian Society of Digestive Endoscopy [SIED], the Italian Society of Gastroenterology [SIGE], and the Italian Society of Internal Medicine [SIMI]&quot;,&quot;author&quot;:[{&quot;family&quot;:&quot;Lahner&quot;,&quot;given&quot;:&quot;Edith&quot;,&quot;parse-names&quot;:false,&quot;dropping-particle&quot;:&quot;&quot;,&quot;non-dropping-particle&quot;:&quot;&quot;},{&quot;family&quot;:&quot;Zagari&quot;,&quot;given&quot;:&quot;Rocco Maurizio&quot;,&quot;parse-names&quot;:false,&quot;dropping-particle&quot;:&quot;&quot;,&quot;non-dropping-particle&quot;:&quot;&quot;},{&quot;family&quot;:&quot;Zullo&quot;,&quot;given&quot;:&quot;Angelo&quot;,&quot;parse-names&quot;:false,&quot;dropping-particle&quot;:&quot;&quot;,&quot;non-dropping-particle&quot;:&quot;&quot;},{&quot;family&quot;:&quot;Sabatino&quot;,&quot;given&quot;:&quot;Antonio&quot;,&quot;parse-names&quot;:false,&quot;dropping-particle&quot;:&quot;&quot;,&quot;non-dropping-particle&quot;:&quot;Di&quot;},{&quot;family&quot;:&quot;Meggio&quot;,&quot;given&quot;:&quot;Alberto&quot;,&quot;parse-names&quot;:false,&quot;dropping-particle&quot;:&quot;&quot;,&quot;non-dropping-particle&quot;:&quot;&quot;},{&quot;family&quot;:&quot;Cesaro&quot;,&quot;given&quot;:&quot;Paola&quot;,&quot;parse-names&quot;:false,&quot;dropping-particle&quot;:&quot;&quot;,&quot;non-dropping-particle&quot;:&quot;&quot;},{&quot;family&quot;:&quot;Lenti&quot;,&quot;given&quot;:&quot;Marco Vincenzo&quot;,&quot;parse-names&quot;:false,&quot;dropping-particle&quot;:&quot;&quot;,&quot;non-dropping-particle&quot;:&quot;&quot;},{&quot;family&quot;:&quot;Annibale&quot;,&quot;given&quot;:&quot;Bruno&quot;,&quot;parse-names&quot;:false,&quot;dropping-particle&quot;:&quot;&quot;,&quot;non-dropping-particle&quot;:&quot;&quot;},{&quot;family&quot;:&quot;Corazza&quot;,&quot;given&quot;:&quot;Gino Roberto&quot;,&quot;parse-names&quot;:false,&quot;dropping-particle&quot;:&quot;&quot;,&quot;non-dropping-particle&quot;:&quot;&quot;}],&quot;container-title&quot;:&quot;Digestive and Liver Disease&quot;,&quot;DOI&quot;:&quot;10.1016/j.dld.2019.09.016&quot;,&quot;ISSN&quot;:&quot;18783562&quot;,&quot;PMID&quot;:&quot;31635944&quot;,&quot;issued&quot;:{&quot;date-parts&quot;:[[2019,12,1]]},&quot;page&quot;:&quot;1621-1632&quot;,&quot;abstract&quot;:&quot;Chronic atrophic gastritis (CAG) is an underdiagnosed condition characterised by translational features going beyond the strict field of gastroenterology as it may manifest itself by a variable spectrum of gastric and extra-gastric symptoms and signs. It is relatively common among older adults in different parts of the world, but large variations exist. Helicobacter pylori-related CAG [multifocal] and autoimmune CAG (corpus-restricted) are apparently two different diseases, but they display overlapping features. Patients with cobalamin and/or iron deficiency anaemia or autoimmune disorders, including autoimmune thyroiditis and type 1 diabetes mellitus, should be offered screening for CAG. Pepsinogens, gastrin-17, and anti-H. pylori antibodies serum assays seem to be reliable non-invasive screening tools for the presence of CAG, helpful to identify individuals to refer to gastroscopy with five standard gastric biopsies in order to obtain histological confirmation of diagnosis. Patients with CAG are at increased risk of developing gastric cancer, and they should be estimated with histological staging systems (OLGA or OLGIM). H. pylori eradication may be beneficial by modifying the natural history of atrophy, but not that of intestinal metaplasia. Patients with advanced stages of CAG (Stage III/IV OLGA or OLGIM) should undergo endoscopic surveillance every three years, those with autoimmune CAG every three-five years. In patients with CAG, a screening for autoimmune thyroid disease and micronutrient deficiencies, including iron and vitamin B12, should be performed. The optimal treatment for dyspeptic symptoms in patients with CAG remains to be defined. Proton pump inhibitors are not indicated in hypochlorhydric CAG patients.&quot;,&quot;publisher&quot;:&quot;Elsevier B.V.&quot;,&quot;issue&quot;:&quot;12&quot;,&quot;volume&quot;:&quot;51&quot;,&quot;container-title-short&quot;:&quot;&quot;},&quot;isTemporary&quot;:false},{&quot;id&quot;:&quot;d18b9dbf-dd76-3b5d-98a9-6d089fc57526&quot;,&quot;itemData&quot;:{&quot;type&quot;:&quot;article-journal&quot;,&quot;id&quot;:&quot;d18b9dbf-dd76-3b5d-98a9-6d089fc57526&quot;,&quot;title&quot;:&quot;Management of Helicobacter pylori infection: the Maastricht VI/Florence consensus report&quot;,&quot;author&quot;:[{&quot;family&quot;:&quot;Malfertheiner&quot;,&quot;given&quot;:&quot;Peter&quot;,&quot;parse-names&quot;:false,&quot;dropping-particle&quot;:&quot;&quot;,&quot;non-dropping-particle&quot;:&quot;&quot;},{&quot;family&quot;:&quot;Megraud&quot;,&quot;given&quot;:&quot;Francis&quot;,&quot;parse-names&quot;:false,&quot;dropping-particle&quot;:&quot;&quot;,&quot;non-dropping-particle&quot;:&quot;&quot;},{&quot;family&quot;:&quot;Rokkas&quot;,&quot;given&quot;:&quot;Theodore&quot;,&quot;parse-names&quot;:false,&quot;dropping-particle&quot;:&quot;&quot;,&quot;non-dropping-particle&quot;:&quot;&quot;},{&quot;family&quot;:&quot;Gisbert&quot;,&quot;given&quot;:&quot;Javier P.&quot;,&quot;parse-names&quot;:false,&quot;dropping-particle&quot;:&quot;&quot;,&quot;non-dropping-particle&quot;:&quot;&quot;},{&quot;family&quot;:&quot;Liou&quot;,&quot;given&quot;:&quot;Jyh Ming&quot;,&quot;parse-names&quot;:false,&quot;dropping-particle&quot;:&quot;&quot;,&quot;non-dropping-particle&quot;:&quot;&quot;},{&quot;family&quot;:&quot;Schulz&quot;,&quot;given&quot;:&quot;Christian&quot;,&quot;parse-names&quot;:false,&quot;dropping-particle&quot;:&quot;&quot;,&quot;non-dropping-particle&quot;:&quot;&quot;},{&quot;family&quot;:&quot;Gasbarrini&quot;,&quot;given&quot;:&quot;Antonio&quot;,&quot;parse-names&quot;:false,&quot;dropping-particle&quot;:&quot;&quot;,&quot;non-dropping-particle&quot;:&quot;&quot;},{&quot;family&quot;:&quot;Hunt&quot;,&quot;given&quot;:&quot;Richard H.&quot;,&quot;parse-names&quot;:false,&quot;dropping-particle&quot;:&quot;&quot;,&quot;non-dropping-particle&quot;:&quot;&quot;},{&quot;family&quot;:&quot;Leja&quot;,&quot;given&quot;:&quot;Marcis&quot;,&quot;parse-names&quot;:false,&quot;dropping-particle&quot;:&quot;&quot;,&quot;non-dropping-particle&quot;:&quot;&quot;},{&quot;family&quot;:&quot;O’Morain&quot;,&quot;given&quot;:&quot;Colm&quot;,&quot;parse-names&quot;:false,&quot;dropping-particle&quot;:&quot;&quot;,&quot;non-dropping-particle&quot;:&quot;&quot;},{&quot;family&quot;:&quot;Rugge&quot;,&quot;given&quot;:&quot;Massimo&quot;,&quot;parse-names&quot;:false,&quot;dropping-particle&quot;:&quot;&quot;,&quot;non-dropping-particle&quot;:&quot;&quot;},{&quot;family&quot;:&quot;Suerbaum&quot;,&quot;given&quot;:&quot;Sebastian&quot;,&quot;parse-names&quot;:false,&quot;dropping-particle&quot;:&quot;&quot;,&quot;non-dropping-particle&quot;:&quot;&quot;},{&quot;family&quot;:&quot;Tilg&quot;,&quot;given&quot;:&quot;Herbert&quot;,&quot;parse-names&quot;:false,&quot;dropping-particle&quot;:&quot;&quot;,&quot;non-dropping-particle&quot;:&quot;&quot;},{&quot;family&quot;:&quot;Sugano&quot;,&quot;given&quot;:&quot;Kentaro&quot;,&quot;parse-names&quot;:false,&quot;dropping-particle&quot;:&quot;&quot;,&quot;non-dropping-particle&quot;:&quot;&quot;},{&quot;family&quot;:&quot;El-Omar&quot;,&quot;given&quot;:&quot;Emad M.&quot;,&quot;parse-names&quot;:false,&quot;dropping-particle&quot;:&quot;&quot;,&quot;non-dropping-particle&quot;:&quot;&quot;},{&quot;family&quot;:&quot;Agreus&quot;,&quot;given&quot;:&quot;L.&quot;,&quot;parse-names&quot;:false,&quot;dropping-particle&quot;:&quot;&quot;,&quot;non-dropping-particle&quot;:&quot;&quot;},{&quot;family&quot;:&quot;Bazzoli&quot;,&quot;given&quot;:&quot;F.&quot;,&quot;parse-names&quot;:false,&quot;dropping-particle&quot;:&quot;&quot;,&quot;non-dropping-particle&quot;:&quot;&quot;},{&quot;family&quot;:&quot;Bordin&quot;,&quot;given&quot;:&quot;D.&quot;,&quot;parse-names&quot;:false,&quot;dropping-particle&quot;:&quot;&quot;,&quot;non-dropping-particle&quot;:&quot;&quot;},{&quot;family&quot;:&quot;Loginov&quot;,&quot;given&quot;:&quot;A. S.&quot;,&quot;parse-names&quot;:false,&quot;dropping-particle&quot;:&quot;&quot;,&quot;non-dropping-particle&quot;:&quot;&quot;},{&quot;family&quot;:&quot;Mario&quot;,&quot;given&quot;:&quot;F.&quot;,&quot;parse-names&quot;:false,&quot;dropping-particle&quot;:&quot;Di&quot;,&quot;non-dropping-particle&quot;:&quot;&quot;},{&quot;family&quot;:&quot;Dinis-Ribeiro&quot;,&quot;given&quot;:&quot;M.&quot;,&quot;parse-names&quot;:false,&quot;dropping-particle&quot;:&quot;&quot;,&quot;non-dropping-particle&quot;:&quot;&quot;},{&quot;family&quot;:&quot;Engstrand&quot;,&quot;given&quot;:&quot;L.&quot;,&quot;parse-names&quot;:false,&quot;dropping-particle&quot;:&quot;&quot;,&quot;non-dropping-particle&quot;:&quot;&quot;},{&quot;family&quot;:&quot;Fallone&quot;,&quot;given&quot;:&quot;C.&quot;,&quot;parse-names&quot;:false,&quot;dropping-particle&quot;:&quot;&quot;,&quot;non-dropping-particle&quot;:&quot;&quot;},{&quot;family&quot;:&quot;Goh&quot;,&quot;given&quot;:&quot;K. L.&quot;,&quot;parse-names&quot;:false,&quot;dropping-particle&quot;:&quot;&quot;,&quot;non-dropping-particle&quot;:&quot;&quot;},{&quot;family&quot;:&quot;Graham&quot;,&quot;given&quot;:&quot;D.&quot;,&quot;parse-names&quot;:false,&quot;dropping-particle&quot;:&quot;&quot;,&quot;non-dropping-particle&quot;:&quot;&quot;},{&quot;family&quot;:&quot;Kuipers&quot;,&quot;given&quot;:&quot;E. J.&quot;,&quot;parse-names&quot;:false,&quot;dropping-particle&quot;:&quot;&quot;,&quot;non-dropping-particle&quot;:&quot;&quot;},{&quot;family&quot;:&quot;Kupcinskas&quot;,&quot;given&quot;:&quot;J.&quot;,&quot;parse-names&quot;:false,&quot;dropping-particle&quot;:&quot;&quot;,&quot;non-dropping-particle&quot;:&quot;&quot;},{&quot;family&quot;:&quot;Lanas&quot;,&quot;given&quot;:&quot;A.&quot;,&quot;parse-names&quot;:false,&quot;dropping-particle&quot;:&quot;&quot;,&quot;non-dropping-particle&quot;:&quot;&quot;},{&quot;family&quot;:&quot;Machado&quot;,&quot;given&quot;:&quot;J. C.&quot;,&quot;parse-names&quot;:false,&quot;dropping-particle&quot;:&quot;&quot;,&quot;non-dropping-particle&quot;:&quot;&quot;},{&quot;family&quot;:&quot;Mahachai&quot;,&quot;given&quot;:&quot;V.&quot;,&quot;parse-names&quot;:false,&quot;dropping-particle&quot;:&quot;&quot;,&quot;non-dropping-particle&quot;:&quot;&quot;},{&quot;family&quot;:&quot;Marshall&quot;,&quot;given&quot;:&quot;B. J.&quot;,&quot;parse-names&quot;:false,&quot;dropping-particle&quot;:&quot;&quot;,&quot;non-dropping-particle&quot;:&quot;&quot;},{&quot;family&quot;:&quot;Milosavljevic&quot;,&quot;given&quot;:&quot;T.&quot;,&quot;parse-names&quot;:false,&quot;dropping-particle&quot;:&quot;&quot;,&quot;non-dropping-particle&quot;:&quot;&quot;},{&quot;family&quot;:&quot;Moss&quot;,&quot;given&quot;:&quot;S. F.&quot;,&quot;parse-names&quot;:false,&quot;dropping-particle&quot;:&quot;&quot;,&quot;non-dropping-particle&quot;:&quot;&quot;},{&quot;family&quot;:&quot;Park&quot;,&quot;given&quot;:&quot;J. Y.&quot;,&quot;parse-names&quot;:false,&quot;dropping-particle&quot;:&quot;&quot;,&quot;non-dropping-particle&quot;:&quot;&quot;},{&quot;family&quot;:&quot;Niv&quot;,&quot;given&quot;:&quot;Y.&quot;,&quot;parse-names&quot;:false,&quot;dropping-particle&quot;:&quot;&quot;,&quot;non-dropping-particle&quot;:&quot;&quot;},{&quot;family&quot;:&quot;Rajilic-Stojanovic&quot;,&quot;given&quot;:&quot;M.&quot;,&quot;parse-names&quot;:false,&quot;dropping-particle&quot;:&quot;&quot;,&quot;non-dropping-particle&quot;:&quot;&quot;},{&quot;family&quot;:&quot;Ristimaki&quot;,&quot;given&quot;:&quot;A.&quot;,&quot;parse-names&quot;:false,&quot;dropping-particle&quot;:&quot;&quot;,&quot;non-dropping-particle&quot;:&quot;&quot;},{&quot;family&quot;:&quot;Smith&quot;,&quot;given&quot;:&quot;S.&quot;,&quot;parse-names&quot;:false,&quot;dropping-particle&quot;:&quot;&quot;,&quot;non-dropping-particle&quot;:&quot;&quot;},{&quot;family&quot;:&quot;Tepes&quot;,&quot;given&quot;:&quot;B.&quot;,&quot;parse-names&quot;:false,&quot;dropping-particle&quot;:&quot;&quot;,&quot;non-dropping-particle&quot;:&quot;&quot;},{&quot;family&quot;:&quot;Wu&quot;,&quot;given&quot;:&quot;C. Y.&quot;,&quot;parse-names&quot;:false,&quot;dropping-particle&quot;:&quot;&quot;,&quot;non-dropping-particle&quot;:&quot;&quot;},{&quot;family&quot;:&quot;Zhou&quot;,&quot;given&quot;:&quot;L.&quot;,&quot;parse-names&quot;:false,&quot;dropping-particle&quot;:&quot;&quot;,&quot;non-dropping-particle&quot;:&quot;&quot;}],&quot;container-title&quot;:&quot;Gut&quot;,&quot;container-title-short&quot;:&quot;Gut&quot;,&quot;DOI&quot;:&quot;10.1136/gutjnl-2022-327745&quot;,&quot;ISSN&quot;:&quot;14683288&quot;,&quot;PMID&quot;:&quot;35944925&quot;,&quot;issued&quot;:{&quot;date-parts&quot;:[[2022,9,1]]},&quot;page&quot;:&quot;1724-1762&quot;,&quot;abstract&quot;:&quot;Helicobacter pylori Infection is formally recognised as an infectious disease, an entity that is now included in the International Classification of Diseases 11th Revision. This in principle leads to the recommendation that all infected patients should receive treatment. In the context of the wide clinical spectrum associated with Helicobacter pylori gastritis, specific issues persist and require regular updates for optimised management. The identification of distinct clinical scenarios, proper testing and adoption of effective strategies for prevention of gastric cancer and other complications are addressed. H. pylori treatment is challenged by the continuously rising antibiotic resistance and demands for susceptibility testing with consideration of novel molecular technologies and careful selection of first line and rescue therapies. The role of H. pylori and antibiotic therapies and their impact on the gut microbiota are also considered. Progress made in the management of H. pylori infection is covered in the present sixth edition of the Maastricht/ Florence 2021 Consensus Report, key aspects related to the clinical role of H. pylori infection were re-evaluated and updated. Forty-one experts from 29 countries representing a global community, examined the new data related to H. pylori infection in five working groups: (1) indications/associations, (2) diagnosis, (3) treatment, (4) prevention/gastric cancer and (5) H. pylori and the gut microbiota. The results of the individual working groups were presented for a final consensus voting that included all participants. Recommendations are provided on the basis of the best available evidence and relevance to the management of H. pylori infection in various clinical fields.&quot;,&quot;publisher&quot;:&quot;BMJ Publishing Group&quot;,&quot;issue&quot;:&quot;9&quot;,&quot;volume&quot;:&quot;71&quot;},&quot;isTemporary&quot;:false},{&quot;id&quot;:&quot;0250c25f-927c-31e7-8f61-c99bd29678d7&quot;,&quot;itemData&quot;:{&quot;type&quot;:&quot;article-journal&quot;,&quot;id&quot;:&quot;0250c25f-927c-31e7-8f61-c99bd29678d7&quot;,&quot;title&quot;:&quot;Helicobacter pylori infection&quot;,&quot;author&quot;:[{&quot;family&quot;:&quot;Malfertheiner&quot;,&quot;given&quot;:&quot;Peter&quot;,&quot;parse-names&quot;:false,&quot;dropping-particle&quot;:&quot;&quot;,&quot;non-dropping-particle&quot;:&quot;&quot;},{&quot;family&quot;:&quot;Camargo&quot;,&quot;given&quot;:&quot;M. Constanza&quot;,&quot;parse-names&quot;:false,&quot;dropping-particle&quot;:&quot;&quot;,&quot;non-dropping-particle&quot;:&quot;&quot;},{&quot;family&quot;:&quot;El-Omar&quot;,&quot;given&quot;:&quot;Emad&quot;,&quot;parse-names&quot;:false,&quot;dropping-particle&quot;:&quot;&quot;,&quot;non-dropping-particle&quot;:&quot;&quot;},{&quot;family&quot;:&quot;Liou&quot;,&quot;given&quot;:&quot;Jyh Ming&quot;,&quot;parse-names&quot;:false,&quot;dropping-particle&quot;:&quot;&quot;,&quot;non-dropping-particle&quot;:&quot;&quot;},{&quot;family&quot;:&quot;Peek&quot;,&quot;given&quot;:&quot;Richard&quot;,&quot;parse-names&quot;:false,&quot;dropping-particle&quot;:&quot;&quot;,&quot;non-dropping-particle&quot;:&quot;&quot;},{&quot;family&quot;:&quot;Schulz&quot;,&quot;given&quot;:&quot;Christian&quot;,&quot;parse-names&quot;:false,&quot;dropping-particle&quot;:&quot;&quot;,&quot;non-dropping-particle&quot;:&quot;&quot;},{&quot;family&quot;:&quot;Smith&quot;,&quot;given&quot;:&quot;Stella I.&quot;,&quot;parse-names&quot;:false,&quot;dropping-particle&quot;:&quot;&quot;,&quot;non-dropping-particle&quot;:&quot;&quot;},{&quot;family&quot;:&quot;Suerbaum&quot;,&quot;given&quot;:&quot;Sebastian&quot;,&quot;parse-names&quot;:false,&quot;dropping-particle&quot;:&quot;&quot;,&quot;non-dropping-particle&quot;:&quot;&quot;}],&quot;container-title&quot;:&quot;Nature Reviews Disease Primers&quot;,&quot;container-title-short&quot;:&quot;Nat. Rev. Dis. Primers&quot;,&quot;DOI&quot;:&quot;10.1038/s41572-023-00431-8&quot;,&quot;ISSN&quot;:&quot;2056676X&quot;,&quot;PMID&quot;:&quot;37081005&quot;,&quot;issued&quot;:{&quot;date-parts&quot;:[[2023,12,1]]},&quot;abstract&quot;:&quot;Helicobacter pylori infection causes chronic gastritis, which can progress to severe gastroduodenal pathologies, including peptic ulcer, gastric cancer and gastric mucosa-associated lymphoid tissue lymphoma. H. pylori is usually transmitted in childhood and persists for life if untreated. The infection affects around half of the population in the world but prevalence varies according to location and sanitation standards. H. pylori has unique properties to colonize gastric epithelium in an acidic environment. The pathophysiology of H. pylori infection is dependent on complex bacterial virulence mechanisms and their interaction with the host immune system and environmental factors, resulting in distinct gastritis phenotypes that determine possible progression to different gastroduodenal pathologies. The causative role of H. pylori infection in gastric cancer development presents the opportunity for preventive screen-and-treat strategies. Invasive, endoscopy-based and non-invasive methods, including breath, stool and serological tests, are used in the diagnosis of H. pylori infection. Their use depends on the specific individual patient history and local availability. H. pylori treatment consists of a strong acid suppressant in various combinations with antibiotics and/or bismuth. The dramatic increase in resistance to key antibiotics used in H. pylori eradication demands antibiotic susceptibility testing, surveillance of resistance and antibiotic stewardship.&quot;,&quot;publisher&quot;:&quot;Nature Research&quot;,&quot;issue&quot;:&quot;1&quot;,&quot;volume&quot;:&quot;9&quot;},&quot;isTemporary&quot;:false}]},{&quot;citationID&quot;:&quot;MENDELEY_CITATION_e99d88e2-8e0d-4486-b350-ae1d9cb09375&quot;,&quot;properties&quot;:{&quot;noteIndex&quot;:0},&quot;isEdited&quot;:false,&quot;manualOverride&quot;:{&quot;isManuallyOverridden&quot;:false,&quot;citeprocText&quot;:&quot;[8,9]&quot;,&quot;manualOverrideText&quot;:&quot;&quot;},&quot;citationTag&quot;:&quot;MENDELEY_CITATION_v3_eyJjaXRhdGlvbklEIjoiTUVOREVMRVlfQ0lUQVRJT05fZTk5ZDg4ZTItOGUwZC00NDg2LWIzNTAtYWUxZDljYjA5Mzc1IiwicHJvcGVydGllcyI6eyJub3RlSW5kZXgiOjB9LCJpc0VkaXRlZCI6ZmFsc2UsIm1hbnVhbE92ZXJyaWRlIjp7ImlzTWFudWFsbHlPdmVycmlkZGVuIjpmYWxzZSwiY2l0ZXByb2NUZXh0IjoiWzgsOV0iLCJtYW51YWxPdmVycmlkZVRleHQiOiIifSwiY2l0YXRpb25JdGVtcyI6W3siaWQiOiI5MWFlYTcxZi05YTI3LTM4NTItYWJkNC1lZmVkZDlkYTMwZWIiLCJpdGVtRGF0YSI6eyJ0eXBlIjoiYXJ0aWNsZS1qb3VybmFsIiwiaWQiOiI5MWFlYTcxZi05YTI3LTM4NTItYWJkNC1lZmVkZDlkYTMwZWIiLCJ0aXRsZSI6IlVwZGF0ZWQgam9pbnQgRVNQR0hBTi9OQVNQR0hBTiBndWlkZWxpbmVzIGZvciBtYW5hZ2VtZW50IG9mIEhlbGljb2JhY3RlciBweWxvcmkgaW5mZWN0aW9uIGluIGNoaWxkcmVuIGFuZCBhZG9sZXNjZW50cyAoMjAyMykiLCJhdXRob3IiOlt7ImZhbWlseSI6IkhvbWFuIiwiZ2l2ZW4iOiJNYXRqYcW+IiwicGFyc2UtbmFtZXMiOmZhbHNlLCJkcm9wcGluZy1wYXJ0aWNsZSI6IiIsIm5vbi1kcm9wcGluZy1wYXJ0aWNsZSI6IiJ9LHsiZmFtaWx5IjoiSm9uZXMiLCJnaXZlbiI6Ik5pY29sYSBMLiIsInBhcnNlLW5hbWVzIjpmYWxzZSwiZHJvcHBpbmctcGFydGljbGUiOiIiLCJub24tZHJvcHBpbmctcGFydGljbGUiOiIifSx7ImZhbWlseSI6IkJvbnRlbXMiLCJnaXZlbiI6IlBhdHJpY2siLCJwYXJzZS1uYW1lcyI6ZmFsc2UsImRyb3BwaW5nLXBhcnRpY2xlIjoiIiwibm9uLWRyb3BwaW5nLXBhcnRpY2xlIjoiIn0seyJmYW1pbHkiOiJDYXJyb2xsIiwiZ2l2ZW4iOiJNYXR0aGV3IFcuIiwicGFyc2UtbmFtZXMiOmZhbHNlLCJkcm9wcGluZy1wYXJ0aWNsZSI6IiIsIm5vbi1kcm9wcGluZy1wYXJ0aWNsZSI6IiJ9LHsiZmFtaWx5IjoiQ3ppbm4iLCJnaXZlbiI6IlN0ZXZlbiBKLiIsInBhcnNlLW5hbWVzIjpmYWxzZSwiZHJvcHBpbmctcGFydGljbGUiOiIiLCJub24tZHJvcHBpbmctcGFydGljbGUiOiIifSx7ImZhbWlseSI6IkdvbGQiLCJnaXZlbiI6IkJlbmphbWluIEQuIiwicGFyc2UtbmFtZXMiOmZhbHNlLCJkcm9wcGluZy1wYXJ0aWNsZSI6IiIsIm5vbi1kcm9wcGluZy1wYXJ0aWNsZSI6IiJ9LHsiZmFtaWx5IjoiR29vZG1hbiIsImdpdmVuIjoiS2FyZW4iLCJwYXJzZS1uYW1lcyI6ZmFsc2UsImRyb3BwaW5nLXBhcnRpY2xlIjoiIiwibm9uLWRyb3BwaW5nLXBhcnRpY2xlIjoiIn0seyJmYW1pbHkiOiJIYXJyaXMiLCJnaXZlbiI6IlBhdWwgUi4iLCJwYXJzZS1uYW1lcyI6ZmFsc2UsImRyb3BwaW5nLXBhcnRpY2xlIjoiIiwibm9uLWRyb3BwaW5nLXBhcnRpY2xlIjoiIn0seyJmYW1pbHkiOiJKZXJyaXMiLCJnaXZlbiI6IlJvYmVydCIsInBhcnNlLW5hbWVzIjpmYWxzZSwiZHJvcHBpbmctcGFydGljbGUiOiIiLCJub24tZHJvcHBpbmctcGFydGljbGUiOiIifSx7ImZhbWlseSI6IkthbGFjaCIsImdpdmVuIjoiTmljb2xhcyIsInBhcnNlLW5hbWVzIjpmYWxzZSwiZHJvcHBpbmctcGFydGljbGUiOiIiLCJub24tZHJvcHBpbmctcGFydGljbGUiOiIifSx7ImZhbWlseSI6IktvcmkiLCJnaXZlbiI6Ik1pY2hhbCIsInBhcnNlLW5hbWVzIjpmYWxzZSwiZHJvcHBpbmctcGFydGljbGUiOiIiLCJub24tZHJvcHBpbmctcGFydGljbGUiOiIifSx7ImZhbWlseSI6Ik1lZ3JhdWQiLCJnaXZlbiI6IkZyYW5jaXMiLCJwYXJzZS1uYW1lcyI6ZmFsc2UsImRyb3BwaW5nLXBhcnRpY2xlIjoiIiwibm9uLWRyb3BwaW5nLXBhcnRpY2xlIjoiIn0seyJmYW1pbHkiOiJSb3dsYW5kIiwiZ2l2ZW4iOiJNYXJpb24iLCJwYXJzZS1uYW1lcyI6ZmFsc2UsImRyb3BwaW5nLXBhcnRpY2xlIjoiIiwibm9uLWRyb3BwaW5nLXBhcnRpY2xlIjoiIn0seyJmYW1pbHkiOiJUYXZhcmVzIiwiZ2l2ZW4iOiJNYXJ0YSIsInBhcnNlLW5hbWVzIjpmYWxzZSwiZHJvcHBpbmctcGFydGljbGUiOiIiLCJub24tZHJvcHBpbmctcGFydGljbGUiOiIifV0sImNvbnRhaW5lci10aXRsZSI6IkpvdXJuYWwgb2YgUGVkaWF0cmljIEdhc3Ryb2VudGVyb2xvZ3kgYW5kIE51dHJpdGlvbiIsImNvbnRhaW5lci10aXRsZS1zaG9ydCI6IkouIFBlZGlhdHIuIEdhc3Ryb2VudGVyb2wuIE51dHIuIiwiRE9JIjoiMTAuMTAwMi9qcG4zLjEyMzE0IiwiSVNTTiI6IjE1MzY0ODAxIiwiUE1JRCI6IjM5MTQ4MjEzIiwiaXNzdWVkIjp7ImRhdGUtcGFydHMiOltbMjAyNCw5LDFdXX0sInBhZ2UiOiI3NTgtNzg1IiwiYWJzdHJhY3QiOiJCYWNrZ3JvdW5kOiBFdm9sdmluZyBlcGlkZW1pb2xvZ2ljYWwgZGF0YSBhbmQgaW5jcmVhc2luZyBhbnRpYmlvdGljIHJlc2lzdGFuY2UgbWFuZGF0ZSBhbsKgdXBkYXRlIG9mIHRoZSBFdXJvcGVhbiBhbmQgTm9ydGggQW1lcmljYW4gU29jaWV0aWVzIG9mIFBlZGlhdHJpYyBHYXN0cm9lbnRlcm9sb2d5LCBIZXBhdG9sb2d5IGFuZCBOdXRyaXRpb24gZ3VpZGVsaW5lcy4gTWV0aG9kczogQ2VydGFpbnR5IG9mIGV2aWRlbmNlIGFuZCBzdHJlbmd0aCBvZiByZWNvbW1lbmRhdGlvbnMgd2VyZSByYXRlZCBieSBleHBlcnRzIGFjY29yZGluZyB0byB0aGUgR3JhZGluZyBvZiBSZWNvbW1lbmRhdGlvbiBBc3Nlc3NtZW50LCBEZXZlbG9wbWVudCwgYW5kIEV2YWx1YXRpb24gYXBwcm9hY2guIFBJQ08gKHBhdGllbnQgcG9wdWxhdGlvbiwgaW50ZXJ2ZW50aW9uLCBjb21wYXJhdG9yLCBhbmQgb3V0Y29tZSkgcXVlc3Rpb25zIHdlcmUgZGV2ZWxvcGVkIGFuZCB2b3RlZCBvbiBieSB0aGUgZ3JvdXAuIFJlY29tbWVuZGF0aW9ucyB3ZXJlIGZvcm11bGF0ZWQgdXNpbmcgdGhlIEV2aWRlbmNlIHRvIERlY2lzaW9uIGZyYW1ld29yay4gUmVzdWx0czogVGhlIGN1cnJlbnQgbGl0ZXJhdHVyZSBzdXBwb3J0cyBtYW55IG9mIHRoZSBwcmV2aW91cyByZWNvbW1lbmRhdGlvbnMgYW5kIHNldmVyYWwgbmV3IHJlY29tbWVuZGF0aW9ucy4gSW52YXNpdmUgdGVzdGluZyB3aXRoIHN0cmFpbiBhbnRpbWljcm9iaWFsIHN1c2NlcHRpYmlsaXR5IGFuYWx5c2lzIGlzIHJlY29tbWVuZGVkIGZvciB0aGUgZGlhZ25vc2lzIGFuZCBzZWxlY3Rpb24gb2YgZXJhZGljYXRpb24gdGhlcmFweSBmb3IgSC4gcHlsb3JpIGluZmVjdGlvbi4gTW9sZWN1bGFyIG1ldGhvZHMgYXJlIGFjY2VwdGFibGUgZm9yIGRldGVjdGlvbiBvZiBpbmZlY3Rpb24gYW5kIG9mIGFudGliaW90aWMgcmVzaXN0YW5jZSBpbiBnYXN0cmljIGJpb3BzeSBzcGVjaW1lbnMuIFJlbGlhYmxlLCBub25pbnZhc2l2ZSB0ZXN0cyBjYW4gYmUgdXNlZCBhcyBhIHNjcmVlbmluZyBtZXRob2QgZm9yIGNoaWxkcmVuIHdpdGggaGlzdG9yeSBvZiBnYXN0cmljIGNhbmNlciBpbiBhIGZpcnN0LWRlZ3JlZSByZWxhdGl2ZS4gV2hlbiBpbnZlc3RpZ2F0aW5nIGNhdXNlcyBvZiBjaHJvbmljIGltbXVuZSB0aHJvbWJvY3l0b3BlbmljIHB1cnB1cmEsIHRlc3RpbmcgZm9yIEguIHB5bG9yaSBpcyBubyBsb25nZXIgcmVjb21tZW5kZWQuIFdoZW4gaW52ZXN0aWdhdGluZyBvdGhlciBkaXNlYXNlcyBzdWNoIGFzIGluZmxhbW1hdG9yeSBib3dlbCBkaXNlYXNlLCBjZWxpYWMgZGlzZWFzZSwgb3IgZW9zaW5vcGhpbGljIGVzb3BoYWdpdGlzLCBzcGVjaWZpYyBkaWFnbm9zdGljIGJpb3BzaWVzIGZvciBILiBweWxvcmkgaW5mZWN0aW9uIGFyZSBub3QgaW5kaWNhdGVkLiBIb3dldmVyLCBpZiBILiBweWxvcmkgaXMgYW4gaW5jaWRlbnRhbCBmaW5kaW5nLCB0cmVhdG1lbnQgbWF5IGJlIGNvbnNpZGVyZWQgYWZ0ZXIgZGlzY3Vzc2luZyB0aGUgcmlza3MgYW5kIGJlbmVmaXRzLiBUcmVhdG1lbnQgc2hvdWxkIGJlIGJhc2VkIG9uIGFudGliaW90aWMgYW50aW1pY3JvYmlhbCBzdXNjZXB0aWJpbGl0eSB0ZXN0aW5nIGFuZCwgaWYgdW5hdmFpbGFibGUsIHJlZ2ltZW5zIGNvbnRhaW5pbmcgY2xhcml0aHJvbXljaW4gc2hvdWxkIGJlIGF2b2lkZWQuIENvbmNsdXNpb25zOiBEdWUgdG8gZGVjcmVhc2luZyBwcmV2YWxlbmNlIG9mIGluZmVjdGlvbiwgaW5jcmVhc2luZyBjaGFsbGVuZ2VzIHdpdGggYW50aWJpb3RpYyByZXNpc3RhbmNlLCBhbmQgZW1lcmdpbmcgZXZpZGVuY2UgcmVnYXJkaW5nIGNvbXBsaWNhdGlvbnMgb2YgaW5mZWN0aW9uLCBjbGluaWNpYW5zIG11c3QgYmUgYXdhcmUgb2YgdGhlc2UgcmVjb21tZW5kZWQgY2hhbmdlcyB0byBhcHByb3ByaWF0ZWx5IG1hbmFnZSBILiBweWxvcmkgaW5mZWN0aW9uIGFuZCBpdHMgY2xpbmljYWwgc2VxdWVsYWUgaW4gY2hpbGRyZW4uIiwicHVibGlzaGVyIjoiSm9obiBXaWxleSBhbmQgU29ucyBJbmMiLCJpc3N1ZSI6IjMiLCJ2b2x1bWUiOiI3OSJ9LCJpc1RlbXBvcmFyeSI6ZmFsc2V9LHsiaWQiOiIxOTY1YWFlYS00MDkxLTNmZGItYmYzNS1jY2MyNDNkYTkyYTYiLCJpdGVtRGF0YSI6eyJ0eXBlIjoiYXJ0aWNsZSIsImlkIjoiMTk2NWFhZWEtNDA5MS0zZmRiLWJmMzUtY2NjMjQzZGE5MmE2IiwidGl0bGUiOiJIZWxpY29iYWN0ZXIgcHlsb3JpIEluZmVjdGlvbnMgaW4gQ2hpbGRyZW4iLCJhdXRob3IiOlt7ImZhbWlseSI6Ik5ndXllbiIsImdpdmVuIjoiSnVsaWUiLCJwYXJzZS1uYW1lcyI6ZmFsc2UsImRyb3BwaW5nLXBhcnRpY2xlIjoiIiwibm9uLWRyb3BwaW5nLXBhcnRpY2xlIjoiIn0seyJmYW1pbHkiOiJLb3RpbGVhIiwiZ2l2ZW4iOiJLYWxsaXJyb2kiLCJwYXJzZS1uYW1lcyI6ZmFsc2UsImRyb3BwaW5nLXBhcnRpY2xlIjoiIiwibm9uLWRyb3BwaW5nLXBhcnRpY2xlIjoiIn0seyJmYW1pbHkiOiJCb250ZW1zIiwiZ2l2ZW4iOiJQYXRyaWNrIiwicGFyc2UtbmFtZXMiOmZhbHNlLCJkcm9wcGluZy1wYXJ0aWNsZSI6IiIsIm5vbi1kcm9wcGluZy1wYXJ0aWNsZSI6IiJ9LHsiZmFtaWx5IjoiTWllbmRqZSBEZXlpIiwiZ2l2ZW4iOiJWZXJvbmlxdWUgWXZldHRlIiwicGFyc2UtbmFtZXMiOmZhbHNlLCJkcm9wcGluZy1wYXJ0aWNsZSI6IiIsIm5vbi1kcm9wcGluZy1wYXJ0aWNsZSI6IiJ9XSwiY29udGFpbmVyLXRpdGxlIjoiQW50aWJpb3RpY3MiLCJET0kiOiIxMC4zMzkwL2FudGliaW90aWNzMTIwOTE0NDAiLCJJU1NOIjoiMjA3OTYzODIiLCJpc3N1ZWQiOnsiZGF0ZS1wYXJ0cyI6W1syMDIzLDksMV1dfSwiYWJzdHJhY3QiOiJJbiB0aGUgY29udGV4dCBvZiBlcGlkZW1pb2xvZ3ksIGhvc3QgcmVzcG9uc2UsIGRpc2Vhc2UgcHJlc2VudGF0aW9uLCBkaWFnbm9zaXMsIGFuZCB0cmVhdG1lbnQgbWFuYWdlbWVudCwgdGhlIG1hbmlmZXN0YXRpb24gb2YgSGVsaWNvYmFjdGVyIHB5bG9yaSAoSC4gcHlsb3JpKSBpbmZlY3Rpb24gZGl2ZXJnZXMgYmV0d2VlbiBjaGlsZHJlbiBhbmQgYWR1bHRzLiBILiBweWxvcmkgaW5mZWN0aW9uIHN0YW5kcyBvdXQgYXMgb25lIG9mIHRoZSBtb3N0IHByZXZhbGVudCBiYWN0ZXJpYWwgaW5mZWN0aW9ucyBnbG9iYWxseSwgYW5kIGl0cyBwcmV2YWxlbmNlIGluIGJvdGggY2hpbGRyZW4gYW5kIGFkdWx0cyBpcyBkZWNyZWFzaW5nIGluIG1hbnkgZGV2ZWxvcGluZyBjb3VudHJpZXMgYnV0IHNvbWUgc3RpbGwgc3RydWdnbGUgd2l0aCBhIGhpZ2ggcHJldmFsZW5jZSBvZiBwZWRpYXRyaWMgSC4gcHlsb3JpIGluZmVjdGlvbiBhbmQgaXRzIGNvbnNlcXVlbmNlcy4gVGhlIG1ham9yaXR5IG9mIGluZmVjdGVkIGNoaWxkcmVuIGFyZSBhc3ltcHRvbWF0aWMgYW5kIHBlZGlhdHJpYyBzdHVkaWVzIGRvIG5vdCBzdXBwb3J0IHRoZSBpbnZvbHZlbWVudCBvZiBILiBweWxvcmkgaW4gZnVuY3Rpb25hbCBkaXNvcmRlcnMgc3VjaCBhcyByZWN1cnJlbnQgYWJkb21pbmFsIHBhaW4uIFRoZSBwYXRob3BoeXNpb2xvZ3kgb2YgSC4gcHlsb3JpIGluZmVjdGlvbiByZWxpZXMgb24gY29tcGxleCBiYWN0ZXJpYWwgdmlydWxlbmNlIG1lY2hhbmlzbXMgYW5kIHRoZWlyIGludGVyYWN0aW9uIHdpdGggdGhlIGhvc3QgaW1tdW5lIHN5c3RlbSBhbmQgZW52aXJvbm1lbnRhbCBmYWN0b3JzLiBUaGlzIGludGVyYWN0aW9uIGdpdmVzIHJpc2UgdG8gZGl2ZXJzZSBnYXN0cml0aXMgcGhlbm90eXBlcywgd2hpY2ggc3Vic2VxdWVudGx5IGluZmx1ZW5jZSB0aGUgcG90ZW50aWFsIGRldmVsb3BtZW50IG9mIHZhcmlvdXMgZ2FzdHJvZHVvZGVuYWwgcGF0aG9sb2dpZXMuIEluIGNsaW5pY2FsIHNldHRpbmdzLCB0aGUgZGlhZ25vc2lzIG9mIHRoaXMgaW5mZWN0aW9uIGluIGNoaWxkaG9vZCByZXF1aXJlcyBhbiB1cHBlciBnYXN0cm9pbnRlc3RpbmFsIGVuZG9zY29waWMgZXhhbSB3aXRoIG11Y29zYWwgYmlvcHN5IHNhbXBsZXMgZm9yIGhpc3RvbG9neSBhbmQgY3VsdHVyZSwgb3IgUG9seW1lcmFzZSBDaGFpbiBSZWFjdGlvbiAoUENSKSBhdCB0aGUgdmVyeSBsZWFzdC4gV2hlbiB3YXJyYW50ZWQsIGVyYWRpY2F0aW9uIHRyZWF0bWVudCBzaG91bGQgYmUgZ2l2ZW4gd2hlbiBnb29kIGNvbXBsaWFuY2UgaXMgZXhwZWN0ZWQsIGFuZCB0aGVyZSBzaG91bGQgYmUgc3lzdGVtYXRpYyB1c2Ugb2YgYSB0cmVhdG1lbnQgYWRhcHRlZCB0byB0aGUgYW50aW1pY3JvYmlhbCBzdXNjZXB0aWJpbGl0eSBwcm9maWxlLiBUbyBjb21iYXQgdGhlIGJ1cmdlb25pbmcgdGhyZWF0IG9mIG11bHRpZHJ1ZyByZXNpc3RhbmNlLCB2aWdpbGFudCBzdXJ2ZWlsbGFuY2Ugb2YgcmVzaXN0YW5jZSBwYXR0ZXJucyBhbmQgc3RyYXRlZ2ljIGFudGliaW90aWMgbWFuYWdlbWVudCBhcmUgcGFyYW1vdW50LiIsInB1Ymxpc2hlciI6Ik11bHRpZGlzY2lwbGluYXJ5IERpZ2l0YWwgUHVibGlzaGluZyBJbnN0aXR1dGUgKE1EUEkpIiwiaXNzdWUiOiI5Iiwidm9sdW1lIjoiMTIiLCJjb250YWluZXItdGl0bGUtc2hvcnQiOiIifSwiaXNUZW1wb3JhcnkiOmZhbHNlfV19&quot;,&quot;citationItems&quot;:[{&quot;id&quot;:&quot;91aea71f-9a27-3852-abd4-efedd9da30eb&quot;,&quot;itemData&quot;:{&quot;type&quot;:&quot;article-journal&quot;,&quot;id&quot;:&quot;91aea71f-9a27-3852-abd4-efedd9da30eb&quot;,&quot;title&quot;:&quot;Updated joint ESPGHAN/NASPGHAN guidelines for management of Helicobacter pylori infection in children and adolescents (2023)&quot;,&quot;author&quot;:[{&quot;family&quot;:&quot;Homan&quot;,&quot;given&quot;:&quot;Matjaž&quot;,&quot;parse-names&quot;:false,&quot;dropping-particle&quot;:&quot;&quot;,&quot;non-dropping-particle&quot;:&quot;&quot;},{&quot;family&quot;:&quot;Jones&quot;,&quot;given&quot;:&quot;Nicola L.&quot;,&quot;parse-names&quot;:false,&quot;dropping-particle&quot;:&quot;&quot;,&quot;non-dropping-particle&quot;:&quot;&quot;},{&quot;family&quot;:&quot;Bontems&quot;,&quot;given&quot;:&quot;Patrick&quot;,&quot;parse-names&quot;:false,&quot;dropping-particle&quot;:&quot;&quot;,&quot;non-dropping-particle&quot;:&quot;&quot;},{&quot;family&quot;:&quot;Carroll&quot;,&quot;given&quot;:&quot;Matthew W.&quot;,&quot;parse-names&quot;:false,&quot;dropping-particle&quot;:&quot;&quot;,&quot;non-dropping-particle&quot;:&quot;&quot;},{&quot;family&quot;:&quot;Czinn&quot;,&quot;given&quot;:&quot;Steven J.&quot;,&quot;parse-names&quot;:false,&quot;dropping-particle&quot;:&quot;&quot;,&quot;non-dropping-particle&quot;:&quot;&quot;},{&quot;family&quot;:&quot;Gold&quot;,&quot;given&quot;:&quot;Benjamin D.&quot;,&quot;parse-names&quot;:false,&quot;dropping-particle&quot;:&quot;&quot;,&quot;non-dropping-particle&quot;:&quot;&quot;},{&quot;family&quot;:&quot;Goodman&quot;,&quot;given&quot;:&quot;Karen&quot;,&quot;parse-names&quot;:false,&quot;dropping-particle&quot;:&quot;&quot;,&quot;non-dropping-particle&quot;:&quot;&quot;},{&quot;family&quot;:&quot;Harris&quot;,&quot;given&quot;:&quot;Paul R.&quot;,&quot;parse-names&quot;:false,&quot;dropping-particle&quot;:&quot;&quot;,&quot;non-dropping-particle&quot;:&quot;&quot;},{&quot;family&quot;:&quot;Jerris&quot;,&quot;given&quot;:&quot;Robert&quot;,&quot;parse-names&quot;:false,&quot;dropping-particle&quot;:&quot;&quot;,&quot;non-dropping-particle&quot;:&quot;&quot;},{&quot;family&quot;:&quot;Kalach&quot;,&quot;given&quot;:&quot;Nicolas&quot;,&quot;parse-names&quot;:false,&quot;dropping-particle&quot;:&quot;&quot;,&quot;non-dropping-particle&quot;:&quot;&quot;},{&quot;family&quot;:&quot;Kori&quot;,&quot;given&quot;:&quot;Michal&quot;,&quot;parse-names&quot;:false,&quot;dropping-particle&quot;:&quot;&quot;,&quot;non-dropping-particle&quot;:&quot;&quot;},{&quot;family&quot;:&quot;Megraud&quot;,&quot;given&quot;:&quot;Francis&quot;,&quot;parse-names&quot;:false,&quot;dropping-particle&quot;:&quot;&quot;,&quot;non-dropping-particle&quot;:&quot;&quot;},{&quot;family&quot;:&quot;Rowland&quot;,&quot;given&quot;:&quot;Marion&quot;,&quot;parse-names&quot;:false,&quot;dropping-particle&quot;:&quot;&quot;,&quot;non-dropping-particle&quot;:&quot;&quot;},{&quot;family&quot;:&quot;Tavares&quot;,&quot;given&quot;:&quot;Marta&quot;,&quot;parse-names&quot;:false,&quot;dropping-particle&quot;:&quot;&quot;,&quot;non-dropping-particle&quot;:&quot;&quot;}],&quot;container-title&quot;:&quot;Journal of Pediatric Gastroenterology and Nutrition&quot;,&quot;container-title-short&quot;:&quot;J. Pediatr. Gastroenterol. Nutr.&quot;,&quot;DOI&quot;:&quot;10.1002/jpn3.12314&quot;,&quot;ISSN&quot;:&quot;15364801&quot;,&quot;PMID&quot;:&quot;39148213&quot;,&quot;issued&quot;:{&quot;date-parts&quot;:[[2024,9,1]]},&quot;page&quot;:&quot;758-785&quot;,&quot;abstract&quot;:&quot;Background: Evolving epidemiological data and increasing antibiotic resistance mandate an update of the European and North American Societies of Pediatric Gastroenterology, Hepatology and Nutrition guidelines. Methods: Certainty of evidence and strength of recommendations were rated by experts according to the Grading of Recommendation Assessment, Development, and Evaluation approach. PICO (patient population, intervention, comparator, and outcome) questions were developed and voted on by the group. Recommendations were formulated using the Evidence to Decision framework. Results: The current literature supports many of the previous recommendations and several new recommendations. Invasive testing with strain antimicrobial susceptibility analysis is recommended for the diagnosis and selection of eradication therapy for H. pylori infection. Molecular methods are acceptable for detection of infection and of antibiotic resistance in gastric biopsy specimens. Reliable, noninvasive tests can be used as a screening method for children with history of gastric cancer in a first-degree relative. When investigating causes of chronic immune thrombocytopenic purpura, testing for H. pylori is no longer recommended. When investigating other diseases such as inflammatory bowel disease, celiac disease, or eosinophilic esophagitis, specific diagnostic biopsies for H. pylori infection are not indicated. However, if H. pylori is an incidental finding, treatment may be considered after discussing the risks and benefits. Treatment should be based on antibiotic antimicrobial susceptibility testing and, if unavailable, regimens containing clarithromycin should be avoided. Conclusions: Due to decreasing prevalence of infection, increasing challenges with antibiotic resistance, and emerging evidence regarding complications of infection, clinicians must be aware of these recommended changes to appropriately manage H. pylori infection and its clinical sequelae in children.&quot;,&quot;publisher&quot;:&quot;John Wiley and Sons Inc&quot;,&quot;issue&quot;:&quot;3&quot;,&quot;volume&quot;:&quot;79&quot;},&quot;isTemporary&quot;:false},{&quot;id&quot;:&quot;1965aaea-4091-3fdb-bf35-ccc243da92a6&quot;,&quot;itemData&quot;:{&quot;type&quot;:&quot;article&quot;,&quot;id&quot;:&quot;1965aaea-4091-3fdb-bf35-ccc243da92a6&quot;,&quot;title&quot;:&quot;Helicobacter pylori Infections in Children&quot;,&quot;author&quot;:[{&quot;family&quot;:&quot;Nguyen&quot;,&quot;given&quot;:&quot;Julie&quot;,&quot;parse-names&quot;:false,&quot;dropping-particle&quot;:&quot;&quot;,&quot;non-dropping-particle&quot;:&quot;&quot;},{&quot;family&quot;:&quot;Kotilea&quot;,&quot;given&quot;:&quot;Kallirroi&quot;,&quot;parse-names&quot;:false,&quot;dropping-particle&quot;:&quot;&quot;,&quot;non-dropping-particle&quot;:&quot;&quot;},{&quot;family&quot;:&quot;Bontems&quot;,&quot;given&quot;:&quot;Patrick&quot;,&quot;parse-names&quot;:false,&quot;dropping-particle&quot;:&quot;&quot;,&quot;non-dropping-particle&quot;:&quot;&quot;},{&quot;family&quot;:&quot;Miendje Deyi&quot;,&quot;given&quot;:&quot;Veronique Yvette&quot;,&quot;parse-names&quot;:false,&quot;dropping-particle&quot;:&quot;&quot;,&quot;non-dropping-particle&quot;:&quot;&quot;}],&quot;container-title&quot;:&quot;Antibiotics&quot;,&quot;DOI&quot;:&quot;10.3390/antibiotics12091440&quot;,&quot;ISSN&quot;:&quot;20796382&quot;,&quot;issued&quot;:{&quot;date-parts&quot;:[[2023,9,1]]},&quot;abstract&quot;:&quot;In the context of epidemiology, host response, disease presentation, diagnosis, and treatment management, the manifestation of Helicobacter pylori (H. pylori) infection diverges between children and adults. H. pylori infection stands out as one of the most prevalent bacterial infections globally, and its prevalence in both children and adults is decreasing in many developing countries but some still struggle with a high prevalence of pediatric H. pylori infection and its consequences. The majority of infected children are asymptomatic and pediatric studies do not support the involvement of H. pylori in functional disorders such as recurrent abdominal pain. The pathophysiology of H. pylori infection relies on complex bacterial virulence mechanisms and their interaction with the host immune system and environmental factors. This interaction gives rise to diverse gastritis phenotypes, which subsequently influence the potential development of various gastroduodenal pathologies. In clinical settings, the diagnosis of this infection in childhood requires an upper gastrointestinal endoscopic exam with mucosal biopsy samples for histology and culture, or Polymerase Chain Reaction (PCR) at the very least. When warranted, eradication treatment should be given when good compliance is expected, and there should be systematic use of a treatment adapted to the antimicrobial susceptibility profile. To combat the burgeoning threat of multidrug resistance, vigilant surveillance of resistance patterns and strategic antibiotic management are paramount.&quot;,&quot;publisher&quot;:&quot;Multidisciplinary Digital Publishing Institute (MDPI)&quot;,&quot;issue&quot;:&quot;9&quot;,&quot;volume&quot;:&quot;12&quot;,&quot;container-title-short&quot;:&quot;&quot;},&quot;isTemporary&quot;:false}]},{&quot;citationID&quot;:&quot;MENDELEY_CITATION_e577a528-bc88-45bd-9284-6c630b578aab&quot;,&quot;properties&quot;:{&quot;noteIndex&quot;:0},&quot;isEdited&quot;:false,&quot;manualOverride&quot;:{&quot;isManuallyOverridden&quot;:false,&quot;citeprocText&quot;:&quot;[6,7]&quot;,&quot;manualOverrideText&quot;:&quot;&quot;},&quot;citationTag&quot;:&quot;MENDELEY_CITATION_v3_eyJjaXRhdGlvbklEIjoiTUVOREVMRVlfQ0lUQVRJT05fZTU3N2E1MjgtYmM4OC00NWJkLTkyODQtNmM2MzBiNTc4YWFiIiwicHJvcGVydGllcyI6eyJub3RlSW5kZXgiOjB9LCJpc0VkaXRlZCI6ZmFsc2UsIm1hbnVhbE92ZXJyaWRlIjp7ImlzTWFudWFsbHlPdmVycmlkZGVuIjpmYWxzZSwiY2l0ZXByb2NUZXh0IjoiWzYsN10iLCJtYW51YWxPdmVycmlkZVRleHQiOiIifSwiY2l0YXRpb25JdGVtcyI6W3siaWQiOiJkMThiOWRiZi1kZDc2LTNiNWQtOThhOS02ZDA4OWZjNTc1MjYiLCJpdGVtRGF0YSI6eyJ0eXBlIjoiYXJ0aWNsZS1qb3VybmFsIiwiaWQiOiJkMThiOWRiZi1kZDc2LTNiNWQtOThhOS02ZDA4OWZjNTc1MjYiLCJ0aXRsZSI6Ik1hbmFnZW1lbnQgb2YgSGVsaWNvYmFjdGVyIHB5bG9yaSBpbmZlY3Rpb246IHRoZSBNYWFzdHJpY2h0IFZJL0Zsb3JlbmNlIGNvbnNlbnN1cyByZXBvcnQiLCJhdXRob3IiOlt7ImZhbWlseSI6Ik1hbGZlcnRoZWluZXIiLCJnaXZlbiI6IlBldGVyIiwicGFyc2UtbmFtZXMiOmZhbHNlLCJkcm9wcGluZy1wYXJ0aWNsZSI6IiIsIm5vbi1kcm9wcGluZy1wYXJ0aWNsZSI6IiJ9LHsiZmFtaWx5IjoiTWVncmF1ZCIsImdpdmVuIjoiRnJhbmNpcyIsInBhcnNlLW5hbWVzIjpmYWxzZSwiZHJvcHBpbmctcGFydGljbGUiOiIiLCJub24tZHJvcHBpbmctcGFydGljbGUiOiIifSx7ImZhbWlseSI6IlJva2thcyIsImdpdmVuIjoiVGhlb2RvcmUiLCJwYXJzZS1uYW1lcyI6ZmFsc2UsImRyb3BwaW5nLXBhcnRpY2xlIjoiIiwibm9uLWRyb3BwaW5nLXBhcnRpY2xlIjoiIn0seyJmYW1pbHkiOiJHaXNiZXJ0IiwiZ2l2ZW4iOiJKYXZpZXIgUC4iLCJwYXJzZS1uYW1lcyI6ZmFsc2UsImRyb3BwaW5nLXBhcnRpY2xlIjoiIiwibm9uLWRyb3BwaW5nLXBhcnRpY2xlIjoiIn0seyJmYW1pbHkiOiJMaW91IiwiZ2l2ZW4iOiJKeWggTWluZyIsInBhcnNlLW5hbWVzIjpmYWxzZSwiZHJvcHBpbmctcGFydGljbGUiOiIiLCJub24tZHJvcHBpbmctcGFydGljbGUiOiIifSx7ImZhbWlseSI6IlNjaHVseiIsImdpdmVuIjoiQ2hyaXN0aWFuIiwicGFyc2UtbmFtZXMiOmZhbHNlLCJkcm9wcGluZy1wYXJ0aWNsZSI6IiIsIm5vbi1kcm9wcGluZy1wYXJ0aWNsZSI6IiJ9LHsiZmFtaWx5IjoiR2FzYmFycmluaSIsImdpdmVuIjoiQW50b25pbyIsInBhcnNlLW5hbWVzIjpmYWxzZSwiZHJvcHBpbmctcGFydGljbGUiOiIiLCJub24tZHJvcHBpbmctcGFydGljbGUiOiIifSx7ImZhbWlseSI6Ikh1bnQiLCJnaXZlbiI6IlJpY2hhcmQgSC4iLCJwYXJzZS1uYW1lcyI6ZmFsc2UsImRyb3BwaW5nLXBhcnRpY2xlIjoiIiwibm9uLWRyb3BwaW5nLXBhcnRpY2xlIjoiIn0seyJmYW1pbHkiOiJMZWphIiwiZ2l2ZW4iOiJNYXJjaXMiLCJwYXJzZS1uYW1lcyI6ZmFsc2UsImRyb3BwaW5nLXBhcnRpY2xlIjoiIiwibm9uLWRyb3BwaW5nLXBhcnRpY2xlIjoiIn0seyJmYW1pbHkiOiJP4oCZTW9yYWluIiwiZ2l2ZW4iOiJDb2xtIiwicGFyc2UtbmFtZXMiOmZhbHNlLCJkcm9wcGluZy1wYXJ0aWNsZSI6IiIsIm5vbi1kcm9wcGluZy1wYXJ0aWNsZSI6IiJ9LHsiZmFtaWx5IjoiUnVnZ2UiLCJnaXZlbiI6Ik1hc3NpbW8iLCJwYXJzZS1uYW1lcyI6ZmFsc2UsImRyb3BwaW5nLXBhcnRpY2xlIjoiIiwibm9uLWRyb3BwaW5nLXBhcnRpY2xlIjoiIn0seyJmYW1pbHkiOiJTdWVyYmF1bSIsImdpdmVuIjoiU2ViYXN0aWFuIiwicGFyc2UtbmFtZXMiOmZhbHNlLCJkcm9wcGluZy1wYXJ0aWNsZSI6IiIsIm5vbi1kcm9wcGluZy1wYXJ0aWNsZSI6IiJ9LHsiZmFtaWx5IjoiVGlsZyIsImdpdmVuIjoiSGVyYmVydCIsInBhcnNlLW5hbWVzIjpmYWxzZSwiZHJvcHBpbmctcGFydGljbGUiOiIiLCJub24tZHJvcHBpbmctcGFydGljbGUiOiIifSx7ImZhbWlseSI6IlN1Z2FubyIsImdpdmVuIjoiS2VudGFybyIsInBhcnNlLW5hbWVzIjpmYWxzZSwiZHJvcHBpbmctcGFydGljbGUiOiIiLCJub24tZHJvcHBpbmctcGFydGljbGUiOiIifSx7ImZhbWlseSI6IkVsLU9tYXIiLCJnaXZlbiI6IkVtYWQgTS4iLCJwYXJzZS1uYW1lcyI6ZmFsc2UsImRyb3BwaW5nLXBhcnRpY2xlIjoiIiwibm9uLWRyb3BwaW5nLXBhcnRpY2xlIjoiIn0seyJmYW1pbHkiOiJBZ3JldXMiLCJnaXZlbiI6IkwuIiwicGFyc2UtbmFtZXMiOmZhbHNlLCJkcm9wcGluZy1wYXJ0aWNsZSI6IiIsIm5vbi1kcm9wcGluZy1wYXJ0aWNsZSI6IiJ9LHsiZmFtaWx5IjoiQmF6em9saSIsImdpdmVuIjoiRi4iLCJwYXJzZS1uYW1lcyI6ZmFsc2UsImRyb3BwaW5nLXBhcnRpY2xlIjoiIiwibm9uLWRyb3BwaW5nLXBhcnRpY2xlIjoiIn0seyJmYW1pbHkiOiJCb3JkaW4iLCJnaXZlbiI6IkQuIiwicGFyc2UtbmFtZXMiOmZhbHNlLCJkcm9wcGluZy1wYXJ0aWNsZSI6IiIsIm5vbi1kcm9wcGluZy1wYXJ0aWNsZSI6IiJ9LHsiZmFtaWx5IjoiTG9naW5vdiIsImdpdmVuIjoiQS4gUy4iLCJwYXJzZS1uYW1lcyI6ZmFsc2UsImRyb3BwaW5nLXBhcnRpY2xlIjoiIiwibm9uLWRyb3BwaW5nLXBhcnRpY2xlIjoiIn0seyJmYW1pbHkiOiJNYXJpbyIsImdpdmVuIjoiRi4iLCJwYXJzZS1uYW1lcyI6ZmFsc2UsImRyb3BwaW5nLXBhcnRpY2xlIjoiRGkiLCJub24tZHJvcHBpbmctcGFydGljbGUiOiIifSx7ImZhbWlseSI6IkRpbmlzLVJpYmVpcm8iLCJnaXZlbiI6Ik0uIiwicGFyc2UtbmFtZXMiOmZhbHNlLCJkcm9wcGluZy1wYXJ0aWNsZSI6IiIsIm5vbi1kcm9wcGluZy1wYXJ0aWNsZSI6IiJ9LHsiZmFtaWx5IjoiRW5nc3RyYW5kIiwiZ2l2ZW4iOiJMLiIsInBhcnNlLW5hbWVzIjpmYWxzZSwiZHJvcHBpbmctcGFydGljbGUiOiIiLCJub24tZHJvcHBpbmctcGFydGljbGUiOiIifSx7ImZhbWlseSI6IkZhbGxvbmUiLCJnaXZlbiI6IkMuIiwicGFyc2UtbmFtZXMiOmZhbHNlLCJkcm9wcGluZy1wYXJ0aWNsZSI6IiIsIm5vbi1kcm9wcGluZy1wYXJ0aWNsZSI6IiJ9LHsiZmFtaWx5IjoiR29oIiwiZ2l2ZW4iOiJLLiBMLiIsInBhcnNlLW5hbWVzIjpmYWxzZSwiZHJvcHBpbmctcGFydGljbGUiOiIiLCJub24tZHJvcHBpbmctcGFydGljbGUiOiIifSx7ImZhbWlseSI6IkdyYWhhbSIsImdpdmVuIjoiRC4iLCJwYXJzZS1uYW1lcyI6ZmFsc2UsImRyb3BwaW5nLXBhcnRpY2xlIjoiIiwibm9uLWRyb3BwaW5nLXBhcnRpY2xlIjoiIn0seyJmYW1pbHkiOiJLdWlwZXJzIiwiZ2l2ZW4iOiJFLiBKLiIsInBhcnNlLW5hbWVzIjpmYWxzZSwiZHJvcHBpbmctcGFydGljbGUiOiIiLCJub24tZHJvcHBpbmctcGFydGljbGUiOiIifSx7ImZhbWlseSI6Ikt1cGNpbnNrYXMiLCJnaXZlbiI6IkouIiwicGFyc2UtbmFtZXMiOmZhbHNlLCJkcm9wcGluZy1wYXJ0aWNsZSI6IiIsIm5vbi1kcm9wcGluZy1wYXJ0aWNsZSI6IiJ9LHsiZmFtaWx5IjoiTGFuYXMiLCJnaXZlbiI6IkEuIiwicGFyc2UtbmFtZXMiOmZhbHNlLCJkcm9wcGluZy1wYXJ0aWNsZSI6IiIsIm5vbi1kcm9wcGluZy1wYXJ0aWNsZSI6IiJ9LHsiZmFtaWx5IjoiTWFjaGFkbyIsImdpdmVuIjoiSi4gQy4iLCJwYXJzZS1uYW1lcyI6ZmFsc2UsImRyb3BwaW5nLXBhcnRpY2xlIjoiIiwibm9uLWRyb3BwaW5nLXBhcnRpY2xlIjoiIn0seyJmYW1pbHkiOiJNYWhhY2hhaSIsImdpdmVuIjoiVi4iLCJwYXJzZS1uYW1lcyI6ZmFsc2UsImRyb3BwaW5nLXBhcnRpY2xlIjoiIiwibm9uLWRyb3BwaW5nLXBhcnRpY2xlIjoiIn0seyJmYW1pbHkiOiJNYXJzaGFsbCIsImdpdmVuIjoiQi4gSi4iLCJwYXJzZS1uYW1lcyI6ZmFsc2UsImRyb3BwaW5nLXBhcnRpY2xlIjoiIiwibm9uLWRyb3BwaW5nLXBhcnRpY2xlIjoiIn0seyJmYW1pbHkiOiJNaWxvc2F2bGpldmljIiwiZ2l2ZW4iOiJULiIsInBhcnNlLW5hbWVzIjpmYWxzZSwiZHJvcHBpbmctcGFydGljbGUiOiIiLCJub24tZHJvcHBpbmctcGFydGljbGUiOiIifSx7ImZhbWlseSI6Ik1vc3MiLCJnaXZlbiI6IlMuIEYuIiwicGFyc2UtbmFtZXMiOmZhbHNlLCJkcm9wcGluZy1wYXJ0aWNsZSI6IiIsIm5vbi1kcm9wcGluZy1wYXJ0aWNsZSI6IiJ9LHsiZmFtaWx5IjoiUGFyayIsImdpdmVuIjoiSi4gWS4iLCJwYXJzZS1uYW1lcyI6ZmFsc2UsImRyb3BwaW5nLXBhcnRpY2xlIjoiIiwibm9uLWRyb3BwaW5nLXBhcnRpY2xlIjoiIn0seyJmYW1pbHkiOiJOaXYiLCJnaXZlbiI6IlkuIiwicGFyc2UtbmFtZXMiOmZhbHNlLCJkcm9wcGluZy1wYXJ0aWNsZSI6IiIsIm5vbi1kcm9wcGluZy1wYXJ0aWNsZSI6IiJ9LHsiZmFtaWx5IjoiUmFqaWxpYy1TdG9qYW5vdmljIiwiZ2l2ZW4iOiJNLiIsInBhcnNlLW5hbWVzIjpmYWxzZSwiZHJvcHBpbmctcGFydGljbGUiOiIiLCJub24tZHJvcHBpbmctcGFydGljbGUiOiIifSx7ImZhbWlseSI6IlJpc3RpbWFraSIsImdpdmVuIjoiQS4iLCJwYXJzZS1uYW1lcyI6ZmFsc2UsImRyb3BwaW5nLXBhcnRpY2xlIjoiIiwibm9uLWRyb3BwaW5nLXBhcnRpY2xlIjoiIn0seyJmYW1pbHkiOiJTbWl0aCIsImdpdmVuIjoiUy4iLCJwYXJzZS1uYW1lcyI6ZmFsc2UsImRyb3BwaW5nLXBhcnRpY2xlIjoiIiwibm9uLWRyb3BwaW5nLXBhcnRpY2xlIjoiIn0seyJmYW1pbHkiOiJUZXBlcyIsImdpdmVuIjoiQi4iLCJwYXJzZS1uYW1lcyI6ZmFsc2UsImRyb3BwaW5nLXBhcnRpY2xlIjoiIiwibm9uLWRyb3BwaW5nLXBhcnRpY2xlIjoiIn0seyJmYW1pbHkiOiJXdSIsImdpdmVuIjoiQy4gWS4iLCJwYXJzZS1uYW1lcyI6ZmFsc2UsImRyb3BwaW5nLXBhcnRpY2xlIjoiIiwibm9uLWRyb3BwaW5nLXBhcnRpY2xlIjoiIn0seyJmYW1pbHkiOiJaaG91IiwiZ2l2ZW4iOiJMLiIsInBhcnNlLW5hbWVzIjpmYWxzZSwiZHJvcHBpbmctcGFydGljbGUiOiIiLCJub24tZHJvcHBpbmctcGFydGljbGUiOiIifV0sImNvbnRhaW5lci10aXRsZSI6Ikd1dCIsImNvbnRhaW5lci10aXRsZS1zaG9ydCI6Ikd1dCIsIkRPSSI6IjEwLjExMzYvZ3V0am5sLTIwMjItMzI3NzQ1IiwiSVNTTiI6IjE0NjgzMjg4IiwiUE1JRCI6IjM1OTQ0OTI1IiwiaXNzdWVkIjp7ImRhdGUtcGFydHMiOltbMjAyMiw5LDFdXX0sInBhZ2UiOiIxNzI0LTE3NjIiLCJhYnN0cmFjdCI6IkhlbGljb2JhY3RlciBweWxvcmkgSW5mZWN0aW9uIGlzIGZvcm1hbGx5IHJlY29nbmlzZWQgYXMgYW4gaW5mZWN0aW91cyBkaXNlYXNlLCBhbiBlbnRpdHkgdGhhdCBpcyBub3cgaW5jbHVkZWQgaW4gdGhlIEludGVybmF0aW9uYWwgQ2xhc3NpZmljYXRpb24gb2YgRGlzZWFzZXMgMTF0aCBSZXZpc2lvbi4gVGhpcyBpbiBwcmluY2lwbGUgbGVhZHMgdG8gdGhlIHJlY29tbWVuZGF0aW9uIHRoYXQgYWxsIGluZmVjdGVkIHBhdGllbnRzIHNob3VsZCByZWNlaXZlIHRyZWF0bWVudC4gSW4gdGhlIGNvbnRleHQgb2YgdGhlIHdpZGUgY2xpbmljYWwgc3BlY3RydW0gYXNzb2NpYXRlZCB3aXRoIEhlbGljb2JhY3RlciBweWxvcmkgZ2FzdHJpdGlzLCBzcGVjaWZpYyBpc3N1ZXMgcGVyc2lzdCBhbmQgcmVxdWlyZSByZWd1bGFyIHVwZGF0ZXMgZm9yIG9wdGltaXNlZCBtYW5hZ2VtZW50LiBUaGUgaWRlbnRpZmljYXRpb24gb2YgZGlzdGluY3QgY2xpbmljYWwgc2NlbmFyaW9zLCBwcm9wZXIgdGVzdGluZyBhbmQgYWRvcHRpb24gb2YgZWZmZWN0aXZlIHN0cmF0ZWdpZXMgZm9yIHByZXZlbnRpb24gb2YgZ2FzdHJpYyBjYW5jZXIgYW5kIG90aGVyIGNvbXBsaWNhdGlvbnMgYXJlIGFkZHJlc3NlZC4gSC4gcHlsb3JpIHRyZWF0bWVudCBpcyBjaGFsbGVuZ2VkIGJ5IHRoZSBjb250aW51b3VzbHkgcmlzaW5nIGFudGliaW90aWMgcmVzaXN0YW5jZSBhbmQgZGVtYW5kcyBmb3Igc3VzY2VwdGliaWxpdHkgdGVzdGluZyB3aXRoIGNvbnNpZGVyYXRpb24gb2Ygbm92ZWwgbW9sZWN1bGFyIHRlY2hub2xvZ2llcyBhbmQgY2FyZWZ1bCBzZWxlY3Rpb24gb2YgZmlyc3QgbGluZSBhbmQgcmVzY3VlIHRoZXJhcGllcy4gVGhlIHJvbGUgb2YgSC4gcHlsb3JpIGFuZCBhbnRpYmlvdGljIHRoZXJhcGllcyBhbmQgdGhlaXIgaW1wYWN0IG9uIHRoZSBndXQgbWljcm9iaW90YSBhcmUgYWxzbyBjb25zaWRlcmVkLiBQcm9ncmVzcyBtYWRlIGluIHRoZSBtYW5hZ2VtZW50IG9mIEguIHB5bG9yaSBpbmZlY3Rpb24gaXMgY292ZXJlZCBpbiB0aGUgcHJlc2VudCBzaXh0aCBlZGl0aW9uIG9mIHRoZSBNYWFzdHJpY2h0LyBGbG9yZW5jZSAyMDIxIENvbnNlbnN1cyBSZXBvcnQsIGtleSBhc3BlY3RzIHJlbGF0ZWQgdG8gdGhlIGNsaW5pY2FsIHJvbGUgb2YgSC4gcHlsb3JpIGluZmVjdGlvbiB3ZXJlIHJlLWV2YWx1YXRlZCBhbmQgdXBkYXRlZC4gRm9ydHktb25lIGV4cGVydHMgZnJvbSAyOSBjb3VudHJpZXMgcmVwcmVzZW50aW5nIGEgZ2xvYmFsIGNvbW11bml0eSwgZXhhbWluZWQgdGhlIG5ldyBkYXRhIHJlbGF0ZWQgdG8gSC4gcHlsb3JpIGluZmVjdGlvbiBpbiBmaXZlIHdvcmtpbmcgZ3JvdXBzOiAoMSkgaW5kaWNhdGlvbnMvYXNzb2NpYXRpb25zLCAoMikgZGlhZ25vc2lzLCAoMykgdHJlYXRtZW50LCAoNCkgcHJldmVudGlvbi9nYXN0cmljIGNhbmNlciBhbmQgKDUpIEguIHB5bG9yaSBhbmQgdGhlIGd1dCBtaWNyb2Jpb3RhLiBUaGUgcmVzdWx0cyBvZiB0aGUgaW5kaXZpZHVhbCB3b3JraW5nIGdyb3VwcyB3ZXJlIHByZXNlbnRlZCBmb3IgYSBmaW5hbCBjb25zZW5zdXMgdm90aW5nIHRoYXQgaW5jbHVkZWQgYWxsIHBhcnRpY2lwYW50cy4gUmVjb21tZW5kYXRpb25zIGFyZSBwcm92aWRlZCBvbiB0aGUgYmFzaXMgb2YgdGhlIGJlc3QgYXZhaWxhYmxlIGV2aWRlbmNlIGFuZCByZWxldmFuY2UgdG8gdGhlIG1hbmFnZW1lbnQgb2YgSC4gcHlsb3JpIGluZmVjdGlvbiBpbiB2YXJpb3VzIGNsaW5pY2FsIGZpZWxkcy4iLCJwdWJsaXNoZXIiOiJCTUogUHVibGlzaGluZyBHcm91cCIsImlzc3VlIjoiOSIsInZvbHVtZSI6IjcxIn0sImlzVGVtcG9yYXJ5IjpmYWxzZX0seyJpZCI6IjNlMGZiYjUzLWYyY2EtMzY5ZS1hM2FkLTY1NzdhODgxZGY5OCIsIml0ZW1EYXRhIjp7InR5cGUiOiJhcnRpY2xlLWpvdXJuYWwiLCJpZCI6IjNlMGZiYjUzLWYyY2EtMzY5ZS1hM2FkLTY1NzdhODgxZGY5OCIsInRpdGxlIjoiQ2hyb25pYyBhdHJvcGhpYyBnYXN0cml0aXM6IE5hdHVyYWwgaGlzdG9yeSwgZGlhZ25vc2lzIGFuZCB0aGVyYXBldXRpYyBtYW5hZ2VtZW50LiBBIHBvc2l0aW9uIHBhcGVyIGJ5IHRoZSBJdGFsaWFuIFNvY2lldHkgb2YgSG9zcGl0YWwgR2FzdHJvZW50ZXJvbG9naXN0cyBhbmQgRGlnZXN0aXZlIEVuZG9zY29waXN0cyBbQUlHT10sIHRoZSBJdGFsaWFuIFNvY2lldHkgb2YgRGlnZXN0aXZlIEVuZG9zY29weSBbU0lFRF0sIHRoZSBJdGFsaWFuIFNvY2lldHkgb2YgR2FzdHJvZW50ZXJvbG9neSBbU0lHRV0sIGFuZCB0aGUgSXRhbGlhbiBTb2NpZXR5IG9mIEludGVybmFsIE1lZGljaW5lIFtTSU1JXSIsImF1dGhvciI6W3siZmFtaWx5IjoiTGFobmVyIiwiZ2l2ZW4iOiJFZGl0aCIsInBhcnNlLW5hbWVzIjpmYWxzZSwiZHJvcHBpbmctcGFydGljbGUiOiIiLCJub24tZHJvcHBpbmctcGFydGljbGUiOiIifSx7ImZhbWlseSI6IlphZ2FyaSIsImdpdmVuIjoiUm9jY28gTWF1cml6aW8iLCJwYXJzZS1uYW1lcyI6ZmFsc2UsImRyb3BwaW5nLXBhcnRpY2xlIjoiIiwibm9uLWRyb3BwaW5nLXBhcnRpY2xlIjoiIn0seyJmYW1pbHkiOiJadWxsbyIsImdpdmVuIjoiQW5nZWxvIiwicGFyc2UtbmFtZXMiOmZhbHNlLCJkcm9wcGluZy1wYXJ0aWNsZSI6IiIsIm5vbi1kcm9wcGluZy1wYXJ0aWNsZSI6IiJ9LHsiZmFtaWx5IjoiU2FiYXRpbm8iLCJnaXZlbiI6IkFudG9uaW8iLCJwYXJzZS1uYW1lcyI6ZmFsc2UsImRyb3BwaW5nLXBhcnRpY2xlIjoiIiwibm9uLWRyb3BwaW5nLXBhcnRpY2xlIjoiRGkifSx7ImZhbWlseSI6Ik1lZ2dpbyIsImdpdmVuIjoiQWxiZXJ0byIsInBhcnNlLW5hbWVzIjpmYWxzZSwiZHJvcHBpbmctcGFydGljbGUiOiIiLCJub24tZHJvcHBpbmctcGFydGljbGUiOiIifSx7ImZhbWlseSI6IkNlc2FybyIsImdpdmVuIjoiUGFvbGEiLCJwYXJzZS1uYW1lcyI6ZmFsc2UsImRyb3BwaW5nLXBhcnRpY2xlIjoiIiwibm9uLWRyb3BwaW5nLXBhcnRpY2xlIjoiIn0seyJmYW1pbHkiOiJMZW50aSIsImdpdmVuIjoiTWFyY28gVmluY2Vuem8iLCJwYXJzZS1uYW1lcyI6ZmFsc2UsImRyb3BwaW5nLXBhcnRpY2xlIjoiIiwibm9uLWRyb3BwaW5nLXBhcnRpY2xlIjoiIn0seyJmYW1pbHkiOiJBbm5pYmFsZSIsImdpdmVuIjoiQnJ1bm8iLCJwYXJzZS1uYW1lcyI6ZmFsc2UsImRyb3BwaW5nLXBhcnRpY2xlIjoiIiwibm9uLWRyb3BwaW5nLXBhcnRpY2xlIjoiIn0seyJmYW1pbHkiOiJDb3JhenphIiwiZ2l2ZW4iOiJHaW5vIFJvYmVydG8iLCJwYXJzZS1uYW1lcyI6ZmFsc2UsImRyb3BwaW5nLXBhcnRpY2xlIjoiIiwibm9uLWRyb3BwaW5nLXBhcnRpY2xlIjoiIn1dLCJjb250YWluZXItdGl0bGUiOiJEaWdlc3RpdmUgYW5kIExpdmVyIERpc2Vhc2UiLCJET0kiOiIxMC4xMDE2L2ouZGxkLjIwMTkuMDkuMDE2IiwiSVNTTiI6IjE4NzgzNTYyIiwiUE1JRCI6IjMxNjM1OTQ0IiwiaXNzdWVkIjp7ImRhdGUtcGFydHMiOltbMjAxOSwxMiwxXV19LCJwYWdlIjoiMTYyMS0xNjMyIiwiYWJzdHJhY3QiOiJDaHJvbmljIGF0cm9waGljIGdhc3RyaXRpcyAoQ0FHKSBpcyBhbiB1bmRlcmRpYWdub3NlZCBjb25kaXRpb24gY2hhcmFjdGVyaXNlZCBieSB0cmFuc2xhdGlvbmFsIGZlYXR1cmVzIGdvaW5nIGJleW9uZCB0aGUgc3RyaWN0IGZpZWxkIG9mIGdhc3Ryb2VudGVyb2xvZ3kgYXMgaXQgbWF5IG1hbmlmZXN0IGl0c2VsZiBieSBhIHZhcmlhYmxlIHNwZWN0cnVtIG9mIGdhc3RyaWMgYW5kIGV4dHJhLWdhc3RyaWMgc3ltcHRvbXMgYW5kIHNpZ25zLiBJdCBpcyByZWxhdGl2ZWx5IGNvbW1vbiBhbW9uZyBvbGRlciBhZHVsdHMgaW4gZGlmZmVyZW50IHBhcnRzIG9mIHRoZSB3b3JsZCwgYnV0IGxhcmdlIHZhcmlhdGlvbnMgZXhpc3QuIEhlbGljb2JhY3RlciBweWxvcmktcmVsYXRlZCBDQUcgW211bHRpZm9jYWxdIGFuZCBhdXRvaW1tdW5lIENBRyAoY29ycHVzLXJlc3RyaWN0ZWQpIGFyZSBhcHBhcmVudGx5IHR3byBkaWZmZXJlbnQgZGlzZWFzZXMsIGJ1dCB0aGV5IGRpc3BsYXkgb3ZlcmxhcHBpbmcgZmVhdHVyZXMuIFBhdGllbnRzIHdpdGggY29iYWxhbWluIGFuZC9vciBpcm9uIGRlZmljaWVuY3kgYW5hZW1pYSBvciBhdXRvaW1tdW5lIGRpc29yZGVycywgaW5jbHVkaW5nIGF1dG9pbW11bmUgdGh5cm9pZGl0aXMgYW5kIHR5cGUgMSBkaWFiZXRlcyBtZWxsaXR1cywgc2hvdWxkIGJlIG9mZmVyZWQgc2NyZWVuaW5nIGZvciBDQUcuIFBlcHNpbm9nZW5zLCBnYXN0cmluLTE3LCBhbmQgYW50aS1ILiBweWxvcmkgYW50aWJvZGllcyBzZXJ1bSBhc3NheXMgc2VlbSB0byBiZSByZWxpYWJsZSBub24taW52YXNpdmUgc2NyZWVuaW5nIHRvb2xzIGZvciB0aGUgcHJlc2VuY2Ugb2YgQ0FHLCBoZWxwZnVsIHRvIGlkZW50aWZ5IGluZGl2aWR1YWxzIHRvIHJlZmVyIHRvIGdhc3Ryb3Njb3B5IHdpdGggZml2ZSBzdGFuZGFyZCBnYXN0cmljIGJpb3BzaWVzIGluIG9yZGVyIHRvIG9idGFpbiBoaXN0b2xvZ2ljYWwgY29uZmlybWF0aW9uIG9mIGRpYWdub3Npcy4gUGF0aWVudHMgd2l0aCBDQUcgYXJlIGF0IGluY3JlYXNlZCByaXNrIG9mIGRldmVsb3BpbmcgZ2FzdHJpYyBjYW5jZXIsIGFuZCB0aGV5IHNob3VsZCBiZSBlc3RpbWF0ZWQgd2l0aCBoaXN0b2xvZ2ljYWwgc3RhZ2luZyBzeXN0ZW1zIChPTEdBIG9yIE9MR0lNKS4gSC4gcHlsb3JpIGVyYWRpY2F0aW9uIG1heSBiZSBiZW5lZmljaWFsIGJ5IG1vZGlmeWluZyB0aGUgbmF0dXJhbCBoaXN0b3J5IG9mIGF0cm9waHksIGJ1dCBub3QgdGhhdCBvZiBpbnRlc3RpbmFsIG1ldGFwbGFzaWEuIFBhdGllbnRzIHdpdGggYWR2YW5jZWQgc3RhZ2VzIG9mIENBRyAoU3RhZ2UgSUlJL0lWIE9MR0Egb3IgT0xHSU0pIHNob3VsZCB1bmRlcmdvIGVuZG9zY29waWMgc3VydmVpbGxhbmNlIGV2ZXJ5IHRocmVlIHllYXJzLCB0aG9zZSB3aXRoIGF1dG9pbW11bmUgQ0FHIGV2ZXJ5IHRocmVlLWZpdmUgeWVhcnMuIEluIHBhdGllbnRzIHdpdGggQ0FHLCBhIHNjcmVlbmluZyBmb3IgYXV0b2ltbXVuZSB0aHlyb2lkIGRpc2Vhc2UgYW5kIG1pY3JvbnV0cmllbnQgZGVmaWNpZW5jaWVzLCBpbmNsdWRpbmcgaXJvbiBhbmQgdml0YW1pbiBCMTIsIHNob3VsZCBiZSBwZXJmb3JtZWQuIFRoZSBvcHRpbWFsIHRyZWF0bWVudCBmb3IgZHlzcGVwdGljIHN5bXB0b21zIGluIHBhdGllbnRzIHdpdGggQ0FHIHJlbWFpbnMgdG8gYmUgZGVmaW5lZC4gUHJvdG9uIHB1bXAgaW5oaWJpdG9ycyBhcmUgbm90IGluZGljYXRlZCBpbiBoeXBvY2hsb3JoeWRyaWMgQ0FHIHBhdGllbnRzLiIsInB1Ymxpc2hlciI6IkVsc2V2aWVyIEIuVi4iLCJpc3N1ZSI6IjEyIiwidm9sdW1lIjoiNTEiLCJjb250YWluZXItdGl0bGUtc2hvcnQiOiIifSwiaXNUZW1wb3JhcnkiOmZhbHNlfV19&quot;,&quot;citationItems&quot;:[{&quot;id&quot;:&quot;d18b9dbf-dd76-3b5d-98a9-6d089fc57526&quot;,&quot;itemData&quot;:{&quot;type&quot;:&quot;article-journal&quot;,&quot;id&quot;:&quot;d18b9dbf-dd76-3b5d-98a9-6d089fc57526&quot;,&quot;title&quot;:&quot;Management of Helicobacter pylori infection: the Maastricht VI/Florence consensus report&quot;,&quot;author&quot;:[{&quot;family&quot;:&quot;Malfertheiner&quot;,&quot;given&quot;:&quot;Peter&quot;,&quot;parse-names&quot;:false,&quot;dropping-particle&quot;:&quot;&quot;,&quot;non-dropping-particle&quot;:&quot;&quot;},{&quot;family&quot;:&quot;Megraud&quot;,&quot;given&quot;:&quot;Francis&quot;,&quot;parse-names&quot;:false,&quot;dropping-particle&quot;:&quot;&quot;,&quot;non-dropping-particle&quot;:&quot;&quot;},{&quot;family&quot;:&quot;Rokkas&quot;,&quot;given&quot;:&quot;Theodore&quot;,&quot;parse-names&quot;:false,&quot;dropping-particle&quot;:&quot;&quot;,&quot;non-dropping-particle&quot;:&quot;&quot;},{&quot;family&quot;:&quot;Gisbert&quot;,&quot;given&quot;:&quot;Javier P.&quot;,&quot;parse-names&quot;:false,&quot;dropping-particle&quot;:&quot;&quot;,&quot;non-dropping-particle&quot;:&quot;&quot;},{&quot;family&quot;:&quot;Liou&quot;,&quot;given&quot;:&quot;Jyh Ming&quot;,&quot;parse-names&quot;:false,&quot;dropping-particle&quot;:&quot;&quot;,&quot;non-dropping-particle&quot;:&quot;&quot;},{&quot;family&quot;:&quot;Schulz&quot;,&quot;given&quot;:&quot;Christian&quot;,&quot;parse-names&quot;:false,&quot;dropping-particle&quot;:&quot;&quot;,&quot;non-dropping-particle&quot;:&quot;&quot;},{&quot;family&quot;:&quot;Gasbarrini&quot;,&quot;given&quot;:&quot;Antonio&quot;,&quot;parse-names&quot;:false,&quot;dropping-particle&quot;:&quot;&quot;,&quot;non-dropping-particle&quot;:&quot;&quot;},{&quot;family&quot;:&quot;Hunt&quot;,&quot;given&quot;:&quot;Richard H.&quot;,&quot;parse-names&quot;:false,&quot;dropping-particle&quot;:&quot;&quot;,&quot;non-dropping-particle&quot;:&quot;&quot;},{&quot;family&quot;:&quot;Leja&quot;,&quot;given&quot;:&quot;Marcis&quot;,&quot;parse-names&quot;:false,&quot;dropping-particle&quot;:&quot;&quot;,&quot;non-dropping-particle&quot;:&quot;&quot;},{&quot;family&quot;:&quot;O’Morain&quot;,&quot;given&quot;:&quot;Colm&quot;,&quot;parse-names&quot;:false,&quot;dropping-particle&quot;:&quot;&quot;,&quot;non-dropping-particle&quot;:&quot;&quot;},{&quot;family&quot;:&quot;Rugge&quot;,&quot;given&quot;:&quot;Massimo&quot;,&quot;parse-names&quot;:false,&quot;dropping-particle&quot;:&quot;&quot;,&quot;non-dropping-particle&quot;:&quot;&quot;},{&quot;family&quot;:&quot;Suerbaum&quot;,&quot;given&quot;:&quot;Sebastian&quot;,&quot;parse-names&quot;:false,&quot;dropping-particle&quot;:&quot;&quot;,&quot;non-dropping-particle&quot;:&quot;&quot;},{&quot;family&quot;:&quot;Tilg&quot;,&quot;given&quot;:&quot;Herbert&quot;,&quot;parse-names&quot;:false,&quot;dropping-particle&quot;:&quot;&quot;,&quot;non-dropping-particle&quot;:&quot;&quot;},{&quot;family&quot;:&quot;Sugano&quot;,&quot;given&quot;:&quot;Kentaro&quot;,&quot;parse-names&quot;:false,&quot;dropping-particle&quot;:&quot;&quot;,&quot;non-dropping-particle&quot;:&quot;&quot;},{&quot;family&quot;:&quot;El-Omar&quot;,&quot;given&quot;:&quot;Emad M.&quot;,&quot;parse-names&quot;:false,&quot;dropping-particle&quot;:&quot;&quot;,&quot;non-dropping-particle&quot;:&quot;&quot;},{&quot;family&quot;:&quot;Agreus&quot;,&quot;given&quot;:&quot;L.&quot;,&quot;parse-names&quot;:false,&quot;dropping-particle&quot;:&quot;&quot;,&quot;non-dropping-particle&quot;:&quot;&quot;},{&quot;family&quot;:&quot;Bazzoli&quot;,&quot;given&quot;:&quot;F.&quot;,&quot;parse-names&quot;:false,&quot;dropping-particle&quot;:&quot;&quot;,&quot;non-dropping-particle&quot;:&quot;&quot;},{&quot;family&quot;:&quot;Bordin&quot;,&quot;given&quot;:&quot;D.&quot;,&quot;parse-names&quot;:false,&quot;dropping-particle&quot;:&quot;&quot;,&quot;non-dropping-particle&quot;:&quot;&quot;},{&quot;family&quot;:&quot;Loginov&quot;,&quot;given&quot;:&quot;A. S.&quot;,&quot;parse-names&quot;:false,&quot;dropping-particle&quot;:&quot;&quot;,&quot;non-dropping-particle&quot;:&quot;&quot;},{&quot;family&quot;:&quot;Mario&quot;,&quot;given&quot;:&quot;F.&quot;,&quot;parse-names&quot;:false,&quot;dropping-particle&quot;:&quot;Di&quot;,&quot;non-dropping-particle&quot;:&quot;&quot;},{&quot;family&quot;:&quot;Dinis-Ribeiro&quot;,&quot;given&quot;:&quot;M.&quot;,&quot;parse-names&quot;:false,&quot;dropping-particle&quot;:&quot;&quot;,&quot;non-dropping-particle&quot;:&quot;&quot;},{&quot;family&quot;:&quot;Engstrand&quot;,&quot;given&quot;:&quot;L.&quot;,&quot;parse-names&quot;:false,&quot;dropping-particle&quot;:&quot;&quot;,&quot;non-dropping-particle&quot;:&quot;&quot;},{&quot;family&quot;:&quot;Fallone&quot;,&quot;given&quot;:&quot;C.&quot;,&quot;parse-names&quot;:false,&quot;dropping-particle&quot;:&quot;&quot;,&quot;non-dropping-particle&quot;:&quot;&quot;},{&quot;family&quot;:&quot;Goh&quot;,&quot;given&quot;:&quot;K. L.&quot;,&quot;parse-names&quot;:false,&quot;dropping-particle&quot;:&quot;&quot;,&quot;non-dropping-particle&quot;:&quot;&quot;},{&quot;family&quot;:&quot;Graham&quot;,&quot;given&quot;:&quot;D.&quot;,&quot;parse-names&quot;:false,&quot;dropping-particle&quot;:&quot;&quot;,&quot;non-dropping-particle&quot;:&quot;&quot;},{&quot;family&quot;:&quot;Kuipers&quot;,&quot;given&quot;:&quot;E. J.&quot;,&quot;parse-names&quot;:false,&quot;dropping-particle&quot;:&quot;&quot;,&quot;non-dropping-particle&quot;:&quot;&quot;},{&quot;family&quot;:&quot;Kupcinskas&quot;,&quot;given&quot;:&quot;J.&quot;,&quot;parse-names&quot;:false,&quot;dropping-particle&quot;:&quot;&quot;,&quot;non-dropping-particle&quot;:&quot;&quot;},{&quot;family&quot;:&quot;Lanas&quot;,&quot;given&quot;:&quot;A.&quot;,&quot;parse-names&quot;:false,&quot;dropping-particle&quot;:&quot;&quot;,&quot;non-dropping-particle&quot;:&quot;&quot;},{&quot;family&quot;:&quot;Machado&quot;,&quot;given&quot;:&quot;J. C.&quot;,&quot;parse-names&quot;:false,&quot;dropping-particle&quot;:&quot;&quot;,&quot;non-dropping-particle&quot;:&quot;&quot;},{&quot;family&quot;:&quot;Mahachai&quot;,&quot;given&quot;:&quot;V.&quot;,&quot;parse-names&quot;:false,&quot;dropping-particle&quot;:&quot;&quot;,&quot;non-dropping-particle&quot;:&quot;&quot;},{&quot;family&quot;:&quot;Marshall&quot;,&quot;given&quot;:&quot;B. J.&quot;,&quot;parse-names&quot;:false,&quot;dropping-particle&quot;:&quot;&quot;,&quot;non-dropping-particle&quot;:&quot;&quot;},{&quot;family&quot;:&quot;Milosavljevic&quot;,&quot;given&quot;:&quot;T.&quot;,&quot;parse-names&quot;:false,&quot;dropping-particle&quot;:&quot;&quot;,&quot;non-dropping-particle&quot;:&quot;&quot;},{&quot;family&quot;:&quot;Moss&quot;,&quot;given&quot;:&quot;S. F.&quot;,&quot;parse-names&quot;:false,&quot;dropping-particle&quot;:&quot;&quot;,&quot;non-dropping-particle&quot;:&quot;&quot;},{&quot;family&quot;:&quot;Park&quot;,&quot;given&quot;:&quot;J. Y.&quot;,&quot;parse-names&quot;:false,&quot;dropping-particle&quot;:&quot;&quot;,&quot;non-dropping-particle&quot;:&quot;&quot;},{&quot;family&quot;:&quot;Niv&quot;,&quot;given&quot;:&quot;Y.&quot;,&quot;parse-names&quot;:false,&quot;dropping-particle&quot;:&quot;&quot;,&quot;non-dropping-particle&quot;:&quot;&quot;},{&quot;family&quot;:&quot;Rajilic-Stojanovic&quot;,&quot;given&quot;:&quot;M.&quot;,&quot;parse-names&quot;:false,&quot;dropping-particle&quot;:&quot;&quot;,&quot;non-dropping-particle&quot;:&quot;&quot;},{&quot;family&quot;:&quot;Ristimaki&quot;,&quot;given&quot;:&quot;A.&quot;,&quot;parse-names&quot;:false,&quot;dropping-particle&quot;:&quot;&quot;,&quot;non-dropping-particle&quot;:&quot;&quot;},{&quot;family&quot;:&quot;Smith&quot;,&quot;given&quot;:&quot;S.&quot;,&quot;parse-names&quot;:false,&quot;dropping-particle&quot;:&quot;&quot;,&quot;non-dropping-particle&quot;:&quot;&quot;},{&quot;family&quot;:&quot;Tepes&quot;,&quot;given&quot;:&quot;B.&quot;,&quot;parse-names&quot;:false,&quot;dropping-particle&quot;:&quot;&quot;,&quot;non-dropping-particle&quot;:&quot;&quot;},{&quot;family&quot;:&quot;Wu&quot;,&quot;given&quot;:&quot;C. Y.&quot;,&quot;parse-names&quot;:false,&quot;dropping-particle&quot;:&quot;&quot;,&quot;non-dropping-particle&quot;:&quot;&quot;},{&quot;family&quot;:&quot;Zhou&quot;,&quot;given&quot;:&quot;L.&quot;,&quot;parse-names&quot;:false,&quot;dropping-particle&quot;:&quot;&quot;,&quot;non-dropping-particle&quot;:&quot;&quot;}],&quot;container-title&quot;:&quot;Gut&quot;,&quot;container-title-short&quot;:&quot;Gut&quot;,&quot;DOI&quot;:&quot;10.1136/gutjnl-2022-327745&quot;,&quot;ISSN&quot;:&quot;14683288&quot;,&quot;PMID&quot;:&quot;35944925&quot;,&quot;issued&quot;:{&quot;date-parts&quot;:[[2022,9,1]]},&quot;page&quot;:&quot;1724-1762&quot;,&quot;abstract&quot;:&quot;Helicobacter pylori Infection is formally recognised as an infectious disease, an entity that is now included in the International Classification of Diseases 11th Revision. This in principle leads to the recommendation that all infected patients should receive treatment. In the context of the wide clinical spectrum associated with Helicobacter pylori gastritis, specific issues persist and require regular updates for optimised management. The identification of distinct clinical scenarios, proper testing and adoption of effective strategies for prevention of gastric cancer and other complications are addressed. H. pylori treatment is challenged by the continuously rising antibiotic resistance and demands for susceptibility testing with consideration of novel molecular technologies and careful selection of first line and rescue therapies. The role of H. pylori and antibiotic therapies and their impact on the gut microbiota are also considered. Progress made in the management of H. pylori infection is covered in the present sixth edition of the Maastricht/ Florence 2021 Consensus Report, key aspects related to the clinical role of H. pylori infection were re-evaluated and updated. Forty-one experts from 29 countries representing a global community, examined the new data related to H. pylori infection in five working groups: (1) indications/associations, (2) diagnosis, (3) treatment, (4) prevention/gastric cancer and (5) H. pylori and the gut microbiota. The results of the individual working groups were presented for a final consensus voting that included all participants. Recommendations are provided on the basis of the best available evidence and relevance to the management of H. pylori infection in various clinical fields.&quot;,&quot;publisher&quot;:&quot;BMJ Publishing Group&quot;,&quot;issue&quot;:&quot;9&quot;,&quot;volume&quot;:&quot;71&quot;},&quot;isTemporary&quot;:false},{&quot;id&quot;:&quot;3e0fbb53-f2ca-369e-a3ad-6577a881df98&quot;,&quot;itemData&quot;:{&quot;type&quot;:&quot;article-journal&quot;,&quot;id&quot;:&quot;3e0fbb53-f2ca-369e-a3ad-6577a881df98&quot;,&quot;title&quot;:&quot;Chronic atrophic gastritis: Natural history, diagnosis and therapeutic management. A position paper by the Italian Society of Hospital Gastroenterologists and Digestive Endoscopists [AIGO], the Italian Society of Digestive Endoscopy [SIED], the Italian Society of Gastroenterology [SIGE], and the Italian Society of Internal Medicine [SIMI]&quot;,&quot;author&quot;:[{&quot;family&quot;:&quot;Lahner&quot;,&quot;given&quot;:&quot;Edith&quot;,&quot;parse-names&quot;:false,&quot;dropping-particle&quot;:&quot;&quot;,&quot;non-dropping-particle&quot;:&quot;&quot;},{&quot;family&quot;:&quot;Zagari&quot;,&quot;given&quot;:&quot;Rocco Maurizio&quot;,&quot;parse-names&quot;:false,&quot;dropping-particle&quot;:&quot;&quot;,&quot;non-dropping-particle&quot;:&quot;&quot;},{&quot;family&quot;:&quot;Zullo&quot;,&quot;given&quot;:&quot;Angelo&quot;,&quot;parse-names&quot;:false,&quot;dropping-particle&quot;:&quot;&quot;,&quot;non-dropping-particle&quot;:&quot;&quot;},{&quot;family&quot;:&quot;Sabatino&quot;,&quot;given&quot;:&quot;Antonio&quot;,&quot;parse-names&quot;:false,&quot;dropping-particle&quot;:&quot;&quot;,&quot;non-dropping-particle&quot;:&quot;Di&quot;},{&quot;family&quot;:&quot;Meggio&quot;,&quot;given&quot;:&quot;Alberto&quot;,&quot;parse-names&quot;:false,&quot;dropping-particle&quot;:&quot;&quot;,&quot;non-dropping-particle&quot;:&quot;&quot;},{&quot;family&quot;:&quot;Cesaro&quot;,&quot;given&quot;:&quot;Paola&quot;,&quot;parse-names&quot;:false,&quot;dropping-particle&quot;:&quot;&quot;,&quot;non-dropping-particle&quot;:&quot;&quot;},{&quot;family&quot;:&quot;Lenti&quot;,&quot;given&quot;:&quot;Marco Vincenzo&quot;,&quot;parse-names&quot;:false,&quot;dropping-particle&quot;:&quot;&quot;,&quot;non-dropping-particle&quot;:&quot;&quot;},{&quot;family&quot;:&quot;Annibale&quot;,&quot;given&quot;:&quot;Bruno&quot;,&quot;parse-names&quot;:false,&quot;dropping-particle&quot;:&quot;&quot;,&quot;non-dropping-particle&quot;:&quot;&quot;},{&quot;family&quot;:&quot;Corazza&quot;,&quot;given&quot;:&quot;Gino Roberto&quot;,&quot;parse-names&quot;:false,&quot;dropping-particle&quot;:&quot;&quot;,&quot;non-dropping-particle&quot;:&quot;&quot;}],&quot;container-title&quot;:&quot;Digestive and Liver Disease&quot;,&quot;DOI&quot;:&quot;10.1016/j.dld.2019.09.016&quot;,&quot;ISSN&quot;:&quot;18783562&quot;,&quot;PMID&quot;:&quot;31635944&quot;,&quot;issued&quot;:{&quot;date-parts&quot;:[[2019,12,1]]},&quot;page&quot;:&quot;1621-1632&quot;,&quot;abstract&quot;:&quot;Chronic atrophic gastritis (CAG) is an underdiagnosed condition characterised by translational features going beyond the strict field of gastroenterology as it may manifest itself by a variable spectrum of gastric and extra-gastric symptoms and signs. It is relatively common among older adults in different parts of the world, but large variations exist. Helicobacter pylori-related CAG [multifocal] and autoimmune CAG (corpus-restricted) are apparently two different diseases, but they display overlapping features. Patients with cobalamin and/or iron deficiency anaemia or autoimmune disorders, including autoimmune thyroiditis and type 1 diabetes mellitus, should be offered screening for CAG. Pepsinogens, gastrin-17, and anti-H. pylori antibodies serum assays seem to be reliable non-invasive screening tools for the presence of CAG, helpful to identify individuals to refer to gastroscopy with five standard gastric biopsies in order to obtain histological confirmation of diagnosis. Patients with CAG are at increased risk of developing gastric cancer, and they should be estimated with histological staging systems (OLGA or OLGIM). H. pylori eradication may be beneficial by modifying the natural history of atrophy, but not that of intestinal metaplasia. Patients with advanced stages of CAG (Stage III/IV OLGA or OLGIM) should undergo endoscopic surveillance every three years, those with autoimmune CAG every three-five years. In patients with CAG, a screening for autoimmune thyroid disease and micronutrient deficiencies, including iron and vitamin B12, should be performed. The optimal treatment for dyspeptic symptoms in patients with CAG remains to be defined. Proton pump inhibitors are not indicated in hypochlorhydric CAG patients.&quot;,&quot;publisher&quot;:&quot;Elsevier B.V.&quot;,&quot;issue&quot;:&quot;12&quot;,&quot;volume&quot;:&quot;51&quot;,&quot;container-title-short&quot;:&quot;&quot;},&quot;isTemporary&quot;:false}]},{&quot;citationID&quot;:&quot;MENDELEY_CITATION_caf7423a-af0a-476c-ab6c-444be3b57da1&quot;,&quot;properties&quot;:{&quot;noteIndex&quot;:0},&quot;isEdited&quot;:false,&quot;manualOverride&quot;:{&quot;isManuallyOverridden&quot;:false,&quot;citeprocText&quot;:&quot;[3]&quot;,&quot;manualOverrideText&quot;:&quot;&quot;},&quot;citationTag&quot;:&quot;MENDELEY_CITATION_v3_eyJjaXRhdGlvbklEIjoiTUVOREVMRVlfQ0lUQVRJT05fY2FmNzQyM2EtYWYwYS00NzZjLWFiNmMtNDQ0YmUzYjU3ZGExIiwicHJvcGVydGllcyI6eyJub3RlSW5kZXgiOjB9LCJpc0VkaXRlZCI6ZmFsc2UsIm1hbnVhbE92ZXJyaWRlIjp7ImlzTWFudWFsbHlPdmVycmlkZGVuIjpmYWxzZSwiY2l0ZXByb2NUZXh0IjoiWzNdIiwibWFudWFsT3ZlcnJpZGVUZXh0IjoiIn0sImNpdGF0aW9uSXRlbXMiOlt7ImlkIjoiOWU3NjAxNjUtYzA3YS0zZTk0LTlkZDktMDY5NWIyMDZjYTYxIiwiaXRlbURhdGEiOnsidHlwZSI6ImFydGljbGUtam91cm5hbCIsImlkIjoiOWU3NjAxNjUtYzA3YS0zZTk0LTlkZDktMDY5NWIyMDZjYTYxIiwidGl0bGUiOiJHYXN0cml0aXMgc3RhZ2luZyBpbiBjbGluaWNhbCBwcmFjdGljZTogVGhlIE9MR0Egc3RhZ2luZyBzeXN0ZW0iLCJhdXRob3IiOlt7ImZhbWlseSI6IlJ1Z2dlIiwiZ2l2ZW4iOiJNYXNzaW1vIiwicGFyc2UtbmFtZXMiOmZhbHNlLCJkcm9wcGluZy1wYXJ0aWNsZSI6IiIsIm5vbi1kcm9wcGluZy1wYXJ0aWNsZSI6IiJ9LHsiZmFtaWx5IjoiTWVnZ2lvIiwiZ2l2ZW4iOiJBbGJlcnRvIiwicGFyc2UtbmFtZXMiOmZhbHNlLCJkcm9wcGluZy1wYXJ0aWNsZSI6IiIsIm5vbi1kcm9wcGluZy1wYXJ0aWNsZSI6IiJ9LHsiZmFtaWx5IjoiUGVubmVsbGkiLCJnaXZlbiI6IkdpYW5tYXJpYSIsInBhcnNlLW5hbWVzIjpmYWxzZSwiZHJvcHBpbmctcGFydGljbGUiOiIiLCJub24tZHJvcHBpbmctcGFydGljbGUiOiIifSx7ImZhbWlseSI6IlBpc2Npb2xpIiwiZ2l2ZW4iOiJGcmFuY2VzY28iLCJwYXJzZS1uYW1lcyI6ZmFsc2UsImRyb3BwaW5nLXBhcnRpY2xlIjoiIiwibm9uLWRyb3BwaW5nLXBhcnRpY2xlIjoiIn0seyJmYW1pbHkiOiJHaWFjb21lbGxpIiwiZ2l2ZW4iOiJMdWNpYW5vIiwicGFyc2UtbmFtZXMiOmZhbHNlLCJkcm9wcGluZy1wYXJ0aWNsZSI6IiIsIm5vbi1kcm9wcGluZy1wYXJ0aWNsZSI6IiJ9LHsiZmFtaWx5IjoiUHJldGlzIiwiZ2l2ZW4iOiJHaW92YW5uaSIsInBhcnNlLW5hbWVzIjpmYWxzZSwiZHJvcHBpbmctcGFydGljbGUiOiIiLCJub24tZHJvcHBpbmctcGFydGljbGUiOiJEZSJ9LHsiZmFtaWx5IjoiR3JhaGFtIiwiZ2l2ZW4iOiJEYXZpZCBZLiIsInBhcnNlLW5hbWVzIjpmYWxzZSwiZHJvcHBpbmctcGFydGljbGUiOiIiLCJub24tZHJvcHBpbmctcGFydGljbGUiOiIifV0sImNvbnRhaW5lci10aXRsZSI6Ikd1dCIsImNvbnRhaW5lci10aXRsZS1zaG9ydCI6Ikd1dCIsIkRPSSI6IjEwLjExMzYvZ3V0LjIwMDYuMTA2NjY2IiwiSVNTTiI6IjAwMTc1NzQ5IiwiUE1JRCI6IjE3MTQyNjQ3IiwiaXNzdWVkIjp7ImRhdGUtcGFydHMiOltbMjAwNyw1XV19LCJwYWdlIjoiNjMxLTYzNiIsImFic3RyYWN0IjoiQmFja2dyb3VuZDogVGhlIGF2YWlsYWJsZSBjbGFzc2lmaWNhdGlvbnMgb2YgZ2FzdHJpdGlzIGFyZSBpbmNvbnNpc3RlbnRseSB1c2VkLCBwb3NzaWJseSBiZWNhdXNlIG5vbmUgcHJvdmlkZXMgaW1tZWRpYXRlIHByb2dub3N0aWMvdGhlcmFwZXV0aWMgaW5mb3JtYXRpb24gdG8gY2xpbmljaWFucy4gQXMgaGlzdG9sb2d5IHJlcG9ydGluZyBvZiBoZXBhdGl0aXMgaW4gdGVybXMgb2Ygc3RhZ2UgaXMgY2xpbmljYWxseSB1c2VmdWwgYW5kIHdpZGVseSBhY2NlcHRlZCwgYW4gaW50ZXJuYXRpb25hbCBncm91cCAoT3BlcmF0aXZlIExpbmsgb24gR2FzdHJpdGlzIEFzc2Vzc21lbnQgKE9MR0EpKSBwcm9wb3NlZCBhbiBlcXVpdmFsZW50IHN0YWdpbmcgc3lzdGVtIGZvciByZXBvcnRpbmcgZ2FzdHJpYyBoaXN0b2xvZ3kuIEdhc3RyaXRpcyBzdGFnaW5nIGludGVncmF0ZXMgdGhlIGF0cm9waHkgc2NvcmUgKG9idGFpbmVkIGJ5IGJpb3BzeSkgYW5kIHRoZSBhdHJvcGh5IHRvcG9ncmFwaHkgKGFjaGlldmVkIHRocm91Z2ggZGlyZWN0ZWQgYmlvcHN5IG1hcHBpbmcpLiBBaW06IFRvIHRlc3QgaW4gYSBwcm9zcGVjdGl2ZSBjcm9zcy1zZWN0aW9uYWwgc3R1ZHkgd2hldGhlciBPTEdBIHN0YWdpbmcgY29uc2lzdGVudGx5IHN0cmF0aWZpZWQgcGF0aWVudHMgYWNjb3JkaW5nIHRvIHRoZWlyIGNhbmNlciByaXNrIGFuZCBwcm92aWRlZCBjbGVhciBwcm9nbm9zdGljL3RoZXJhcGV1dGljIGluZm9ybWF0aW9uLiBNZXRob2RzOiBPTEdBIHN0YWdpbmcgZm9yIGdhc3RyaWMgY2FuY2VyIHJpc2sgKDAtSVYpIGFuZCBnYXN0cml0aXMgZ3JhZGluZyAob3ZlcmFsbCBzY29yZSBvZiB0aGUgaW5mbGFtbWF0b3J5IGluZmlsdHJhdGUsIGdyYWRlIDEtNCkgd2VyZSBhcHBsaWVkIGluIDQzOSBwcm9zcGVjdGl2ZWx5IGVucm9sbGVkLCBjb25zZWN1dGl2ZSwgZHlzcGVwdGljIG91dHBhdGllbnRzIHdobyB1bmRlcndlbnQgZW5kb3Njb3B5IHdpdGggc3RhbmRhcmRpc2VkIGJpb3BzeSBzYW1wbGluZy4gSW5jaWRlbnRhbCBuZW9wbGFzdGljIGxlc2lvbnMgYW5kIGNvZXhpc3RpbmcgcGVwdGljIHVsY2VycyB3ZXJlIHJlY29yZGVkLiBSZXN1bHRzIHdlcmUgcHJlc2VudGVkIGFzIHN0YWdlIChpbmNsdWRpbmcgYW50cmFsIChBKSBhbmQgY29ycHVzIChDKSBhdHJvcGh5IHNjb3JlcykgYW5kIEggcHlsb3JpIHN0YXR1cyAoZWcsIEEgPSAzOyBDID0gMjogc3RhZ2UgSVY7IEhwK3ZlKS4gUmVzdWx0czogQmVuaWduIGNvbmRpdGlvbnMgKGluY2x1ZGluZyBkdW9kZW5hbCB1bGNlcnM7IHA8MC4wMDEpIGNvbnNpc3RlbnRseSBjbHVzdGVyZWQgaW4gc3RhZ2VzIDAtSUksIHdoZXJlYXMgYWxsIG5lb3BsYXN0aWMgKGludmFzaXZlIGFuZCBub24taW52YXNpdmUpIGxlc2lvbnMgY2x1c3RlcmVkIGluIHN0YWdlcyBJSUktSVYgKHA8MC4wMDEpLiBDb25jbHVzaW9uczogR2FzdHJpdGlzIHN0YWdpbmcsIGNvbWJpbmVkIHdpdGggSCBweWxvcmkgc3RhdHVzLCBwcm92aWRlZCBjbGluaWNhbGx5IHJlbGV2YW50IGluZm9ybWF0aW9uIG9uIHRoZSBvdmVyYWxsIHN0YXR1cyBvZiB0aGUgZ2FzdHJpYyBtdWNvc2Egd2l0aCBpbXBsaWNhdGlvbnMgZm9yIHByb2dub3NpcywgdGhlcmFweSBhbmQgbWFuYWdlbWVudC4iLCJpc3N1ZSI6IjUiLCJ2b2x1bWUiOiI1NiJ9LCJpc1RlbXBvcmFyeSI6ZmFsc2V9XX0=&quot;,&quot;citationItems&quot;:[{&quot;id&quot;:&quot;9e760165-c07a-3e94-9dd9-0695b206ca61&quot;,&quot;itemData&quot;:{&quot;type&quot;:&quot;article-journal&quot;,&quot;id&quot;:&quot;9e760165-c07a-3e94-9dd9-0695b206ca61&quot;,&quot;title&quot;:&quot;Gastritis staging in clinical practice: The OLGA staging system&quot;,&quot;author&quot;:[{&quot;family&quot;:&quot;Rugge&quot;,&quot;given&quot;:&quot;Massimo&quot;,&quot;parse-names&quot;:false,&quot;dropping-particle&quot;:&quot;&quot;,&quot;non-dropping-particle&quot;:&quot;&quot;},{&quot;family&quot;:&quot;Meggio&quot;,&quot;given&quot;:&quot;Alberto&quot;,&quot;parse-names&quot;:false,&quot;dropping-particle&quot;:&quot;&quot;,&quot;non-dropping-particle&quot;:&quot;&quot;},{&quot;family&quot;:&quot;Pennelli&quot;,&quot;given&quot;:&quot;Gianmaria&quot;,&quot;parse-names&quot;:false,&quot;dropping-particle&quot;:&quot;&quot;,&quot;non-dropping-particle&quot;:&quot;&quot;},{&quot;family&quot;:&quot;Piscioli&quot;,&quot;given&quot;:&quot;Francesco&quot;,&quot;parse-names&quot;:false,&quot;dropping-particle&quot;:&quot;&quot;,&quot;non-dropping-particle&quot;:&quot;&quot;},{&quot;family&quot;:&quot;Giacomelli&quot;,&quot;given&quot;:&quot;Luciano&quot;,&quot;parse-names&quot;:false,&quot;dropping-particle&quot;:&quot;&quot;,&quot;non-dropping-particle&quot;:&quot;&quot;},{&quot;family&quot;:&quot;Pretis&quot;,&quot;given&quot;:&quot;Giovanni&quot;,&quot;parse-names&quot;:false,&quot;dropping-particle&quot;:&quot;&quot;,&quot;non-dropping-particle&quot;:&quot;De&quot;},{&quot;family&quot;:&quot;Graham&quot;,&quot;given&quot;:&quot;David Y.&quot;,&quot;parse-names&quot;:false,&quot;dropping-particle&quot;:&quot;&quot;,&quot;non-dropping-particle&quot;:&quot;&quot;}],&quot;container-title&quot;:&quot;Gut&quot;,&quot;container-title-short&quot;:&quot;Gut&quot;,&quot;DOI&quot;:&quot;10.1136/gut.2006.106666&quot;,&quot;ISSN&quot;:&quot;00175749&quot;,&quot;PMID&quot;:&quot;17142647&quot;,&quot;issued&quot;:{&quot;date-parts&quot;:[[2007,5]]},&quot;page&quot;:&quot;631-636&quot;,&quot;abstract&quot;:&quot;Background: The available classifications of gastritis are inconsistently used, possibly because none provides immediate prognostic/therapeutic information to clinicians. As histology reporting of hepatitis in terms of stage is clinically useful and widely accepted, an international group (Operative Link on Gastritis Assessment (OLGA)) proposed an equivalent staging system for reporting gastric histology. Gastritis staging integrates the atrophy score (obtained by biopsy) and the atrophy topography (achieved through directed biopsy mapping). Aim: To test in a prospective cross-sectional study whether OLGA staging consistently stratified patients according to their cancer risk and provided clear prognostic/therapeutic information. Methods: OLGA staging for gastric cancer risk (0-IV) and gastritis grading (overall score of the inflammatory infiltrate, grade 1-4) were applied in 439 prospectively enrolled, consecutive, dyspeptic outpatients who underwent endoscopy with standardised biopsy sampling. Incidental neoplastic lesions and coexisting peptic ulcers were recorded. Results were presented as stage (including antral (A) and corpus (C) atrophy scores) and H pylori status (eg, A = 3; C = 2: stage IV; Hp+ve). Results: Benign conditions (including duodenal ulcers; p&lt;0.001) consistently clustered in stages 0-II, whereas all neoplastic (invasive and non-invasive) lesions clustered in stages III-IV (p&lt;0.001). Conclusions: Gastritis staging, combined with H pylori status, provided clinically relevant information on the overall status of the gastric mucosa with implications for prognosis, therapy and management.&quot;,&quot;issue&quot;:&quot;5&quot;,&quot;volume&quot;:&quot;56&quot;},&quot;isTemporary&quot;:false}]},{&quot;citationID&quot;:&quot;MENDELEY_CITATION_070a31d4-a10b-4680-85a7-8c3979385aac&quot;,&quot;properties&quot;:{&quot;noteIndex&quot;:0},&quot;isEdited&quot;:false,&quot;manualOverride&quot;:{&quot;isManuallyOverridden&quot;:false,&quot;citeprocText&quot;:&quot;[4]&quot;,&quot;manualOverrideText&quot;:&quot;&quot;},&quot;citationTag&quot;:&quot;MENDELEY_CITATION_v3_eyJjaXRhdGlvbklEIjoiTUVOREVMRVlfQ0lUQVRJT05fMDcwYTMxZDQtYTEwYi00NjgwLTg1YTctOGMzOTc5Mzg1YWFjIiwicHJvcGVydGllcyI6eyJub3RlSW5kZXgiOjB9LCJpc0VkaXRlZCI6ZmFsc2UsIm1hbnVhbE92ZXJyaWRlIjp7ImlzTWFudWFsbHlPdmVycmlkZGVuIjpmYWxzZSwiY2l0ZXByb2NUZXh0IjoiWzRdIiwibWFudWFsT3ZlcnJpZGVUZXh0IjoiIn0sImNpdGF0aW9uSXRlbXMiOlt7ImlkIjoiODVjNDQ3ODktMzE5MC0zNGRhLThkYzgtZjNiNTBiNWUxY2JkIiwiaXRlbURhdGEiOnsidHlwZSI6ImFydGljbGUtam91cm5hbCIsImlkIjoiODVjNDQ3ODktMzE5MC0zNGRhLThkYzgtZjNiNTBiNWUxY2JkIiwidGl0bGUiOiJUaGUgc3RhZ2luZyBvZiBnYXN0cml0aXMgd2l0aCB0aGUgT0xHQSBzeXN0ZW0gYnkgdXNpbmcgaW50ZXN0aW5hbCBtZXRhcGxhc2lhIGFzIGFuIGFjY3VyYXRlIGFsdGVybmF0aXZlIGZvciBhdHJvcGhpYyBnYXN0cml0aXMiLCJhdXRob3IiOlt7ImZhbWlseSI6IkNhcGVsbGUiLCJnaXZlbiI6Ikxpc2V0dGUgRy4iLCJwYXJzZS1uYW1lcyI6ZmFsc2UsImRyb3BwaW5nLXBhcnRpY2xlIjoiIiwibm9uLWRyb3BwaW5nLXBhcnRpY2xlIjoiIn0seyJmYW1pbHkiOiJWcmllcyIsImdpdmVuIjoiQW5uZW1hcmllIEMuIiwicGFyc2UtbmFtZXMiOmZhbHNlLCJkcm9wcGluZy1wYXJ0aWNsZSI6IiIsIm5vbi1kcm9wcGluZy1wYXJ0aWNsZSI6ImRlIn0seyJmYW1pbHkiOiJIYXJpbmdzbWEiLCJnaXZlbiI6IkplbGxlIiwicGFyc2UtbmFtZXMiOmZhbHNlLCJkcm9wcGluZy1wYXJ0aWNsZSI6IiIsIm5vbi1kcm9wcGluZy1wYXJ0aWNsZSI6IiJ9LHsiZmFtaWx5IjoiQm9yZyIsImdpdmVuIjoiRnJhbmsiLCJwYXJzZS1uYW1lcyI6ZmFsc2UsImRyb3BwaW5nLXBhcnRpY2xlIjoiIiwibm9uLWRyb3BwaW5nLXBhcnRpY2xlIjoiVGVyIn0seyJmYW1pbHkiOiJWcmllcyIsImdpdmVuIjoiUmljaGFyZCBBLiIsInBhcnNlLW5hbWVzIjpmYWxzZSwiZHJvcHBpbmctcGFydGljbGUiOiIiLCJub24tZHJvcHBpbmctcGFydGljbGUiOiJkZSJ9LHsiZmFtaWx5IjoiQnJ1bm8iLCJnaXZlbiI6Ik1hcmNvIEouIiwicGFyc2UtbmFtZXMiOmZhbHNlLCJkcm9wcGluZy1wYXJ0aWNsZSI6IiIsIm5vbi1kcm9wcGluZy1wYXJ0aWNsZSI6IiJ9LHsiZmFtaWx5IjoiRGVra2VuIiwiZ2l2ZW4iOiJIZXJtYW4iLCJwYXJzZS1uYW1lcyI6ZmFsc2UsImRyb3BwaW5nLXBhcnRpY2xlIjoiIiwibm9uLWRyb3BwaW5nLXBhcnRpY2xlIjoidmFuIn0seyJmYW1pbHkiOiJNZWlqZXIiLCJnaXZlbiI6IkpvcyIsInBhcnNlLW5hbWVzIjpmYWxzZSwiZHJvcHBpbmctcGFydGljbGUiOiIiLCJub24tZHJvcHBpbmctcGFydGljbGUiOiIifSx7ImZhbWlseSI6IkdyaWVrZW4iLCJnaXZlbiI6Ik5pY29sZSBDLlQuIiwicGFyc2UtbmFtZXMiOmZhbHNlLCJkcm9wcGluZy1wYXJ0aWNsZSI6IiIsIm5vbi1kcm9wcGluZy1wYXJ0aWNsZSI6InZhbiJ9LHsiZmFtaWx5IjoiS3VpcGVycyIsImdpdmVuIjoiRXJuc3QgSi4iLCJwYXJzZS1uYW1lcyI6ZmFsc2UsImRyb3BwaW5nLXBhcnRpY2xlIjoiIiwibm9uLWRyb3BwaW5nLXBhcnRpY2xlIjoiIn1dLCJjb250YWluZXItdGl0bGUiOiJHYXN0cm9pbnRlc3RpbmFsIEVuZG9zY29weSIsImNvbnRhaW5lci10aXRsZS1zaG9ydCI6Ikdhc3Ryb2ludGVzdC4gRW5kb3NjLiIsIkRPSSI6IjEwLjEwMTYvai5naWUuMjAwOS4xMi4wMjkiLCJJU1NOIjoiMDAxNjUxMDciLCJQTUlEIjoiMjAzODE4MDEiLCJpc3N1ZWQiOnsiZGF0ZS1wYXJ0cyI6W1syMDEwLDZdXX0sInBhZ2UiOiIxMTUwLTExNTgiLCJhYnN0cmFjdCI6IkJhY2tncm91bmQ6IFRoZSBPTEdBIChvcGVyYXRpdmUgbGluayBvbiBnYXN0cml0aXMgYXNzZXNzbWVudCkgc3RhZ2luZyBzeXN0ZW0gaXMgYmFzZWQgb24gc2V2ZXJpdHkgb2YgYXRyb3BoaWMgZ2FzdHJpdGlzIChBRykuIEFHIHJlbWFpbnMgYSBkaWZmaWN1bHQgaGlzdG9wYXRob2xvZ2ljIGRpYWdub3NpcyB3aXRoIGxvdyBpbnRlcm9ic2VydmVyIGFncmVlbWVudCwgd2hlcmVhcyBpbnRlc3RpbmFsIG1ldGFwbGFzaWEgKElNKSBpcyBhc3NvY2lhdGVkIHdpdGggaGlnaCBpbnRlcm9ic2VydmVyIGFncmVlbWVudC4gT2JqZWN0aXZlOiBUaGUgYWltIG9mIHRoaXMgc3R1ZHkgd2FzIHRvIGV2YWx1YXRlIHdoZXRoZXIgYSBzdGFnaW5nIHN5c3RlbSBiYXNlZCBvbiBJTSBpcyBwcmVmZXJhYmxlIHRvIGVzdGltYXRlIGdhc3RyaWMgY2FuY2VyIHJpc2suIERlc2lnbiBhbmQgU2V0dGluZzogUHJvc3BlY3RpdmUgbXVsdGljZW50ZXIgc3R1ZHkuIFBhdGllbnRzOiBBIHRvdGFsIG9mIDEyNSBwYXRpZW50cyBwcmV2aW91c2x5IGRpYWdub3NlZCB3aXRoIGdhc3RyaWMgSU0gb3IgZHlzcGxhc2lhLiBJbnRlcnZlbnRpb25zOiBTdXJ2ZWlsbGFuY2UgZW5kb3Njb3B5IHdpdGggZXh0ZW5zaXZlIGJpb3BzeSBzYW1wbGluZy4gTWFpbiBPdXRjb21lIE1lYXN1cmVtZW50czogVGhyZWUgcGF0aG9sb2dpc3RzIGdyYWRlZCBiaW9wc3kgc3BlY2ltZW5zIGFjY29yZGluZyB0byB0aGUgU3lkbmV5IGNsYXNzaWZpY2F0aW9uLiBJbnRlcm9ic2VydmVyIGFncmVlbWVudCB3YXMgYW5hbHl6ZWQgYnkga2FwcGEgc3RhdGlzdGljcy4gSW4gdGhlIE9MR0EsIEFHIHdhcyByZXBsYWNlZCBieSBJTSwgY3JlYXRpbmcgdGhlIE9MR0lNLiBSZXN1bHRzOiBJbnRlcm9ic2VydmVyIGFncmVlbWVudCB3YXMgZmFpciBmb3IgZHlzcGxhc2lhICjOuiA9IDAuNCksIHN1YnN0YW50aWFsIGZvciBBRyAozrogPSAwLjYpLCBhbG1vc3QgcGVyZmVjdCBmb3IgSU0gKM66ID0gMC45KSwgYW5kIGltcHJvdmVkIGZvciBhbGwgc3RhZ2VzIG9mIE9MR0lNIGNvbXBhcmVkIHdpdGggT0xHQS4gT3ZlcmFsbCwgODQgKDY3JSkgYW5kIDc5ICg2MyUpIHBhdGllbnRzIHdlcmUgY2xhc3NpZmllZCBhcyBzdGFnZSBJLUlWIGFjY29yZGluZyB0byBPTEdBIGFuZCBPTEdJTSwgcmVzcGVjdGl2ZWx5LiBPZiB0aGUgZHlzcGxhc2lhIHBhdGllbnRzLCA1ICg3MSUpIGFuZCA2ICg4NiUpIGNsdXN0ZXJlZCBpbiBzdGFnZSBJSUktSVYgb2YgT0xHQSBhbmQgT0xHSU0sIHJlc3BlY3RpdmVseS4gTGltaXRhdGlvbjogUHJvc3BlY3RpdmUgc3R1ZGllcyBzaG91bGQgY29uZmlybSB0aGUgY29ycmVsYXRpb24gYmV0d2VlbiBnYXN0cmljIGNhbmNlciByaXNrIGFuZCBPTEdJTSBzdGFnZXMuIENvbmNsdXNpb246IFJlcGxhY2VtZW50IG9mIEFHIGJ5IElNIGluIHRoZSBzdGFnaW5nIG9mIGdhc3RyaXRpcyBjb25zaWRlcmFibHkgaW5jcmVhc2VzIGludGVyb2JzZXJ2ZXIgYWdyZWVtZW50LiBUaGUgY29ycmVsYXRpb24gd2l0aCB0aGUgc2V2ZXJpdHkgb2YgZ2FzdHJpdGlzIHJlbWFpbnMgYXQgbGVhc3QgYXMgc3Ryb25nLiBUaGVyZWZvcmUsIHRoZSBPTEdJTSBtYXkgYmUgcHJlZmVycmVkIG92ZXIgdGhlIE9MR0EgZm9yIHRoZSBwcmVkaWN0aW9uIG9mIGdhc3RyaWMgY2FuY2VyIHJpc2sgaW4gcGF0aWVudHMgd2l0aCBwcmVtYWxpZ25hbnQgbGVzaW9ucy4gwqkgMjAxMCBBbWVyaWNhbiBTb2NpZXR5IGZvciBHYXN0cm9pbnRlc3RpbmFsIEVuZG9zY29weS4iLCJpc3N1ZSI6IjciLCJ2b2x1bWUiOiI3MSJ9LCJpc1RlbXBvcmFyeSI6ZmFsc2V9XX0=&quot;,&quot;citationItems&quot;:[{&quot;id&quot;:&quot;85c44789-3190-34da-8dc8-f3b50b5e1cbd&quot;,&quot;itemData&quot;:{&quot;type&quot;:&quot;article-journal&quot;,&quot;id&quot;:&quot;85c44789-3190-34da-8dc8-f3b50b5e1cbd&quot;,&quot;title&quot;:&quot;The staging of gastritis with the OLGA system by using intestinal metaplasia as an accurate alternative for atrophic gastritis&quot;,&quot;author&quot;:[{&quot;family&quot;:&quot;Capelle&quot;,&quot;given&quot;:&quot;Lisette G.&quot;,&quot;parse-names&quot;:false,&quot;dropping-particle&quot;:&quot;&quot;,&quot;non-dropping-particle&quot;:&quot;&quot;},{&quot;family&quot;:&quot;Vries&quot;,&quot;given&quot;:&quot;Annemarie C.&quot;,&quot;parse-names&quot;:false,&quot;dropping-particle&quot;:&quot;&quot;,&quot;non-dropping-particle&quot;:&quot;de&quot;},{&quot;family&quot;:&quot;Haringsma&quot;,&quot;given&quot;:&quot;Jelle&quot;,&quot;parse-names&quot;:false,&quot;dropping-particle&quot;:&quot;&quot;,&quot;non-dropping-particle&quot;:&quot;&quot;},{&quot;family&quot;:&quot;Borg&quot;,&quot;given&quot;:&quot;Frank&quot;,&quot;parse-names&quot;:false,&quot;dropping-particle&quot;:&quot;&quot;,&quot;non-dropping-particle&quot;:&quot;Ter&quot;},{&quot;family&quot;:&quot;Vries&quot;,&quot;given&quot;:&quot;Richard A.&quot;,&quot;parse-names&quot;:false,&quot;dropping-particle&quot;:&quot;&quot;,&quot;non-dropping-particle&quot;:&quot;de&quot;},{&quot;family&quot;:&quot;Bruno&quot;,&quot;given&quot;:&quot;Marco J.&quot;,&quot;parse-names&quot;:false,&quot;dropping-particle&quot;:&quot;&quot;,&quot;non-dropping-particle&quot;:&quot;&quot;},{&quot;family&quot;:&quot;Dekken&quot;,&quot;given&quot;:&quot;Herman&quot;,&quot;parse-names&quot;:false,&quot;dropping-particle&quot;:&quot;&quot;,&quot;non-dropping-particle&quot;:&quot;van&quot;},{&quot;family&quot;:&quot;Meijer&quot;,&quot;given&quot;:&quot;Jos&quot;,&quot;parse-names&quot;:false,&quot;dropping-particle&quot;:&quot;&quot;,&quot;non-dropping-particle&quot;:&quot;&quot;},{&quot;family&quot;:&quot;Grieken&quot;,&quot;given&quot;:&quot;Nicole C.T.&quot;,&quot;parse-names&quot;:false,&quot;dropping-particle&quot;:&quot;&quot;,&quot;non-dropping-particle&quot;:&quot;van&quot;},{&quot;family&quot;:&quot;Kuipers&quot;,&quot;given&quot;:&quot;Ernst J.&quot;,&quot;parse-names&quot;:false,&quot;dropping-particle&quot;:&quot;&quot;,&quot;non-dropping-particle&quot;:&quot;&quot;}],&quot;container-title&quot;:&quot;Gastrointestinal Endoscopy&quot;,&quot;container-title-short&quot;:&quot;Gastrointest. Endosc.&quot;,&quot;DOI&quot;:&quot;10.1016/j.gie.2009.12.029&quot;,&quot;ISSN&quot;:&quot;00165107&quot;,&quot;PMID&quot;:&quot;20381801&quot;,&quot;issued&quot;:{&quot;date-parts&quot;:[[2010,6]]},&quot;page&quot;:&quot;1150-1158&quot;,&quot;abstract&quot;:&quot;Background: The OLGA (operative link on gastritis assessment) staging system is based on severity of atrophic gastritis (AG). AG remains a difficult histopathologic diagnosis with low interobserver agreement, whereas intestinal metaplasia (IM) is associated with high interobserver agreement. Objective: The aim of this study was to evaluate whether a staging system based on IM is preferable to estimate gastric cancer risk. Design and Setting: Prospective multicenter study. Patients: A total of 125 patients previously diagnosed with gastric IM or dysplasia. Interventions: Surveillance endoscopy with extensive biopsy sampling. Main Outcome Measurements: Three pathologists graded biopsy specimens according to the Sydney classification. Interobserver agreement was analyzed by kappa statistics. In the OLGA, AG was replaced by IM, creating the OLGIM. Results: Interobserver agreement was fair for dysplasia (κ = 0.4), substantial for AG (κ = 0.6), almost perfect for IM (κ = 0.9), and improved for all stages of OLGIM compared with OLGA. Overall, 84 (67%) and 79 (63%) patients were classified as stage I-IV according to OLGA and OLGIM, respectively. Of the dysplasia patients, 5 (71%) and 6 (86%) clustered in stage III-IV of OLGA and OLGIM, respectively. Limitation: Prospective studies should confirm the correlation between gastric cancer risk and OLGIM stages. Conclusion: Replacement of AG by IM in the staging of gastritis considerably increases interobserver agreement. The correlation with the severity of gastritis remains at least as strong. Therefore, the OLGIM may be preferred over the OLGA for the prediction of gastric cancer risk in patients with premalignant lesions. © 2010 American Society for Gastrointestinal Endoscopy.&quot;,&quot;issue&quot;:&quot;7&quot;,&quot;volume&quot;:&quot;71&quot;},&quot;isTemporary&quot;:false}]},{&quot;citationID&quot;:&quot;MENDELEY_CITATION_9e1f6ece-ccbe-49c5-b591-bd5b4be74d85&quot;,&quot;properties&quot;:{&quot;noteIndex&quot;:0},&quot;isEdited&quot;:false,&quot;manualOverride&quot;:{&quot;isManuallyOverridden&quot;:false,&quot;citeprocText&quot;:&quot;[8,9]&quot;,&quot;manualOverrideText&quot;:&quot;&quot;},&quot;citationTag&quot;:&quot;MENDELEY_CITATION_v3_eyJjaXRhdGlvbklEIjoiTUVOREVMRVlfQ0lUQVRJT05fOWUxZjZlY2UtY2NiZS00OWM1LWI1OTEtYmQ1YjRiZTc0ZDg1IiwicHJvcGVydGllcyI6eyJub3RlSW5kZXgiOjB9LCJpc0VkaXRlZCI6ZmFsc2UsIm1hbnVhbE92ZXJyaWRlIjp7ImlzTWFudWFsbHlPdmVycmlkZGVuIjpmYWxzZSwiY2l0ZXByb2NUZXh0IjoiWzgsOV0iLCJtYW51YWxPdmVycmlkZVRleHQiOiIifSwiY2l0YXRpb25JdGVtcyI6W3siaWQiOiI5MWFlYTcxZi05YTI3LTM4NTItYWJkNC1lZmVkZDlkYTMwZWIiLCJpdGVtRGF0YSI6eyJ0eXBlIjoiYXJ0aWNsZS1qb3VybmFsIiwiaWQiOiI5MWFlYTcxZi05YTI3LTM4NTItYWJkNC1lZmVkZDlkYTMwZWIiLCJ0aXRsZSI6IlVwZGF0ZWQgam9pbnQgRVNQR0hBTi9OQVNQR0hBTiBndWlkZWxpbmVzIGZvciBtYW5hZ2VtZW50IG9mIEhlbGljb2JhY3RlciBweWxvcmkgaW5mZWN0aW9uIGluIGNoaWxkcmVuIGFuZCBhZG9sZXNjZW50cyAoMjAyMykiLCJhdXRob3IiOlt7ImZhbWlseSI6IkhvbWFuIiwiZ2l2ZW4iOiJNYXRqYcW+IiwicGFyc2UtbmFtZXMiOmZhbHNlLCJkcm9wcGluZy1wYXJ0aWNsZSI6IiIsIm5vbi1kcm9wcGluZy1wYXJ0aWNsZSI6IiJ9LHsiZmFtaWx5IjoiSm9uZXMiLCJnaXZlbiI6Ik5pY29sYSBMLiIsInBhcnNlLW5hbWVzIjpmYWxzZSwiZHJvcHBpbmctcGFydGljbGUiOiIiLCJub24tZHJvcHBpbmctcGFydGljbGUiOiIifSx7ImZhbWlseSI6IkJvbnRlbXMiLCJnaXZlbiI6IlBhdHJpY2siLCJwYXJzZS1uYW1lcyI6ZmFsc2UsImRyb3BwaW5nLXBhcnRpY2xlIjoiIiwibm9uLWRyb3BwaW5nLXBhcnRpY2xlIjoiIn0seyJmYW1pbHkiOiJDYXJyb2xsIiwiZ2l2ZW4iOiJNYXR0aGV3IFcuIiwicGFyc2UtbmFtZXMiOmZhbHNlLCJkcm9wcGluZy1wYXJ0aWNsZSI6IiIsIm5vbi1kcm9wcGluZy1wYXJ0aWNsZSI6IiJ9LHsiZmFtaWx5IjoiQ3ppbm4iLCJnaXZlbiI6IlN0ZXZlbiBKLiIsInBhcnNlLW5hbWVzIjpmYWxzZSwiZHJvcHBpbmctcGFydGljbGUiOiIiLCJub24tZHJvcHBpbmctcGFydGljbGUiOiIifSx7ImZhbWlseSI6IkdvbGQiLCJnaXZlbiI6IkJlbmphbWluIEQuIiwicGFyc2UtbmFtZXMiOmZhbHNlLCJkcm9wcGluZy1wYXJ0aWNsZSI6IiIsIm5vbi1kcm9wcGluZy1wYXJ0aWNsZSI6IiJ9LHsiZmFtaWx5IjoiR29vZG1hbiIsImdpdmVuIjoiS2FyZW4iLCJwYXJzZS1uYW1lcyI6ZmFsc2UsImRyb3BwaW5nLXBhcnRpY2xlIjoiIiwibm9uLWRyb3BwaW5nLXBhcnRpY2xlIjoiIn0seyJmYW1pbHkiOiJIYXJyaXMiLCJnaXZlbiI6IlBhdWwgUi4iLCJwYXJzZS1uYW1lcyI6ZmFsc2UsImRyb3BwaW5nLXBhcnRpY2xlIjoiIiwibm9uLWRyb3BwaW5nLXBhcnRpY2xlIjoiIn0seyJmYW1pbHkiOiJKZXJyaXMiLCJnaXZlbiI6IlJvYmVydCIsInBhcnNlLW5hbWVzIjpmYWxzZSwiZHJvcHBpbmctcGFydGljbGUiOiIiLCJub24tZHJvcHBpbmctcGFydGljbGUiOiIifSx7ImZhbWlseSI6IkthbGFjaCIsImdpdmVuIjoiTmljb2xhcyIsInBhcnNlLW5hbWVzIjpmYWxzZSwiZHJvcHBpbmctcGFydGljbGUiOiIiLCJub24tZHJvcHBpbmctcGFydGljbGUiOiIifSx7ImZhbWlseSI6IktvcmkiLCJnaXZlbiI6Ik1pY2hhbCIsInBhcnNlLW5hbWVzIjpmYWxzZSwiZHJvcHBpbmctcGFydGljbGUiOiIiLCJub24tZHJvcHBpbmctcGFydGljbGUiOiIifSx7ImZhbWlseSI6Ik1lZ3JhdWQiLCJnaXZlbiI6IkZyYW5jaXMiLCJwYXJzZS1uYW1lcyI6ZmFsc2UsImRyb3BwaW5nLXBhcnRpY2xlIjoiIiwibm9uLWRyb3BwaW5nLXBhcnRpY2xlIjoiIn0seyJmYW1pbHkiOiJSb3dsYW5kIiwiZ2l2ZW4iOiJNYXJpb24iLCJwYXJzZS1uYW1lcyI6ZmFsc2UsImRyb3BwaW5nLXBhcnRpY2xlIjoiIiwibm9uLWRyb3BwaW5nLXBhcnRpY2xlIjoiIn0seyJmYW1pbHkiOiJUYXZhcmVzIiwiZ2l2ZW4iOiJNYXJ0YSIsInBhcnNlLW5hbWVzIjpmYWxzZSwiZHJvcHBpbmctcGFydGljbGUiOiIiLCJub24tZHJvcHBpbmctcGFydGljbGUiOiIifV0sImNvbnRhaW5lci10aXRsZSI6IkpvdXJuYWwgb2YgUGVkaWF0cmljIEdhc3Ryb2VudGVyb2xvZ3kgYW5kIE51dHJpdGlvbiIsImNvbnRhaW5lci10aXRsZS1zaG9ydCI6IkouIFBlZGlhdHIuIEdhc3Ryb2VudGVyb2wuIE51dHIuIiwiRE9JIjoiMTAuMTAwMi9qcG4zLjEyMzE0IiwiSVNTTiI6IjE1MzY0ODAxIiwiUE1JRCI6IjM5MTQ4MjEzIiwiaXNzdWVkIjp7ImRhdGUtcGFydHMiOltbMjAyNCw5LDFdXX0sInBhZ2UiOiI3NTgtNzg1IiwiYWJzdHJhY3QiOiJCYWNrZ3JvdW5kOiBFdm9sdmluZyBlcGlkZW1pb2xvZ2ljYWwgZGF0YSBhbmQgaW5jcmVhc2luZyBhbnRpYmlvdGljIHJlc2lzdGFuY2UgbWFuZGF0ZSBhbsKgdXBkYXRlIG9mIHRoZSBFdXJvcGVhbiBhbmQgTm9ydGggQW1lcmljYW4gU29jaWV0aWVzIG9mIFBlZGlhdHJpYyBHYXN0cm9lbnRlcm9sb2d5LCBIZXBhdG9sb2d5IGFuZCBOdXRyaXRpb24gZ3VpZGVsaW5lcy4gTWV0aG9kczogQ2VydGFpbnR5IG9mIGV2aWRlbmNlIGFuZCBzdHJlbmd0aCBvZiByZWNvbW1lbmRhdGlvbnMgd2VyZSByYXRlZCBieSBleHBlcnRzIGFjY29yZGluZyB0byB0aGUgR3JhZGluZyBvZiBSZWNvbW1lbmRhdGlvbiBBc3Nlc3NtZW50LCBEZXZlbG9wbWVudCwgYW5kIEV2YWx1YXRpb24gYXBwcm9hY2guIFBJQ08gKHBhdGllbnQgcG9wdWxhdGlvbiwgaW50ZXJ2ZW50aW9uLCBjb21wYXJhdG9yLCBhbmQgb3V0Y29tZSkgcXVlc3Rpb25zIHdlcmUgZGV2ZWxvcGVkIGFuZCB2b3RlZCBvbiBieSB0aGUgZ3JvdXAuIFJlY29tbWVuZGF0aW9ucyB3ZXJlIGZvcm11bGF0ZWQgdXNpbmcgdGhlIEV2aWRlbmNlIHRvIERlY2lzaW9uIGZyYW1ld29yay4gUmVzdWx0czogVGhlIGN1cnJlbnQgbGl0ZXJhdHVyZSBzdXBwb3J0cyBtYW55IG9mIHRoZSBwcmV2aW91cyByZWNvbW1lbmRhdGlvbnMgYW5kIHNldmVyYWwgbmV3IHJlY29tbWVuZGF0aW9ucy4gSW52YXNpdmUgdGVzdGluZyB3aXRoIHN0cmFpbiBhbnRpbWljcm9iaWFsIHN1c2NlcHRpYmlsaXR5IGFuYWx5c2lzIGlzIHJlY29tbWVuZGVkIGZvciB0aGUgZGlhZ25vc2lzIGFuZCBzZWxlY3Rpb24gb2YgZXJhZGljYXRpb24gdGhlcmFweSBmb3IgSC4gcHlsb3JpIGluZmVjdGlvbi4gTW9sZWN1bGFyIG1ldGhvZHMgYXJlIGFjY2VwdGFibGUgZm9yIGRldGVjdGlvbiBvZiBpbmZlY3Rpb24gYW5kIG9mIGFudGliaW90aWMgcmVzaXN0YW5jZSBpbiBnYXN0cmljIGJpb3BzeSBzcGVjaW1lbnMuIFJlbGlhYmxlLCBub25pbnZhc2l2ZSB0ZXN0cyBjYW4gYmUgdXNlZCBhcyBhIHNjcmVlbmluZyBtZXRob2QgZm9yIGNoaWxkcmVuIHdpdGggaGlzdG9yeSBvZiBnYXN0cmljIGNhbmNlciBpbiBhIGZpcnN0LWRlZ3JlZSByZWxhdGl2ZS4gV2hlbiBpbnZlc3RpZ2F0aW5nIGNhdXNlcyBvZiBjaHJvbmljIGltbXVuZSB0aHJvbWJvY3l0b3BlbmljIHB1cnB1cmEsIHRlc3RpbmcgZm9yIEguIHB5bG9yaSBpcyBubyBsb25nZXIgcmVjb21tZW5kZWQuIFdoZW4gaW52ZXN0aWdhdGluZyBvdGhlciBkaXNlYXNlcyBzdWNoIGFzIGluZmxhbW1hdG9yeSBib3dlbCBkaXNlYXNlLCBjZWxpYWMgZGlzZWFzZSwgb3IgZW9zaW5vcGhpbGljIGVzb3BoYWdpdGlzLCBzcGVjaWZpYyBkaWFnbm9zdGljIGJpb3BzaWVzIGZvciBILiBweWxvcmkgaW5mZWN0aW9uIGFyZSBub3QgaW5kaWNhdGVkLiBIb3dldmVyLCBpZiBILiBweWxvcmkgaXMgYW4gaW5jaWRlbnRhbCBmaW5kaW5nLCB0cmVhdG1lbnQgbWF5IGJlIGNvbnNpZGVyZWQgYWZ0ZXIgZGlzY3Vzc2luZyB0aGUgcmlza3MgYW5kIGJlbmVmaXRzLiBUcmVhdG1lbnQgc2hvdWxkIGJlIGJhc2VkIG9uIGFudGliaW90aWMgYW50aW1pY3JvYmlhbCBzdXNjZXB0aWJpbGl0eSB0ZXN0aW5nIGFuZCwgaWYgdW5hdmFpbGFibGUsIHJlZ2ltZW5zIGNvbnRhaW5pbmcgY2xhcml0aHJvbXljaW4gc2hvdWxkIGJlIGF2b2lkZWQuIENvbmNsdXNpb25zOiBEdWUgdG8gZGVjcmVhc2luZyBwcmV2YWxlbmNlIG9mIGluZmVjdGlvbiwgaW5jcmVhc2luZyBjaGFsbGVuZ2VzIHdpdGggYW50aWJpb3RpYyByZXNpc3RhbmNlLCBhbmQgZW1lcmdpbmcgZXZpZGVuY2UgcmVnYXJkaW5nIGNvbXBsaWNhdGlvbnMgb2YgaW5mZWN0aW9uLCBjbGluaWNpYW5zIG11c3QgYmUgYXdhcmUgb2YgdGhlc2UgcmVjb21tZW5kZWQgY2hhbmdlcyB0byBhcHByb3ByaWF0ZWx5IG1hbmFnZSBILiBweWxvcmkgaW5mZWN0aW9uIGFuZCBpdHMgY2xpbmljYWwgc2VxdWVsYWUgaW4gY2hpbGRyZW4uIiwicHVibGlzaGVyIjoiSm9obiBXaWxleSBhbmQgU29ucyBJbmMiLCJpc3N1ZSI6IjMiLCJ2b2x1bWUiOiI3OSJ9LCJpc1RlbXBvcmFyeSI6ZmFsc2V9LHsiaWQiOiIxOTY1YWFlYS00MDkxLTNmZGItYmYzNS1jY2MyNDNkYTkyYTYiLCJpdGVtRGF0YSI6eyJ0eXBlIjoiYXJ0aWNsZSIsImlkIjoiMTk2NWFhZWEtNDA5MS0zZmRiLWJmMzUtY2NjMjQzZGE5MmE2IiwidGl0bGUiOiJIZWxpY29iYWN0ZXIgcHlsb3JpIEluZmVjdGlvbnMgaW4gQ2hpbGRyZW4iLCJhdXRob3IiOlt7ImZhbWlseSI6Ik5ndXllbiIsImdpdmVuIjoiSnVsaWUiLCJwYXJzZS1uYW1lcyI6ZmFsc2UsImRyb3BwaW5nLXBhcnRpY2xlIjoiIiwibm9uLWRyb3BwaW5nLXBhcnRpY2xlIjoiIn0seyJmYW1pbHkiOiJLb3RpbGVhIiwiZ2l2ZW4iOiJLYWxsaXJyb2kiLCJwYXJzZS1uYW1lcyI6ZmFsc2UsImRyb3BwaW5nLXBhcnRpY2xlIjoiIiwibm9uLWRyb3BwaW5nLXBhcnRpY2xlIjoiIn0seyJmYW1pbHkiOiJCb250ZW1zIiwiZ2l2ZW4iOiJQYXRyaWNrIiwicGFyc2UtbmFtZXMiOmZhbHNlLCJkcm9wcGluZy1wYXJ0aWNsZSI6IiIsIm5vbi1kcm9wcGluZy1wYXJ0aWNsZSI6IiJ9LHsiZmFtaWx5IjoiTWllbmRqZSBEZXlpIiwiZ2l2ZW4iOiJWZXJvbmlxdWUgWXZldHRlIiwicGFyc2UtbmFtZXMiOmZhbHNlLCJkcm9wcGluZy1wYXJ0aWNsZSI6IiIsIm5vbi1kcm9wcGluZy1wYXJ0aWNsZSI6IiJ9XSwiY29udGFpbmVyLXRpdGxlIjoiQW50aWJpb3RpY3MiLCJET0kiOiIxMC4zMzkwL2FudGliaW90aWNzMTIwOTE0NDAiLCJJU1NOIjoiMjA3OTYzODIiLCJpc3N1ZWQiOnsiZGF0ZS1wYXJ0cyI6W1syMDIzLDksMV1dfSwiYWJzdHJhY3QiOiJJbiB0aGUgY29udGV4dCBvZiBlcGlkZW1pb2xvZ3ksIGhvc3QgcmVzcG9uc2UsIGRpc2Vhc2UgcHJlc2VudGF0aW9uLCBkaWFnbm9zaXMsIGFuZCB0cmVhdG1lbnQgbWFuYWdlbWVudCwgdGhlIG1hbmlmZXN0YXRpb24gb2YgSGVsaWNvYmFjdGVyIHB5bG9yaSAoSC4gcHlsb3JpKSBpbmZlY3Rpb24gZGl2ZXJnZXMgYmV0d2VlbiBjaGlsZHJlbiBhbmQgYWR1bHRzLiBILiBweWxvcmkgaW5mZWN0aW9uIHN0YW5kcyBvdXQgYXMgb25lIG9mIHRoZSBtb3N0IHByZXZhbGVudCBiYWN0ZXJpYWwgaW5mZWN0aW9ucyBnbG9iYWxseSwgYW5kIGl0cyBwcmV2YWxlbmNlIGluIGJvdGggY2hpbGRyZW4gYW5kIGFkdWx0cyBpcyBkZWNyZWFzaW5nIGluIG1hbnkgZGV2ZWxvcGluZyBjb3VudHJpZXMgYnV0IHNvbWUgc3RpbGwgc3RydWdnbGUgd2l0aCBhIGhpZ2ggcHJldmFsZW5jZSBvZiBwZWRpYXRyaWMgSC4gcHlsb3JpIGluZmVjdGlvbiBhbmQgaXRzIGNvbnNlcXVlbmNlcy4gVGhlIG1ham9yaXR5IG9mIGluZmVjdGVkIGNoaWxkcmVuIGFyZSBhc3ltcHRvbWF0aWMgYW5kIHBlZGlhdHJpYyBzdHVkaWVzIGRvIG5vdCBzdXBwb3J0IHRoZSBpbnZvbHZlbWVudCBvZiBILiBweWxvcmkgaW4gZnVuY3Rpb25hbCBkaXNvcmRlcnMgc3VjaCBhcyByZWN1cnJlbnQgYWJkb21pbmFsIHBhaW4uIFRoZSBwYXRob3BoeXNpb2xvZ3kgb2YgSC4gcHlsb3JpIGluZmVjdGlvbiByZWxpZXMgb24gY29tcGxleCBiYWN0ZXJpYWwgdmlydWxlbmNlIG1lY2hhbmlzbXMgYW5kIHRoZWlyIGludGVyYWN0aW9uIHdpdGggdGhlIGhvc3QgaW1tdW5lIHN5c3RlbSBhbmQgZW52aXJvbm1lbnRhbCBmYWN0b3JzLiBUaGlzIGludGVyYWN0aW9uIGdpdmVzIHJpc2UgdG8gZGl2ZXJzZSBnYXN0cml0aXMgcGhlbm90eXBlcywgd2hpY2ggc3Vic2VxdWVudGx5IGluZmx1ZW5jZSB0aGUgcG90ZW50aWFsIGRldmVsb3BtZW50IG9mIHZhcmlvdXMgZ2FzdHJvZHVvZGVuYWwgcGF0aG9sb2dpZXMuIEluIGNsaW5pY2FsIHNldHRpbmdzLCB0aGUgZGlhZ25vc2lzIG9mIHRoaXMgaW5mZWN0aW9uIGluIGNoaWxkaG9vZCByZXF1aXJlcyBhbiB1cHBlciBnYXN0cm9pbnRlc3RpbmFsIGVuZG9zY29waWMgZXhhbSB3aXRoIG11Y29zYWwgYmlvcHN5IHNhbXBsZXMgZm9yIGhpc3RvbG9neSBhbmQgY3VsdHVyZSwgb3IgUG9seW1lcmFzZSBDaGFpbiBSZWFjdGlvbiAoUENSKSBhdCB0aGUgdmVyeSBsZWFzdC4gV2hlbiB3YXJyYW50ZWQsIGVyYWRpY2F0aW9uIHRyZWF0bWVudCBzaG91bGQgYmUgZ2l2ZW4gd2hlbiBnb29kIGNvbXBsaWFuY2UgaXMgZXhwZWN0ZWQsIGFuZCB0aGVyZSBzaG91bGQgYmUgc3lzdGVtYXRpYyB1c2Ugb2YgYSB0cmVhdG1lbnQgYWRhcHRlZCB0byB0aGUgYW50aW1pY3JvYmlhbCBzdXNjZXB0aWJpbGl0eSBwcm9maWxlLiBUbyBjb21iYXQgdGhlIGJ1cmdlb25pbmcgdGhyZWF0IG9mIG11bHRpZHJ1ZyByZXNpc3RhbmNlLCB2aWdpbGFudCBzdXJ2ZWlsbGFuY2Ugb2YgcmVzaXN0YW5jZSBwYXR0ZXJucyBhbmQgc3RyYXRlZ2ljIGFudGliaW90aWMgbWFuYWdlbWVudCBhcmUgcGFyYW1vdW50LiIsInB1Ymxpc2hlciI6Ik11bHRpZGlzY2lwbGluYXJ5IERpZ2l0YWwgUHVibGlzaGluZyBJbnN0aXR1dGUgKE1EUEkpIiwiaXNzdWUiOiI5Iiwidm9sdW1lIjoiMTIiLCJjb250YWluZXItdGl0bGUtc2hvcnQiOiIifSwiaXNUZW1wb3JhcnkiOmZhbHNlfV19&quot;,&quot;citationItems&quot;:[{&quot;id&quot;:&quot;91aea71f-9a27-3852-abd4-efedd9da30eb&quot;,&quot;itemData&quot;:{&quot;type&quot;:&quot;article-journal&quot;,&quot;id&quot;:&quot;91aea71f-9a27-3852-abd4-efedd9da30eb&quot;,&quot;title&quot;:&quot;Updated joint ESPGHAN/NASPGHAN guidelines for management of Helicobacter pylori infection in children and adolescents (2023)&quot;,&quot;author&quot;:[{&quot;family&quot;:&quot;Homan&quot;,&quot;given&quot;:&quot;Matjaž&quot;,&quot;parse-names&quot;:false,&quot;dropping-particle&quot;:&quot;&quot;,&quot;non-dropping-particle&quot;:&quot;&quot;},{&quot;family&quot;:&quot;Jones&quot;,&quot;given&quot;:&quot;Nicola L.&quot;,&quot;parse-names&quot;:false,&quot;dropping-particle&quot;:&quot;&quot;,&quot;non-dropping-particle&quot;:&quot;&quot;},{&quot;family&quot;:&quot;Bontems&quot;,&quot;given&quot;:&quot;Patrick&quot;,&quot;parse-names&quot;:false,&quot;dropping-particle&quot;:&quot;&quot;,&quot;non-dropping-particle&quot;:&quot;&quot;},{&quot;family&quot;:&quot;Carroll&quot;,&quot;given&quot;:&quot;Matthew W.&quot;,&quot;parse-names&quot;:false,&quot;dropping-particle&quot;:&quot;&quot;,&quot;non-dropping-particle&quot;:&quot;&quot;},{&quot;family&quot;:&quot;Czinn&quot;,&quot;given&quot;:&quot;Steven J.&quot;,&quot;parse-names&quot;:false,&quot;dropping-particle&quot;:&quot;&quot;,&quot;non-dropping-particle&quot;:&quot;&quot;},{&quot;family&quot;:&quot;Gold&quot;,&quot;given&quot;:&quot;Benjamin D.&quot;,&quot;parse-names&quot;:false,&quot;dropping-particle&quot;:&quot;&quot;,&quot;non-dropping-particle&quot;:&quot;&quot;},{&quot;family&quot;:&quot;Goodman&quot;,&quot;given&quot;:&quot;Karen&quot;,&quot;parse-names&quot;:false,&quot;dropping-particle&quot;:&quot;&quot;,&quot;non-dropping-particle&quot;:&quot;&quot;},{&quot;family&quot;:&quot;Harris&quot;,&quot;given&quot;:&quot;Paul R.&quot;,&quot;parse-names&quot;:false,&quot;dropping-particle&quot;:&quot;&quot;,&quot;non-dropping-particle&quot;:&quot;&quot;},{&quot;family&quot;:&quot;Jerris&quot;,&quot;given&quot;:&quot;Robert&quot;,&quot;parse-names&quot;:false,&quot;dropping-particle&quot;:&quot;&quot;,&quot;non-dropping-particle&quot;:&quot;&quot;},{&quot;family&quot;:&quot;Kalach&quot;,&quot;given&quot;:&quot;Nicolas&quot;,&quot;parse-names&quot;:false,&quot;dropping-particle&quot;:&quot;&quot;,&quot;non-dropping-particle&quot;:&quot;&quot;},{&quot;family&quot;:&quot;Kori&quot;,&quot;given&quot;:&quot;Michal&quot;,&quot;parse-names&quot;:false,&quot;dropping-particle&quot;:&quot;&quot;,&quot;non-dropping-particle&quot;:&quot;&quot;},{&quot;family&quot;:&quot;Megraud&quot;,&quot;given&quot;:&quot;Francis&quot;,&quot;parse-names&quot;:false,&quot;dropping-particle&quot;:&quot;&quot;,&quot;non-dropping-particle&quot;:&quot;&quot;},{&quot;family&quot;:&quot;Rowland&quot;,&quot;given&quot;:&quot;Marion&quot;,&quot;parse-names&quot;:false,&quot;dropping-particle&quot;:&quot;&quot;,&quot;non-dropping-particle&quot;:&quot;&quot;},{&quot;family&quot;:&quot;Tavares&quot;,&quot;given&quot;:&quot;Marta&quot;,&quot;parse-names&quot;:false,&quot;dropping-particle&quot;:&quot;&quot;,&quot;non-dropping-particle&quot;:&quot;&quot;}],&quot;container-title&quot;:&quot;Journal of Pediatric Gastroenterology and Nutrition&quot;,&quot;container-title-short&quot;:&quot;J. Pediatr. Gastroenterol. Nutr.&quot;,&quot;DOI&quot;:&quot;10.1002/jpn3.12314&quot;,&quot;ISSN&quot;:&quot;15364801&quot;,&quot;PMID&quot;:&quot;39148213&quot;,&quot;issued&quot;:{&quot;date-parts&quot;:[[2024,9,1]]},&quot;page&quot;:&quot;758-785&quot;,&quot;abstract&quot;:&quot;Background: Evolving epidemiological data and increasing antibiotic resistance mandate an update of the European and North American Societies of Pediatric Gastroenterology, Hepatology and Nutrition guidelines. Methods: Certainty of evidence and strength of recommendations were rated by experts according to the Grading of Recommendation Assessment, Development, and Evaluation approach. PICO (patient population, intervention, comparator, and outcome) questions were developed and voted on by the group. Recommendations were formulated using the Evidence to Decision framework. Results: The current literature supports many of the previous recommendations and several new recommendations. Invasive testing with strain antimicrobial susceptibility analysis is recommended for the diagnosis and selection of eradication therapy for H. pylori infection. Molecular methods are acceptable for detection of infection and of antibiotic resistance in gastric biopsy specimens. Reliable, noninvasive tests can be used as a screening method for children with history of gastric cancer in a first-degree relative. When investigating causes of chronic immune thrombocytopenic purpura, testing for H. pylori is no longer recommended. When investigating other diseases such as inflammatory bowel disease, celiac disease, or eosinophilic esophagitis, specific diagnostic biopsies for H. pylori infection are not indicated. However, if H. pylori is an incidental finding, treatment may be considered after discussing the risks and benefits. Treatment should be based on antibiotic antimicrobial susceptibility testing and, if unavailable, regimens containing clarithromycin should be avoided. Conclusions: Due to decreasing prevalence of infection, increasing challenges with antibiotic resistance, and emerging evidence regarding complications of infection, clinicians must be aware of these recommended changes to appropriately manage H. pylori infection and its clinical sequelae in children.&quot;,&quot;publisher&quot;:&quot;John Wiley and Sons Inc&quot;,&quot;issue&quot;:&quot;3&quot;,&quot;volume&quot;:&quot;79&quot;},&quot;isTemporary&quot;:false},{&quot;id&quot;:&quot;1965aaea-4091-3fdb-bf35-ccc243da92a6&quot;,&quot;itemData&quot;:{&quot;type&quot;:&quot;article&quot;,&quot;id&quot;:&quot;1965aaea-4091-3fdb-bf35-ccc243da92a6&quot;,&quot;title&quot;:&quot;Helicobacter pylori Infections in Children&quot;,&quot;author&quot;:[{&quot;family&quot;:&quot;Nguyen&quot;,&quot;given&quot;:&quot;Julie&quot;,&quot;parse-names&quot;:false,&quot;dropping-particle&quot;:&quot;&quot;,&quot;non-dropping-particle&quot;:&quot;&quot;},{&quot;family&quot;:&quot;Kotilea&quot;,&quot;given&quot;:&quot;Kallirroi&quot;,&quot;parse-names&quot;:false,&quot;dropping-particle&quot;:&quot;&quot;,&quot;non-dropping-particle&quot;:&quot;&quot;},{&quot;family&quot;:&quot;Bontems&quot;,&quot;given&quot;:&quot;Patrick&quot;,&quot;parse-names&quot;:false,&quot;dropping-particle&quot;:&quot;&quot;,&quot;non-dropping-particle&quot;:&quot;&quot;},{&quot;family&quot;:&quot;Miendje Deyi&quot;,&quot;given&quot;:&quot;Veronique Yvette&quot;,&quot;parse-names&quot;:false,&quot;dropping-particle&quot;:&quot;&quot;,&quot;non-dropping-particle&quot;:&quot;&quot;}],&quot;container-title&quot;:&quot;Antibiotics&quot;,&quot;DOI&quot;:&quot;10.3390/antibiotics12091440&quot;,&quot;ISSN&quot;:&quot;20796382&quot;,&quot;issued&quot;:{&quot;date-parts&quot;:[[2023,9,1]]},&quot;abstract&quot;:&quot;In the context of epidemiology, host response, disease presentation, diagnosis, and treatment management, the manifestation of Helicobacter pylori (H. pylori) infection diverges between children and adults. H. pylori infection stands out as one of the most prevalent bacterial infections globally, and its prevalence in both children and adults is decreasing in many developing countries but some still struggle with a high prevalence of pediatric H. pylori infection and its consequences. The majority of infected children are asymptomatic and pediatric studies do not support the involvement of H. pylori in functional disorders such as recurrent abdominal pain. The pathophysiology of H. pylori infection relies on complex bacterial virulence mechanisms and their interaction with the host immune system and environmental factors. This interaction gives rise to diverse gastritis phenotypes, which subsequently influence the potential development of various gastroduodenal pathologies. In clinical settings, the diagnosis of this infection in childhood requires an upper gastrointestinal endoscopic exam with mucosal biopsy samples for histology and culture, or Polymerase Chain Reaction (PCR) at the very least. When warranted, eradication treatment should be given when good compliance is expected, and there should be systematic use of a treatment adapted to the antimicrobial susceptibility profile. To combat the burgeoning threat of multidrug resistance, vigilant surveillance of resistance patterns and strategic antibiotic management are paramount.&quot;,&quot;publisher&quot;:&quot;Multidisciplinary Digital Publishing Institute (MDPI)&quot;,&quot;issue&quot;:&quot;9&quot;,&quot;volume&quot;:&quot;12&quot;,&quot;container-title-short&quot;:&quot;&quot;},&quot;isTemporary&quot;:false}]},{&quot;citationID&quot;:&quot;MENDELEY_CITATION_386bcb63-19fa-416d-bb76-88dfcf5db44b&quot;,&quot;properties&quot;:{&quot;noteIndex&quot;:0},&quot;isEdited&quot;:false,&quot;manualOverride&quot;:{&quot;isManuallyOverridden&quot;:false,&quot;citeprocText&quot;:&quot;[10]&quot;,&quot;manualOverrideText&quot;:&quot;&quot;},&quot;citationTag&quot;:&quot;MENDELEY_CITATION_v3_eyJjaXRhdGlvbklEIjoiTUVOREVMRVlfQ0lUQVRJT05fMzg2YmNiNjMtMTlmYS00MTZkLWJiNzYtODhkZmNmNWRiNDRiIiwicHJvcGVydGllcyI6eyJub3RlSW5kZXgiOjB9LCJpc0VkaXRlZCI6ZmFsc2UsIm1hbnVhbE92ZXJyaWRlIjp7ImlzTWFudWFsbHlPdmVycmlkZGVuIjpmYWxzZSwiY2l0ZXByb2NUZXh0IjoiWzEwXSIsIm1hbnVhbE92ZXJyaWRlVGV4dCI6IiJ9LCJjaXRhdGlvbkl0ZW1zIjpbeyJpZCI6ImY4N2M2ODE2LTZlYzYtM2RiZC1iNWQ4LWYyZWMwN2Q4YWM1ZiIsIml0ZW1EYXRhIjp7InR5cGUiOiJhcnRpY2xlLWpvdXJuYWwiLCJpZCI6ImY4N2M2ODE2LTZlYzYtM2RiZC1iNWQ4LWYyZWMwN2Q4YWM1ZiIsInRpdGxlIjoiUHJldmFsZW5jZSBhbmQgQXNzb2NpYXRlZCBTeW1wdG9tcyBvZiBIZWxpY29iYWN0ZXIgcHlsb3JpIEluZmVjdGlvbiBhbW9uZyBTY2hvb2xjaGlsZHJlbiBpbiBLYXNzYWxhIFN0YXRlLCBFYXN0IG9mIFN1ZGFuIiwiYXV0aG9yIjpbeyJmYW1pbHkiOiJBYmJhcyIsImdpdmVuIjoiTW9oYW1tZWQiLCJwYXJzZS1uYW1lcyI6ZmFsc2UsImRyb3BwaW5nLXBhcnRpY2xlIjoiIiwibm9uLWRyb3BwaW5nLXBhcnRpY2xlIjoiIn0seyJmYW1pbHkiOiJTaGFyaWYiLCJnaXZlbiI6IkZhaXphIEEuIiwicGFyc2UtbmFtZXMiOmZhbHNlLCJkcm9wcGluZy1wYXJ0aWNsZSI6IiIsIm5vbi1kcm9wcGluZy1wYXJ0aWNsZSI6IiJ9LHsiZmFtaWx5IjoiT3NtYW4iLCJnaXZlbiI6IlNoYW1zZWxmYWxhaCBNLiIsInBhcnNlLW5hbWVzIjpmYWxzZSwiZHJvcHBpbmctcGFydGljbGUiOiIiLCJub24tZHJvcHBpbmctcGFydGljbGUiOiIifSx7ImZhbWlseSI6Ik9zbWFuIiwiZ2l2ZW4iOiJBYmRhbGxhaCBNLiIsInBhcnNlLW5hbWVzIjpmYWxzZSwiZHJvcHBpbmctcGFydGljbGUiOiIiLCJub24tZHJvcHBpbmctcGFydGljbGUiOiIifSx7ImZhbWlseSI6IlNhbm91c2kiLCJnaXZlbiI6IlN1bGllbWFuIE0uIiwicGFyc2UtbmFtZXMiOmZhbHNlLCJkcm9wcGluZy1wYXJ0aWNsZSI6IiIsIm5vbi1kcm9wcGluZy1wYXJ0aWNsZSI6IkVsIn0seyJmYW1pbHkiOiJNYWd6b3ViIiwiZ2l2ZW4iOiJNYW1vdW4iLCJwYXJzZS1uYW1lcyI6ZmFsc2UsImRyb3BwaW5nLXBhcnRpY2xlIjoiIiwibm9uLWRyb3BwaW5nLXBhcnRpY2xlIjoiIn0seyJmYW1pbHkiOiJJYnJhaGltIiwiZ2l2ZW4iOiJNdXRhc2ltIEUuIiwicGFyc2UtbmFtZXMiOmZhbHNlLCJkcm9wcGluZy1wYXJ0aWNsZSI6IiIsIm5vbi1kcm9wcGluZy1wYXJ0aWNsZSI6IiJ9XSwiY29udGFpbmVyLXRpdGxlIjoiSW50ZXJkaXNjaXBsaW5hcnkgUGVyc3BlY3RpdmVzIG9uIEluZmVjdGlvdXMgRGlzZWFzZXMiLCJjb250YWluZXItdGl0bGUtc2hvcnQiOiJJbnRlcmRpc2NpcC4gUGVyc3BlY3QuIEluZmVjdC4gRGlzLiIsIkRPSSI6IjEwLjExNTUvMjAxOC80MzI1NzUyIiwiSVNTTiI6IjE2ODc3MDk4IiwiaXNzdWVkIjp7ImRhdGUtcGFydHMiOltbMjAxOF1dfSwiYWJzdHJhY3QiOiJUaGlzIHN0dWR5IGFpbWVkIHRvIGRldGVybWluZSB0aGUgcHJldmFsZW5jZSBvZiBILiBweWxvcmkgaW5mZWN0aW9ucyBhbW9uZyBzY2hvb2xjaGlsZHJlbiBhbmQgaW52ZXN0aWdhdGUgdGhlIGFzc29jaWF0aW9ucyBiZXR3ZWVuIEguIHB5bG9yaSBzZXJvcG9zaXRpdml0eSBhbmQgZXhpc3RlbmNlIG9mIGdhc3Ryb2ludGVzdGluYWwgc3ltcHRvbXMuIE1ldGhvZHMuIEEgcHJvc3BlY3RpdmUgY3Jvc3Mtc2VjdGlvbmFsIHN0dWR5IHdhcyBjb25kdWN0ZWQgZHVyaW5nIGEgcGVyaW9kIGZyb20gSmFudWFyeSB0byBEZWNlbWJlciAyMDEyIGF0IEthc3NhbGEgc3RhdGUsIGVhc3Qgb2YgU3VkYW4uIFNjaG9vbGNoaWxkcmVuIGZyb20gZGlmZmVyZW50IHByaW1hcnkgc2Nob29scyB3ZXJlIGVucm9sbGVkIGluIHRoZSBzdHVkeS4gU29jaW9kZW1vZ3JhcGhpYyBjaGFyYWN0ZXJpc3RpY3MgYW5kIGdhc3Ryb2ludGVzdGluYWwgc3ltcHRvbXMgd2VyZSByZWNvcmRlZCBmcm9tIGVhY2ggY2hpbGQuIEEgcmFwaWQgaW1tdW5vY2hyb21hdG9ncmFwaGljIHRlc3Qgd2FzIHBlcmZvcm1lZCBmb3IgdGhlIGRldGVjdGlvbiBvZiBILiBweWxvcmkgSWdHIGFudGlib2RpZXMuIERhdGEgb24gcGF0aWVudCBkZW1vZ3JhcGhpYyBjaGFyYWN0ZXJpc3RpY3MsIGNsaW5pY2FsIGRpYWdub3NpcywgYW5kIGZpbmRpbmdzIG9mIEguIHB5bG9yaSBpbmZlY3Rpb24gd2VyZSBhbmFseXplZCBieSBzaW1wbGUgZGVzY3JpcHRpdmUgc3RhdGlzdGljcy4gUmVzdWx0cy4gQW1vbmcgNDMxIHNjaG9vbGNoaWxkcmVuLCBILiBweWxvcmkgc2Vyb3Bvc2l0aXZpdHkgd2FzIGZvdW5kIHRvIGJlIDIxLjglLiBUaGUgbWFqb3JpdHkgb2YgY2hpbGRyZW4gKDc5OyA4NCUpIGhhZCBCTUkgYmVsb3cgdGhlIG5vcm1hbCByYW5nZS4gVGhlIG1vc3QgZnJlcXVlbnQgc3ltcHRvbXMgYXNzb2NpYXRlZCB3aXRoIEguIHB5bG9yaSBpbmZlY3Rpb25zIHdlcmUgbmF1c2VhICgyNS41JSksIGZvbGxvd2VkIGJ5IGdhc3RyaWMgcGFpbiAoMjQuNSUpIGFuZCBoZWFydCBwYWluICgyMC4yJSkuIFRoZXJlIHdlcmUgc3RhdGlzdGljYWxseSBzaWduaWZpY2FudCBkaWZmZXJlbmNlcyBpbiBILiBweWxvcmkgc2Vyb3Bvc2l0aXZpdHkgYmV0d2VlbiBib3lzIGFuZCBnaXJscyAocD0wLjAwMykuIENvbmNsdXNpb25zLiBUaGUgcHJldmFsZW5jZSBvZiBILiBweWxvcmkgaW5mZWN0aW9uIGFtb25nIHNjaG9vbGNoaWxkcmVuIGluIEthc3NhbGEgY2l0eSBoYXMgYmVlbiBkb2N1bWVudGVkLiBBbHRob3VnaCB0aGUgbWFqb3JpdHkgb2YgdGhlIGRpc2Vhc2Ugd2FzIGFzc29jaWF0ZWQgd2l0aCBzZXZlcmFsIGdhc3Ryb2ludGVzdGluYWwgc3ltcHRvbXMsIHRoZSByb2xlIG9mIGluZmVjdGlvbiBpbiB0aGUgZXRpb2xvZ3kgb2YgYWJkb21pbmFsIHN5bXB0b21zIG5lZWRzIGZ1cnRoZXIgaW52ZXN0aWdhdGlvbnMuIiwicHVibGlzaGVyIjoiSGluZGF3aSBMaW1pdGVkIiwidm9sdW1lIjoiMjAxOCJ9LCJpc1RlbXBvcmFyeSI6ZmFsc2V9XX0=&quot;,&quot;citationItems&quot;:[{&quot;id&quot;:&quot;f87c6816-6ec6-3dbd-b5d8-f2ec07d8ac5f&quot;,&quot;itemData&quot;:{&quot;type&quot;:&quot;article-journal&quot;,&quot;id&quot;:&quot;f87c6816-6ec6-3dbd-b5d8-f2ec07d8ac5f&quot;,&quot;title&quot;:&quot;Prevalence and Associated Symptoms of Helicobacter pylori Infection among Schoolchildren in Kassala State, East of Sudan&quot;,&quot;author&quot;:[{&quot;family&quot;:&quot;Abbas&quot;,&quot;given&quot;:&quot;Mohammed&quot;,&quot;parse-names&quot;:false,&quot;dropping-particle&quot;:&quot;&quot;,&quot;non-dropping-particle&quot;:&quot;&quot;},{&quot;family&quot;:&quot;Sharif&quot;,&quot;given&quot;:&quot;Faiza A.&quot;,&quot;parse-names&quot;:false,&quot;dropping-particle&quot;:&quot;&quot;,&quot;non-dropping-particle&quot;:&quot;&quot;},{&quot;family&quot;:&quot;Osman&quot;,&quot;given&quot;:&quot;Shamselfalah M.&quot;,&quot;parse-names&quot;:false,&quot;dropping-particle&quot;:&quot;&quot;,&quot;non-dropping-particle&quot;:&quot;&quot;},{&quot;family&quot;:&quot;Osman&quot;,&quot;given&quot;:&quot;Abdallah M.&quot;,&quot;parse-names&quot;:false,&quot;dropping-particle&quot;:&quot;&quot;,&quot;non-dropping-particle&quot;:&quot;&quot;},{&quot;family&quot;:&quot;Sanousi&quot;,&quot;given&quot;:&quot;Sulieman M.&quot;,&quot;parse-names&quot;:false,&quot;dropping-particle&quot;:&quot;&quot;,&quot;non-dropping-particle&quot;:&quot;El&quot;},{&quot;family&quot;:&quot;Magzoub&quot;,&quot;given&quot;:&quot;Mamoun&quot;,&quot;parse-names&quot;:false,&quot;dropping-particle&quot;:&quot;&quot;,&quot;non-dropping-particle&quot;:&quot;&quot;},{&quot;family&quot;:&quot;Ibrahim&quot;,&quot;given&quot;:&quot;Mutasim E.&quot;,&quot;parse-names&quot;:false,&quot;dropping-particle&quot;:&quot;&quot;,&quot;non-dropping-particle&quot;:&quot;&quot;}],&quot;container-title&quot;:&quot;Interdisciplinary Perspectives on Infectious Diseases&quot;,&quot;container-title-short&quot;:&quot;Interdiscip. Perspect. Infect. Dis.&quot;,&quot;DOI&quot;:&quot;10.1155/2018/4325752&quot;,&quot;ISSN&quot;:&quot;16877098&quot;,&quot;issued&quot;:{&quot;date-parts&quot;:[[2018]]},&quot;abstract&quot;:&quot;This study aimed to determine the prevalence of H. pylori infections among schoolchildren and investigate the associations between H. pylori seropositivity and existence of gastrointestinal symptoms. Methods. A prospective cross-sectional study was conducted during a period from January to December 2012 at Kassala state, east of Sudan. Schoolchildren from different primary schools were enrolled in the study. Sociodemographic characteristics and gastrointestinal symptoms were recorded from each child. A rapid immunochromatographic test was performed for the detection of H. pylori IgG antibodies. Data on patient demographic characteristics, clinical diagnosis, and findings of H. pylori infection were analyzed by simple descriptive statistics. Results. Among 431 schoolchildren, H. pylori seropositivity was found to be 21.8%. The majority of children (79; 84%) had BMI below the normal range. The most frequent symptoms associated with H. pylori infections were nausea (25.5%), followed by gastric pain (24.5%) and heart pain (20.2%). There were statistically significant differences in H. pylori seropositivity between boys and girls (p=0.003). Conclusions. The prevalence of H. pylori infection among schoolchildren in Kassala city has been documented. Although the majority of the disease was associated with several gastrointestinal symptoms, the role of infection in the etiology of abdominal symptoms needs further investigations.&quot;,&quot;publisher&quot;:&quot;Hindawi Limited&quot;,&quot;volume&quot;:&quot;2018&quot;},&quot;isTemporary&quot;:false}]},{&quot;citationID&quot;:&quot;MENDELEY_CITATION_f8053d5d-538a-479d-9795-95ee9cbd002b&quot;,&quot;properties&quot;:{&quot;noteIndex&quot;:0},&quot;isEdited&quot;:false,&quot;manualOverride&quot;:{&quot;isManuallyOverridden&quot;:false,&quot;citeprocText&quot;:&quot;[11]&quot;,&quot;manualOverrideText&quot;:&quot;&quot;},&quot;citationTag&quot;:&quot;MENDELEY_CITATION_v3_eyJjaXRhdGlvbklEIjoiTUVOREVMRVlfQ0lUQVRJT05fZjgwNTNkNWQtNTM4YS00NzlkLTk3OTUtOTVlZTljYmQwMDJiIiwicHJvcGVydGllcyI6eyJub3RlSW5kZXgiOjB9LCJpc0VkaXRlZCI6ZmFsc2UsIm1hbnVhbE92ZXJyaWRlIjp7ImlzTWFudWFsbHlPdmVycmlkZGVuIjpmYWxzZSwiY2l0ZXByb2NUZXh0IjoiWzExXSIsIm1hbnVhbE92ZXJyaWRlVGV4dCI6IiJ9LCJjaXRhdGlvbkl0ZW1zIjpbeyJpZCI6ImRiYmM4YTI1LTIxMTEtMzQxOC05NTAwLWE2ZGIxNmVkOTY3NiIsIml0ZW1EYXRhIjp7InR5cGUiOiJjaGFwdGVyIiwiaWQiOiJkYmJjOGEyNS0yMTExLTM0MTgtOTUwMC1hNmRiMTZlZDk2NzYiLCJ0aXRsZSI6IkhlbGljb2JhY3RlciBweWxvcmktaW5kdWNlZCBjaGFuZ2VzIGluIGdhc3RyaWMgYWNpZCBzZWNyZXRpb24gYW5kIHVwcGVyIGdhc3Ryb2ludGVzdGluYWwgZGlzZWFzZSIsImF1dGhvciI6W3siZmFtaWx5IjoiU21vbGthIiwiZ2l2ZW4iOiJBZGFtIEouIiwicGFyc2UtbmFtZXMiOmZhbHNlLCJkcm9wcGluZy1wYXJ0aWNsZSI6IiIsIm5vbi1kcm9wcGluZy1wYXJ0aWNsZSI6IiJ9LHsiZmFtaWx5IjoiU2NodWJlcnQiLCJnaXZlbiI6Ik1pdGNoZWxsIEwuIiwicGFyc2UtbmFtZXMiOmZhbHNlLCJkcm9wcGluZy1wYXJ0aWNsZSI6IiIsIm5vbi1kcm9wcGluZy1wYXJ0aWNsZSI6IiJ9XSwiY29udGFpbmVyLXRpdGxlIjoiQ3VycmVudCBUb3BpY3MgaW4gTWljcm9iaW9sb2d5IGFuZCBJbW11bm9sb2d5IiwiY29udGFpbmVyLXRpdGxlLXNob3J0IjoiQ3Vyci4gVG9wLiBNaWNyb2Jpb2wuIEltbXVub2wuIiwiRE9JIjoiMTAuMTAwNy85NzgtMy0zMTktNTA1MjAtNl8xMCIsIklTU04iOiIyMTk2OTk2NSIsIlBNSUQiOiIyODEyNDE1NiIsImlzc3VlZCI6eyJkYXRlLXBhcnRzIjpbWzIwMTcsMSwxXV19LCJwYWdlIjoiMjI3LTI1MiIsImFic3RyYWN0IjoiQXBwcm9wcmlhdGUgbWFuYWdlbWVudCBvZiBIZWxpY29iYWN0ZXIgcHlsb3JpIGluZmVjdGlvbiBvZiB0aGUgaHVtYW4gc3RvbWFjaCBpcyBldm9sdmluZyBhbmQgcmVtYWlucyBhIHNpZ25pZmljYW50IGNsaW5pY2FsIGNoYWxsZW5nZS4gQWN1dGUgaW5mZWN0aW9uIHJlc3VsdHMgaW4gaHlwb2NobG9yaHlkcmlhLCB3aGVyZWFzIGNocm9uaWMgaW5mZWN0aW9uIHJlc3VsdHMgaW4gZWl0aGVyIGh5cG8tIG9yIGh5cGVyY2hsb3JoeWRyaWEsIGRlcGVuZGluZyB1cG9uIHRoZSBhbmF0b21pYyBzaXRlIG9mIGluZmVjdGlvbi4gQWN1dGUgaHlwb2NobG9yaHlkcmlhIGZhY2lsaXRhdGVzIHN1cnZpdmFsIG9mIHRoZSBiYWN0ZXJpdW0gYW5kIGl0cyBpbmZlY3Rpb24gb2YgdGhlIHN0b21hY2guIEludGVyZXN0aW5nbHksIG1vc3QgcGF0aWVudHMgY2hyb25pY2FsbHkgaW5mZWN0ZWQgd2l0aCBILiBweWxvcmkgbWFuaWZlc3QgYSBwYW5nYXN0cml0aXMgd2l0aCByZWR1Y2VkIGFjaWQgc2VjcmV0aW9uIGR1ZSB0byBiYWN0ZXJpYWwgdmlydWxlbmNlIGZhY3RvcnMsIGluZmxhbW1hdG9yeSBjeXRva2luZXMsIGFuZCB2YXJpb3VzIGRlZ3JlZXMgb2YgZ2FzdHJpYyBhdHJvcGh5LiBXaGlsZSB0aGVzZSBwYXRpZW50cyBhcmUgcHJlZGlzcG9zZWQgdG8gZGV2ZWxvcCBnYXN0cmljIGFkZW5vY2FyY2lub21hICgqMSUpLCB0aGVyZSBpcyBpbmNyZWFzaW5nIGV2aWRlbmNlIGZyb20gcG9wdWxhdGlvbiBzdHVkaWVzIHRoYXQgdGhleSBhcmUgYWxzbyBwcm90ZWN0ZWQgZnJvbSBnYXN0cm9lc29waGFnZWFsIHJlZmx1eCBkaXNlYXNlIChHRVJEKSwgQmFycmV0dOKAmXMgZXNvcGhhZ3VzIChCRSksIGFuZCBlc29waGFnZWFsIGFkZW5vY2FyY2lub21hIChFQUMpLiBFcmFkaWNhdGlvbiBvZiBILiBweWxvcmksIGluIHRoZXNlIHBhdGllbnRzLCBtYXkgcHJvdm9rZSBHRVJEIGluIHByZWRpc3Bvc2VkIGluZGl2aWR1YWxzIGFuZCBtYXkgYmUgYSBjb250cmlidXRvcnkgZmFjdG9yIGZvciB0aGUgcmlzaW5nIGluY2lkZW5jZSBvZiByZWZyYWN0b3J5IEdFUkQsIEJFLCBhbmQgRUFDIG9ic2VydmVkIGluIFdlc3Rlcm5pemVkIHNvY2lldGllcy4gT25seSAqMTAlIG9mIGNocm9uaWNhbGx5IGluZmVjdGVkIHBhdGllbnRzLCBtYWlubHkgdGhlIHlvdW5nLCBtYW5pZmVzdCBhbiBhbnRyYWwgcHJlZG9taW5hbnQgZ2FzdHJpdGlzIHdpdGggaW5jcmVhc2VkIGFjaWQgc2VjcmV0aW9uIGR1ZSB0byBhIGRlY3JlYXNlIGluIHNvbWF0b3N0YXRpbiBhbmQgaW5jcmVhc2UgaW4gZ2FzdHJpbiBzZWNyZXRpb247IHRoZXNlIHBhdGllbnRzIGFyZSBwcmVkaXNwb3NlZCB0byBkZXZlbG9wIHBlcHRpYyB1bGNlciBkaXNlYXNlLiBILiBweWxvcmktaW5kdWNlZCBjaGFuZ2VzIGluIGFjaWQgc2VjcmV0aW9uLCBpbiBwYXJ0aWN1bGFyIGh5cG9jaGxvcmh5ZHJpYSwgbWF5IGFsbG93IGluZ2VzdGVkIG1pY3Jvb3JnYW5pc21zIHRvIHN1cnZpdmUgdHJhbnNpdCB0aHJvdWdoIHRoZSBzdG9tYWNoIGFuZCBjb2xvbml6ZSB0aGUgZGlzdGFsIGludGVzdGluZSBhbmQgY29sb24uIFN1Y2ggcGVydHVyYmF0aW9uIG9mIGd1dCBtaWNyb2Jpb3RhLCBpLmUuIGR5c2Jpb3NpcywgbWF5IGluZmx1ZW5jZSBodW1hbiBoZWFsdGggYW5kIGRpc2Vhc2UuIiwicHVibGlzaGVyIjoiU3ByaW5nZXIgVmVybGFnIiwidm9sdW1lIjoiNDAwIn0sImlzVGVtcG9yYXJ5IjpmYWxzZX1dfQ==&quot;,&quot;citationItems&quot;:[{&quot;id&quot;:&quot;dbbc8a25-2111-3418-9500-a6db16ed9676&quot;,&quot;itemData&quot;:{&quot;type&quot;:&quot;chapter&quot;,&quot;id&quot;:&quot;dbbc8a25-2111-3418-9500-a6db16ed9676&quot;,&quot;title&quot;:&quot;Helicobacter pylori-induced changes in gastric acid secretion and upper gastrointestinal disease&quot;,&quot;author&quot;:[{&quot;family&quot;:&quot;Smolka&quot;,&quot;given&quot;:&quot;Adam J.&quot;,&quot;parse-names&quot;:false,&quot;dropping-particle&quot;:&quot;&quot;,&quot;non-dropping-particle&quot;:&quot;&quot;},{&quot;family&quot;:&quot;Schubert&quot;,&quot;given&quot;:&quot;Mitchell L.&quot;,&quot;parse-names&quot;:false,&quot;dropping-particle&quot;:&quot;&quot;,&quot;non-dropping-particle&quot;:&quot;&quot;}],&quot;container-title&quot;:&quot;Current Topics in Microbiology and Immunology&quot;,&quot;container-title-short&quot;:&quot;Curr. Top. Microbiol. Immunol.&quot;,&quot;DOI&quot;:&quot;10.1007/978-3-319-50520-6_10&quot;,&quot;ISSN&quot;:&quot;21969965&quot;,&quot;PMID&quot;:&quot;28124156&quot;,&quot;issued&quot;:{&quot;date-parts&quot;:[[2017,1,1]]},&quot;page&quot;:&quot;227-252&quot;,&quot;abstract&quot;:&quot;Appropriate management of Helicobacter pylori infection of the human stomach is evolving and remains a significant clinical challenge. Acute infection results in hypochlorhydria, whereas chronic infection results in either hypo- or hyperchlorhydria, depending upon the anatomic site of infection. Acute hypochlorhydria facilitates survival of the bacterium and its infection of the stomach. Interestingly, most patients chronically infected with H. pylori manifest a pangastritis with reduced acid secretion due to bacterial virulence factors, inflammatory cytokines, and various degrees of gastric atrophy. While these patients are predisposed to develop gastric adenocarcinoma (*1%), there is increasing evidence from population studies that they are also protected from gastroesophageal reflux disease (GERD), Barrett’s esophagus (BE), and esophageal adenocarcinoma (EAC). Eradication of H. pylori, in these patients, may provoke GERD in predisposed individuals and may be a contributory factor for the rising incidence of refractory GERD, BE, and EAC observed in Westernized societies. Only *10% of chronically infected patients, mainly the young, manifest an antral predominant gastritis with increased acid secretion due to a decrease in somatostatin and increase in gastrin secretion; these patients are predisposed to develop peptic ulcer disease. H. pylori-induced changes in acid secretion, in particular hypochlorhydria, may allow ingested microorganisms to survive transit through the stomach and colonize the distal intestine and colon. Such perturbation of gut microbiota, i.e. dysbiosis, may influence human health and disease.&quot;,&quot;publisher&quot;:&quot;Springer Verlag&quot;,&quot;volume&quot;:&quot;400&quot;},&quot;isTemporary&quot;:false}]},{&quot;citationID&quot;:&quot;MENDELEY_CITATION_93aadc84-e2dc-488a-b336-3e8d95b843db&quot;,&quot;properties&quot;:{&quot;noteIndex&quot;:0},&quot;isEdited&quot;:false,&quot;manualOverride&quot;:{&quot;isManuallyOverridden&quot;:false,&quot;citeprocText&quot;:&quot;[12]&quot;,&quot;manualOverrideText&quot;:&quot;&quot;},&quot;citationTag&quot;:&quot;MENDELEY_CITATION_v3_eyJjaXRhdGlvbklEIjoiTUVOREVMRVlfQ0lUQVRJT05fOTNhYWRjODQtZTJkYy00ODhhLWIzMzYtM2U4ZDk1Yjg0M2RiIiwicHJvcGVydGllcyI6eyJub3RlSW5kZXgiOjB9LCJpc0VkaXRlZCI6ZmFsc2UsIm1hbnVhbE92ZXJyaWRlIjp7ImlzTWFudWFsbHlPdmVycmlkZGVuIjpmYWxzZSwiY2l0ZXByb2NUZXh0IjoiWzEyXSIsIm1hbnVhbE92ZXJyaWRlVGV4dCI6IiJ9LCJjaXRhdGlvbkl0ZW1zIjpbeyJpZCI6IjgyZmE2YmRjLTkzNDctMzhkMS04NjI0LWM3MzM0Y2U4ZTYyNCIsIml0ZW1EYXRhIjp7InR5cGUiOiJhcnRpY2xlLWpvdXJuYWwiLCJpZCI6IjgyZmE2YmRjLTkzNDctMzhkMS04NjI0LWM3MzM0Y2U4ZTYyNCIsInRpdGxlIjoiSGVsaWNvYmFjdGVyIHB5bG9yaSBJbmZlY3Rpb24gYW5kIEdhc3Ryb2Vzb3BoYWdlYWwgUmVmbHV4IGluIGEgUG9wdWxhdGlvbi1CYXNlZCBTdHVkeSAoVGhlIEhVTlQgU3R1ZHkpIiwiYXV0aG9yIjpbeyJmYW1pbHkiOiJOb3JkZW5zdGVkdCIsImdpdmVuIjoiSGVsZW5hIiwicGFyc2UtbmFtZXMiOmZhbHNlLCJkcm9wcGluZy1wYXJ0aWNsZSI6IiIsIm5vbi1kcm9wcGluZy1wYXJ0aWNsZSI6IiJ9LHsiZmFtaWx5IjoiTmlsc3NvbiIsImdpdmVuIjoiTWFnbnVzIiwicGFyc2UtbmFtZXMiOmZhbHNlLCJkcm9wcGluZy1wYXJ0aWNsZSI6IiIsIm5vbi1kcm9wcGluZy1wYXJ0aWNsZSI6IiJ9LHsiZmFtaWx5IjoiSm9obnNlbiIsImdpdmVuIjoiUm9hciIsInBhcnNlLW5hbWVzIjpmYWxzZSwiZHJvcHBpbmctcGFydGljbGUiOiIiLCJub24tZHJvcHBpbmctcGFydGljbGUiOiIifSx7ImZhbWlseSI6IkxhZ2VyZ3JlbiIsImdpdmVuIjoiSmVzcGVyIiwicGFyc2UtbmFtZXMiOmZhbHNlLCJkcm9wcGluZy1wYXJ0aWNsZSI6IiIsIm5vbi1kcm9wcGluZy1wYXJ0aWNsZSI6IiJ9LHsiZmFtaWx5IjoiSHZlZW0iLCJnaXZlbiI6IktyaXN0aWFuIiwicGFyc2UtbmFtZXMiOmZhbHNlLCJkcm9wcGluZy1wYXJ0aWNsZSI6IiIsIm5vbi1kcm9wcGluZy1wYXJ0aWNsZSI6IiJ9XSwiSVNTTiI6IjE1MjMtNTM3OCIsImlzc3VlZCI6eyJkYXRlLXBhcnRzIjpbWzIwMDddXX0sImFic3RyYWN0IjoiQmFja2dyb3VuZCBhbmQgQWltOiBJdCBoYXMgYmVlbiBzdWdnZXN0ZWQgdGhhdCBIZWxpY29iYWN0ZXIgcHlsb3JpIGluZmVjdGlvbiBtYXkgcHJldmVudCBnYXN0cm9lc29waGFnZWFsIHJlZmx1eCwgcG9zc2libHkgdGhyb3VnaCBnYXN0cmljIGF0cm9waHkuIFNpbmNlLCBob3dldmVyLCBwcmV2aW91cyByZXN1bHRzIGFyZSBjb250cmFkaWN0b3J5IGFuZCBubyBwb3B1bGF0aW9uLWJhc2VkIHN0dWRpZXMgYXJlIGF2YWlsYWJsZSwgdGhlIHJlbGF0aW9uc2hpcCBiZXR3ZWVuIEguIHB5bG9yaSBhbmQgcmVmbHV4IHJlbWFpbnMgdW5jZXJ0YWluLiBUaGUgYWltIG9mIHRoaXMgc3R1ZHkgd2FzIHRvIGludmVzdGlnYXRlIHRoaXMgcmVsYXRpb25zaGlwIGluIGEgcG9wdWxhdGlvbi1iYXNlZCwgbmVzdGVkLCBjYXNlLWNvbnRyb2wgc3R1ZHkuIE1ldGhvZHM6IEZyb20gYSBjb2hvcnQgb2YgNjUsMzYzIGluZGl2aWR1YWxzLCByZXByZXNlbnRpbmcgNzEuMiUgb2YgdGhlIGFkdWx0IHBvcHVsYXRpb24gaW4gdGhlIE5vcndlZ2lhbiBjb3VudHkgb2YgTm9yZC1Ucm9uZGVsYWcsIHdlIHJhbmRvbWx5IHNlbGVjdGVkIDQ3MiBwZXJzb25zIHdpdGggcmVjdXJyZW50IHJlZmx1eCBzeW1wdG9tcyAoY2FzZXMpIGFuZCA0NzIgd2l0aG91dCBzdWNoIHN5bXB0b21zIChjb250cm9scykuIE9jY3VycmVuY2Ugb2YgSC4gcHlsb3JpIGFuZCBpdHMgdmlydWxlbmNlIGZhY3RvciBjYWdBIHdhcyBkZXRlcm1pbmVkIHNlcm9sb2dpY2FsbHksIHVzaW5nIGFuIGltbXVub2Jsb3QgYXNzYXkuIEdhc3RyaWMgYXRyb3BoeSB3YXMgYXNzZXNzZWQgdGhyb3VnaCBzZXJ1bSBsZXZlbHMgb2YgcGVwc2lub2dlbiBJLiBPZGRzIHJhdGlvcyAoT1IpIHdpdGggOTUlIGNvbmZpZGVuY2UgaW50ZXJ2YWxzIChDSSksIGFkanVzdGVkIGZvciBwb3RlbnRpYWwgY29uZm91bmRpbmcgZmFjdG9ycywgcmVwcmVzZW50ZWQgcmVsYXRpdmUgcmlza3MuIFJlc3VsdHM6IEguIHB5bG9yaSBpbmZlY3Rpb24gd2FzIG5vdCBhc3NvY2lhdGVkIHdpdGggYSBkZWNyZWFzZWQgcmlzayBvZiByZWZsdXggc3ltcHRvbXMgKE9SIDEuMSwgOTUlIENJIDAuOC0xLjYpLCBpcnJlc3BlY3RpdmUgb2YgcG9zaXRpdmUgY2FnQSBzdGF0dXMgKE9SIDEuMSwgOTUlIENJIDAuOC0xLjUpLiBHYXN0cmljIGF0cm9waHkgcmVkdWNlZCB0aGUgcmlzayBvZiByZWZsdXggc3ltcHRvbXMgKE9SIDAuMiwgOTUlIENJIDAuMC0wLjYpLiBJbmZlY3Rpb24gd2l0aCBILiBweWxvcmkgZW50YWlsZWQgYSBuaW5lZm9sZCBpbmNyZWFzZSBpbiB0aGUgcmlzayBvZiBnYXN0cmljIGF0cm9waHkgY29tcGFyZWQgdG8gbm9uLWluZmVjdGlvbiAoT1IgOC45LCA5NSUgQ0kgMi4wLTM5LjkpLiBDb25jbHVzaW9uczogSC4gcHlsb3JpIGluZmVjdGlvbiwgaXJyZXNwZWN0aXZlIG9mIGNhZ0Egc3RhdHVzLCBkaWQgbm90IGFmZmVjdCB0aGUgb2NjdXJyZW5jZSBvZiByZWZsdXggc3ltcHRvbXMgaW4gdGhpcyBwb3B1bGF0aW9uLWJhc2VkIHNldHRpbmcuIEluZmVjdGVkIGluZGl2aWR1YWxzIGFyZSBhdCBpbmNyZWFzZWQgcmlzayBvZiBnYXN0cmljIGF0cm9waHksIHdoaWNoIGluIHR1cm4gcmVkdWNlcyByZWZsdXggc3ltcHRvbXMsIGJ1dCBkdWUgdG8gdGhlIGxvdyBmcmVxdWVuY3kgb2YgZ2FzdHJpYyBhdHJvcGh5IGFtb25nIGluZmVjdGVkIGluZGl2aWR1YWxzIG92ZXJhbGwsIHRoZXJlIHdhcyBubyBhc3NvY2lhdGlvbiB3aXRoIHJlZmx1eCBzeW1wdG9tcyBvbiBhIHBvcHVsYXRpb24gbGV2ZWwuIiwiY29udGFpbmVyLXRpdGxlLXNob3J0IjoiIn0sImlzVGVtcG9yYXJ5IjpmYWxzZX1dfQ==&quot;,&quot;citationItems&quot;:[{&quot;id&quot;:&quot;82fa6bdc-9347-38d1-8624-c7334ce8e624&quot;,&quot;itemData&quot;:{&quot;type&quot;:&quot;article-journal&quot;,&quot;id&quot;:&quot;82fa6bdc-9347-38d1-8624-c7334ce8e624&quot;,&quot;title&quot;:&quot;Helicobacter pylori Infection and Gastroesophageal Reflux in a Population-Based Study (The HUNT Study)&quot;,&quot;author&quot;:[{&quot;family&quot;:&quot;Nordenstedt&quot;,&quot;given&quot;:&quot;Helena&quot;,&quot;parse-names&quot;:false,&quot;dropping-particle&quot;:&quot;&quot;,&quot;non-dropping-particle&quot;:&quot;&quot;},{&quot;family&quot;:&quot;Nilsson&quot;,&quot;given&quot;:&quot;Magnus&quot;,&quot;parse-names&quot;:false,&quot;dropping-particle&quot;:&quot;&quot;,&quot;non-dropping-particle&quot;:&quot;&quot;},{&quot;family&quot;:&quot;Johnsen&quot;,&quot;given&quot;:&quot;Roar&quot;,&quot;parse-names&quot;:false,&quot;dropping-particle&quot;:&quot;&quot;,&quot;non-dropping-particle&quot;:&quot;&quot;},{&quot;family&quot;:&quot;Lagergren&quot;,&quot;given&quot;:&quot;Jesper&quot;,&quot;parse-names&quot;:false,&quot;dropping-particle&quot;:&quot;&quot;,&quot;non-dropping-particle&quot;:&quot;&quot;},{&quot;family&quot;:&quot;Hveem&quot;,&quot;given&quot;:&quot;Kristian&quot;,&quot;parse-names&quot;:false,&quot;dropping-particle&quot;:&quot;&quot;,&quot;non-dropping-particle&quot;:&quot;&quot;}],&quot;ISSN&quot;:&quot;1523-5378&quot;,&quot;issued&quot;:{&quot;date-parts&quot;:[[2007]]},&quot;abstract&quot;:&quot;Background and Aim: It has been suggested that Helicobacter pylori infection may prevent gastroesophageal reflux, possibly through gastric atrophy. Since, however, previous results are contradictory and no population-based studies are available, the relationship between H. pylori and reflux remains uncertain. The aim of this study was to investigate this relationship in a population-based, nested, case-control study. Methods: From a cohort of 65,363 individuals, representing 71.2% of the adult population in the Norwegian county of Nord-Trondelag, we randomly selected 472 persons with recurrent reflux symptoms (cases) and 472 without such symptoms (controls). Occurrence of H. pylori and its virulence factor cagA was determined serologically, using an immunoblot assay. Gastric atrophy was assessed through serum levels of pepsinogen I. Odds ratios (OR) with 95% confidence intervals (CI), adjusted for potential confounding factors, represented relative risks. Results: H. pylori infection was not associated with a decreased risk of reflux symptoms (OR 1.1, 95% CI 0.8-1.6), irrespective of positive cagA status (OR 1.1, 95% CI 0.8-1.5). Gastric atrophy reduced the risk of reflux symptoms (OR 0.2, 95% CI 0.0-0.6). Infection with H. pylori entailed a ninefold increase in the risk of gastric atrophy compared to non-infection (OR 8.9, 95% CI 2.0-39.9). Conclusions: H. pylori infection, irrespective of cagA status, did not affect the occurrence of reflux symptoms in this population-based setting. Infected individuals are at increased risk of gastric atrophy, which in turn reduces reflux symptoms, but due to the low frequency of gastric atrophy among infected individuals overall, there was no association with reflux symptoms on a population level.&quot;,&quot;container-title-short&quot;:&quot;&quot;},&quot;isTemporary&quot;:false}]},{&quot;citationID&quot;:&quot;MENDELEY_CITATION_d7e4168f-65bd-4a8c-9768-478c30ca4f7d&quot;,&quot;properties&quot;:{&quot;noteIndex&quot;:0},&quot;isEdited&quot;:false,&quot;manualOverride&quot;:{&quot;isManuallyOverridden&quot;:false,&quot;citeprocText&quot;:&quot;[1,13]&quot;,&quot;manualOverrideText&quot;:&quot;&quot;},&quot;citationTag&quot;:&quot;MENDELEY_CITATION_v3_eyJjaXRhdGlvbklEIjoiTUVOREVMRVlfQ0lUQVRJT05fZDdlNDE2OGYtNjViZC00YThjLTk3NjgtNDc4YzMwY2E0ZjdkIiwicHJvcGVydGllcyI6eyJub3RlSW5kZXgiOjB9LCJpc0VkaXRlZCI6ZmFsc2UsIm1hbnVhbE92ZXJyaWRlIjp7ImlzTWFudWFsbHlPdmVycmlkZGVuIjpmYWxzZSwiY2l0ZXByb2NUZXh0IjoiWzEsMTNdIiwibWFudWFsT3ZlcnJpZGVUZXh0IjoiIn0sImNpdGF0aW9uSXRlbXMiOlt7ImlkIjoiMDI1MGMyNWYtOTI3Yy0zMWU3LThmNjEtYzk5YmQyOTY3OGQ3IiwiaXRlbURhdGEiOnsidHlwZSI6ImFydGljbGUtam91cm5hbCIsImlkIjoiMDI1MGMyNWYtOTI3Yy0zMWU3LThmNjEtYzk5YmQyOTY3OGQ3IiwidGl0bGUiOiJIZWxpY29iYWN0ZXIgcHlsb3JpIGluZmVjdGlvbiIsImF1dGhvciI6W3siZmFtaWx5IjoiTWFsZmVydGhlaW5lciIsImdpdmVuIjoiUGV0ZXIiLCJwYXJzZS1uYW1lcyI6ZmFsc2UsImRyb3BwaW5nLXBhcnRpY2xlIjoiIiwibm9uLWRyb3BwaW5nLXBhcnRpY2xlIjoiIn0seyJmYW1pbHkiOiJDYW1hcmdvIiwiZ2l2ZW4iOiJNLiBDb25zdGFuemEiLCJwYXJzZS1uYW1lcyI6ZmFsc2UsImRyb3BwaW5nLXBhcnRpY2xlIjoiIiwibm9uLWRyb3BwaW5nLXBhcnRpY2xlIjoiIn0seyJmYW1pbHkiOiJFbC1PbWFyIiwiZ2l2ZW4iOiJFbWFkIiwicGFyc2UtbmFtZXMiOmZhbHNlLCJkcm9wcGluZy1wYXJ0aWNsZSI6IiIsIm5vbi1kcm9wcGluZy1wYXJ0aWNsZSI6IiJ9LHsiZmFtaWx5IjoiTGlvdSIsImdpdmVuIjoiSnloIE1pbmciLCJwYXJzZS1uYW1lcyI6ZmFsc2UsImRyb3BwaW5nLXBhcnRpY2xlIjoiIiwibm9uLWRyb3BwaW5nLXBhcnRpY2xlIjoiIn0seyJmYW1pbHkiOiJQZWVrIiwiZ2l2ZW4iOiJSaWNoYXJkIiwicGFyc2UtbmFtZXMiOmZhbHNlLCJkcm9wcGluZy1wYXJ0aWNsZSI6IiIsIm5vbi1kcm9wcGluZy1wYXJ0aWNsZSI6IiJ9LHsiZmFtaWx5IjoiU2NodWx6IiwiZ2l2ZW4iOiJDaHJpc3RpYW4iLCJwYXJzZS1uYW1lcyI6ZmFsc2UsImRyb3BwaW5nLXBhcnRpY2xlIjoiIiwibm9uLWRyb3BwaW5nLXBhcnRpY2xlIjoiIn0seyJmYW1pbHkiOiJTbWl0aCIsImdpdmVuIjoiU3RlbGxhIEkuIiwicGFyc2UtbmFtZXMiOmZhbHNlLCJkcm9wcGluZy1wYXJ0aWNsZSI6IiIsIm5vbi1kcm9wcGluZy1wYXJ0aWNsZSI6IiJ9LHsiZmFtaWx5IjoiU3VlcmJhdW0iLCJnaXZlbiI6IlNlYmFzdGlhbiIsInBhcnNlLW5hbWVzIjpmYWxzZSwiZHJvcHBpbmctcGFydGljbGUiOiIiLCJub24tZHJvcHBpbmctcGFydGljbGUiOiIifV0sImNvbnRhaW5lci10aXRsZSI6Ik5hdHVyZSBSZXZpZXdzIERpc2Vhc2UgUHJpbWVycyIsImNvbnRhaW5lci10aXRsZS1zaG9ydCI6Ik5hdC4gUmV2LiBEaXMuIFByaW1lcnMiLCJET0kiOiIxMC4xMDM4L3M0MTU3Mi0wMjMtMDA0MzEtOCIsIklTU04iOiIyMDU2Njc2WCIsIlBNSUQiOiIzNzA4MTAwNSIsImlzc3VlZCI6eyJkYXRlLXBhcnRzIjpbWzIwMjMsMTIsMV1dfSwiYWJzdHJhY3QiOiJIZWxpY29iYWN0ZXIgcHlsb3JpIGluZmVjdGlvbiBjYXVzZXMgY2hyb25pYyBnYXN0cml0aXMsIHdoaWNoIGNhbiBwcm9ncmVzcyB0byBzZXZlcmUgZ2FzdHJvZHVvZGVuYWwgcGF0aG9sb2dpZXMsIGluY2x1ZGluZyBwZXB0aWMgdWxjZXIsIGdhc3RyaWMgY2FuY2VyIGFuZCBnYXN0cmljIG11Y29zYS1hc3NvY2lhdGVkIGx5bXBob2lkIHRpc3N1ZSBseW1waG9tYS4gSC4gcHlsb3JpIGlzIHVzdWFsbHkgdHJhbnNtaXR0ZWQgaW4gY2hpbGRob29kIGFuZCBwZXJzaXN0cyBmb3IgbGlmZSBpZiB1bnRyZWF0ZWQuIFRoZSBpbmZlY3Rpb24gYWZmZWN0cyBhcm91bmQgaGFsZiBvZiB0aGUgcG9wdWxhdGlvbiBpbiB0aGUgd29ybGQgYnV0IHByZXZhbGVuY2UgdmFyaWVzIGFjY29yZGluZyB0byBsb2NhdGlvbiBhbmQgc2FuaXRhdGlvbiBzdGFuZGFyZHMuIEguIHB5bG9yaSBoYXMgdW5pcXVlIHByb3BlcnRpZXMgdG8gY29sb25pemUgZ2FzdHJpYyBlcGl0aGVsaXVtIGluIGFuIGFjaWRpYyBlbnZpcm9ubWVudC4gVGhlIHBhdGhvcGh5c2lvbG9neSBvZiBILiBweWxvcmkgaW5mZWN0aW9uIGlzIGRlcGVuZGVudCBvbiBjb21wbGV4IGJhY3RlcmlhbCB2aXJ1bGVuY2UgbWVjaGFuaXNtcyBhbmQgdGhlaXIgaW50ZXJhY3Rpb24gd2l0aCB0aGUgaG9zdCBpbW11bmUgc3lzdGVtIGFuZCBlbnZpcm9ubWVudGFsIGZhY3RvcnMsIHJlc3VsdGluZyBpbiBkaXN0aW5jdCBnYXN0cml0aXMgcGhlbm90eXBlcyB0aGF0IGRldGVybWluZSBwb3NzaWJsZSBwcm9ncmVzc2lvbiB0byBkaWZmZXJlbnQgZ2FzdHJvZHVvZGVuYWwgcGF0aG9sb2dpZXMuIFRoZSBjYXVzYXRpdmUgcm9sZSBvZiBILiBweWxvcmkgaW5mZWN0aW9uIGluIGdhc3RyaWMgY2FuY2VyIGRldmVsb3BtZW50IHByZXNlbnRzIHRoZSBvcHBvcnR1bml0eSBmb3IgcHJldmVudGl2ZSBzY3JlZW4tYW5kLXRyZWF0IHN0cmF0ZWdpZXMuIEludmFzaXZlLCBlbmRvc2NvcHktYmFzZWQgYW5kIG5vbi1pbnZhc2l2ZSBtZXRob2RzLCBpbmNsdWRpbmcgYnJlYXRoLCBzdG9vbCBhbmQgc2Vyb2xvZ2ljYWwgdGVzdHMsIGFyZSB1c2VkIGluIHRoZSBkaWFnbm9zaXMgb2YgSC4gcHlsb3JpIGluZmVjdGlvbi4gVGhlaXIgdXNlIGRlcGVuZHMgb24gdGhlIHNwZWNpZmljIGluZGl2aWR1YWwgcGF0aWVudCBoaXN0b3J5IGFuZCBsb2NhbCBhdmFpbGFiaWxpdHkuIEguIHB5bG9yaSB0cmVhdG1lbnQgY29uc2lzdHMgb2YgYSBzdHJvbmcgYWNpZCBzdXBwcmVzc2FudCBpbiB2YXJpb3VzIGNvbWJpbmF0aW9ucyB3aXRoIGFudGliaW90aWNzIGFuZC9vciBiaXNtdXRoLiBUaGUgZHJhbWF0aWMgaW5jcmVhc2UgaW4gcmVzaXN0YW5jZSB0byBrZXkgYW50aWJpb3RpY3MgdXNlZCBpbiBILiBweWxvcmkgZXJhZGljYXRpb24gZGVtYW5kcyBhbnRpYmlvdGljIHN1c2NlcHRpYmlsaXR5IHRlc3RpbmcsIHN1cnZlaWxsYW5jZSBvZiByZXNpc3RhbmNlIGFuZCBhbnRpYmlvdGljIHN0ZXdhcmRzaGlwLiIsInB1Ymxpc2hlciI6Ik5hdHVyZSBSZXNlYXJjaCIsImlzc3VlIjoiMSIsInZvbHVtZSI6IjkifSwiaXNUZW1wb3JhcnkiOmZhbHNlfSx7ImlkIjoiMTcyNjljMDMtOGE4NC0zN2JlLWFjNDgtYWM4ODRhOGIzODZiIiwiaXRlbURhdGEiOnsidHlwZSI6ImFydGljbGUiLCJpZCI6IjE3MjY5YzAzLThhODQtMzdiZS1hYzQ4LWFjODg0YThiMzg2YiIsInRpdGxlIjoiQXNzb2NpYXRpb24gb2YgSGVsaWNvYmFjdGVyIHB5bG9yaSByZWxhdGVkIGNocm9uaWMgYXRyb3BoaWMgZ2FzdHJpdGlzIGFuZCBnYXN0cmljIGNhbmNlciByaXNrOiBhIGxpdGVyYXR1cmUgcmV2aWV3IiwiYXV0aG9yIjpbeyJmYW1pbHkiOiJaaGFuZyIsImdpdmVuIjoiWmVmZW5nIiwicGFyc2UtbmFtZXMiOmZhbHNlLCJkcm9wcGluZy1wYXJ0aWNsZSI6IiIsIm5vbi1kcm9wcGluZy1wYXJ0aWNsZSI6IiJ9LHsiZmFtaWx5IjoiQ2hlbiIsImdpdmVuIjoiU2l0b25nIiwicGFyc2UtbmFtZXMiOmZhbHNlLCJkcm9wcGluZy1wYXJ0aWNsZSI6IiIsIm5vbi1kcm9wcGluZy1wYXJ0aWNsZSI6IiJ9LHsiZmFtaWx5IjoiTGkiLCJnaXZlbiI6IlNodWRhbiIsInBhcnNlLW5hbWVzIjpmYWxzZSwiZHJvcHBpbmctcGFydGljbGUiOiIiLCJub24tZHJvcHBpbmctcGFydGljbGUiOiIifSx7ImZhbWlseSI6IlpoZW5nIiwiZ2l2ZW4iOiJZYWRhbiIsInBhcnNlLW5hbWVzIjpmYWxzZSwiZHJvcHBpbmctcGFydGljbGUiOiIiLCJub24tZHJvcHBpbmctcGFydGljbGUiOiIifSx7ImZhbWlseSI6Ik1haSIsImdpdmVuIjoiTGlmZWkiLCJwYXJzZS1uYW1lcyI6ZmFsc2UsImRyb3BwaW5nLXBhcnRpY2xlIjoiIiwibm9uLWRyb3BwaW5nLXBhcnRpY2xlIjoiIn0seyJmYW1pbHkiOiJaaGFuZyIsImdpdmVuIjoiWGlhb2d1YW5nIiwicGFyc2UtbmFtZXMiOmZhbHNlLCJkcm9wcGluZy1wYXJ0aWNsZSI6IiIsIm5vbi1kcm9wcGluZy1wYXJ0aWNsZSI6IiJ9XSwiY29udGFpbmVyLXRpdGxlIjoiRnJvbnRpZXJzIGluIE1lZGljaW5lIiwiY29udGFpbmVyLXRpdGxlLXNob3J0IjoiRnJvbnQuIE1lZC4gKExhdXNhbm5lKS4iLCJET0kiOiIxMC4zMzg5L2ZtZWQuMjAyNS4xNTA0NzQ5IiwiSVNTTiI6IjIyOTY4NThYIiwiaXNzdWVkIjp7ImRhdGUtcGFydHMiOltbMjAyNV1dfSwiYWJzdHJhY3QiOiJDaHJvbmljIGF0cm9waGljIGdhc3RyaXRpcyAoQ0FHKSBpcyBjb25zaWRlcmVkIHRvIGJlIGNsb3NlbHkgcmVsYXRlZCB0byBIZWxpY29iYWN0ZXIgcHlsb3JpIChILiBweWxvcmkpIGluZmVjdGlvbiBhbmQgY2hhcmFjdGVyaXplZCBieSB0aGUgYXRyb3BoeSBhbmQvb3IgaW50ZXN0aW5hbCBtZXRhcGxhc2lhIChJTSkgb2YgdGhlIGdhc3RyaWMgbXVjb3NhIGluIHBhdGhvbG9neS4gQ0FHIGlzIG9mdGVuIHJlZ2FyZGVkIGFzIHRoZSBwcmVjYW5jZXJvdXMgbGVzaW9uIG9mIGdhc3RyaWMgY2FuY2VyIGFuZCBILiBweWxvcmkgaW5mZWN0aW9uIHN0aW11bGF0ZXMgdGhlIGRldmVsb3BtZW50IG9mIGF0cm9waHkgYW5kIElNIGFuZCB0aGUgcHJvZ3Jlc3Npb24gb2YgZ2FzdHJpYyBjYW5jZXIgdGhyb3VnaCB0aGUgcGVyc2lzdGVudCBlZmZlY3QgYWN0aW5nIG9uIHRoZSBnYXN0cmljIG11Y29zYSwgaW5jbHVkaW5nIHJlbGVhc2luZyBpbmZsYW1tYXRvcnkgZmFjdG9ycyBzdWNoIGFzIEludGVybGV1a2luLTgoSUwtOCkuIEZyb20gdGhlIG1vbGVjdWxhciBiaW9sb2d5IHBlcnNwZWN0aXZlLCBncm93aW5nIGV2aWRlbmNlIHNob3dzIHRoYXQgSC4gcHlsb3JpIHByb2JhYmx5IGluZHVjZSB0aGUgZXhwcmVzc2lvbiBvZiBORi3OukIsIG1pUi0yMDQsIG1pUi0yN2EsIGhuUk5QQTJCMSwgYW5kIEpBUklEMUIsIHdoaWNoIHBsYXkgY3J1Y2lhbCByb2xlcyBpbiB0aGUgcHJvZ3Jlc3Npb24gb2YgQ0FHIGludG8gZ2FzdHJpYyBjYW5jZXIuIEluIGFkZGl0aW9uLCBILiBweWxvcmkgY2FuIGluY3JlYXNlIEVwc3RlaW4tQmFyciB2aXJ1cyAoRUJWKSBpbmZlY3Rpb24sIGFuZCB0aGUgY28taW5mZWN0aW9uIHdpbGwgam9pbnRseSBpbmNyZWFzZSBnYXN0cmljIGNhbmNlciByaXNrLiBGdXJ0aGVybW9yZSwgSC4gcHlsb3JpIGluZHVjZXMgY2VsbHVsYXIgc2VuZXNjZW5jZSBhbmQgcHJvbW90ZXMgYXRyb3BoeSBwcm9ncmVzc2lvbiBhbmQgZmluYWxseSBpbmNyZWFzZXMgdGhlIGdhc3RyaWMgY2FuY2VyIHJpc2suIFRoaXMgcmV2aWV3IGFpbXMgdG8gZXhwbG9yZSB0aGUgY2FyY2lub2dlbmljIG1lY2hhbmlzbXMgb2YgSC4gcHlsb3JpIHJlbGF0ZWQgQ0FHIGluIG9yZGVyIHRvIHByb3ZpZGUgdGhlb3JldGljYWwgZm91bmRhdGlvbnMgZm9yIHRoZSBwYXRob2dlbmVzaXMgbWVjaGFuaXNtIGFuZCBlYXJseSBkZXRlY3Rpb24gYW5kIHByZXZlbnRpb24gb2YgZ2FzdHJpYyBjYW5jZXIuIiwicHVibGlzaGVyIjoiRnJvbnRpZXJzIE1lZGlhIFNBIiwidm9sdW1lIjoiMTIifSwiaXNUZW1wb3JhcnkiOmZhbHNlfV19&quot;,&quot;citationItems&quot;:[{&quot;id&quot;:&quot;0250c25f-927c-31e7-8f61-c99bd29678d7&quot;,&quot;itemData&quot;:{&quot;type&quot;:&quot;article-journal&quot;,&quot;id&quot;:&quot;0250c25f-927c-31e7-8f61-c99bd29678d7&quot;,&quot;title&quot;:&quot;Helicobacter pylori infection&quot;,&quot;author&quot;:[{&quot;family&quot;:&quot;Malfertheiner&quot;,&quot;given&quot;:&quot;Peter&quot;,&quot;parse-names&quot;:false,&quot;dropping-particle&quot;:&quot;&quot;,&quot;non-dropping-particle&quot;:&quot;&quot;},{&quot;family&quot;:&quot;Camargo&quot;,&quot;given&quot;:&quot;M. Constanza&quot;,&quot;parse-names&quot;:false,&quot;dropping-particle&quot;:&quot;&quot;,&quot;non-dropping-particle&quot;:&quot;&quot;},{&quot;family&quot;:&quot;El-Omar&quot;,&quot;given&quot;:&quot;Emad&quot;,&quot;parse-names&quot;:false,&quot;dropping-particle&quot;:&quot;&quot;,&quot;non-dropping-particle&quot;:&quot;&quot;},{&quot;family&quot;:&quot;Liou&quot;,&quot;given&quot;:&quot;Jyh Ming&quot;,&quot;parse-names&quot;:false,&quot;dropping-particle&quot;:&quot;&quot;,&quot;non-dropping-particle&quot;:&quot;&quot;},{&quot;family&quot;:&quot;Peek&quot;,&quot;given&quot;:&quot;Richard&quot;,&quot;parse-names&quot;:false,&quot;dropping-particle&quot;:&quot;&quot;,&quot;non-dropping-particle&quot;:&quot;&quot;},{&quot;family&quot;:&quot;Schulz&quot;,&quot;given&quot;:&quot;Christian&quot;,&quot;parse-names&quot;:false,&quot;dropping-particle&quot;:&quot;&quot;,&quot;non-dropping-particle&quot;:&quot;&quot;},{&quot;family&quot;:&quot;Smith&quot;,&quot;given&quot;:&quot;Stella I.&quot;,&quot;parse-names&quot;:false,&quot;dropping-particle&quot;:&quot;&quot;,&quot;non-dropping-particle&quot;:&quot;&quot;},{&quot;family&quot;:&quot;Suerbaum&quot;,&quot;given&quot;:&quot;Sebastian&quot;,&quot;parse-names&quot;:false,&quot;dropping-particle&quot;:&quot;&quot;,&quot;non-dropping-particle&quot;:&quot;&quot;}],&quot;container-title&quot;:&quot;Nature Reviews Disease Primers&quot;,&quot;container-title-short&quot;:&quot;Nat. Rev. Dis. Primers&quot;,&quot;DOI&quot;:&quot;10.1038/s41572-023-00431-8&quot;,&quot;ISSN&quot;:&quot;2056676X&quot;,&quot;PMID&quot;:&quot;37081005&quot;,&quot;issued&quot;:{&quot;date-parts&quot;:[[2023,12,1]]},&quot;abstract&quot;:&quot;Helicobacter pylori infection causes chronic gastritis, which can progress to severe gastroduodenal pathologies, including peptic ulcer, gastric cancer and gastric mucosa-associated lymphoid tissue lymphoma. H. pylori is usually transmitted in childhood and persists for life if untreated. The infection affects around half of the population in the world but prevalence varies according to location and sanitation standards. H. pylori has unique properties to colonize gastric epithelium in an acidic environment. The pathophysiology of H. pylori infection is dependent on complex bacterial virulence mechanisms and their interaction with the host immune system and environmental factors, resulting in distinct gastritis phenotypes that determine possible progression to different gastroduodenal pathologies. The causative role of H. pylori infection in gastric cancer development presents the opportunity for preventive screen-and-treat strategies. Invasive, endoscopy-based and non-invasive methods, including breath, stool and serological tests, are used in the diagnosis of H. pylori infection. Their use depends on the specific individual patient history and local availability. H. pylori treatment consists of a strong acid suppressant in various combinations with antibiotics and/or bismuth. The dramatic increase in resistance to key antibiotics used in H. pylori eradication demands antibiotic susceptibility testing, surveillance of resistance and antibiotic stewardship.&quot;,&quot;publisher&quot;:&quot;Nature Research&quot;,&quot;issue&quot;:&quot;1&quot;,&quot;volume&quot;:&quot;9&quot;},&quot;isTemporary&quot;:false},{&quot;id&quot;:&quot;17269c03-8a84-37be-ac48-ac884a8b386b&quot;,&quot;itemData&quot;:{&quot;type&quot;:&quot;article&quot;,&quot;id&quot;:&quot;17269c03-8a84-37be-ac48-ac884a8b386b&quot;,&quot;title&quot;:&quot;Association of Helicobacter pylori related chronic atrophic gastritis and gastric cancer risk: a literature review&quot;,&quot;author&quot;:[{&quot;family&quot;:&quot;Zhang&quot;,&quot;given&quot;:&quot;Zefeng&quot;,&quot;parse-names&quot;:false,&quot;dropping-particle&quot;:&quot;&quot;,&quot;non-dropping-particle&quot;:&quot;&quot;},{&quot;family&quot;:&quot;Chen&quot;,&quot;given&quot;:&quot;Sitong&quot;,&quot;parse-names&quot;:false,&quot;dropping-particle&quot;:&quot;&quot;,&quot;non-dropping-particle&quot;:&quot;&quot;},{&quot;family&quot;:&quot;Li&quot;,&quot;given&quot;:&quot;Shudan&quot;,&quot;parse-names&quot;:false,&quot;dropping-particle&quot;:&quot;&quot;,&quot;non-dropping-particle&quot;:&quot;&quot;},{&quot;family&quot;:&quot;Zheng&quot;,&quot;given&quot;:&quot;Yadan&quot;,&quot;parse-names&quot;:false,&quot;dropping-particle&quot;:&quot;&quot;,&quot;non-dropping-particle&quot;:&quot;&quot;},{&quot;family&quot;:&quot;Mai&quot;,&quot;given&quot;:&quot;Lifei&quot;,&quot;parse-names&quot;:false,&quot;dropping-particle&quot;:&quot;&quot;,&quot;non-dropping-particle&quot;:&quot;&quot;},{&quot;family&quot;:&quot;Zhang&quot;,&quot;given&quot;:&quot;Xiaoguang&quot;,&quot;parse-names&quot;:false,&quot;dropping-particle&quot;:&quot;&quot;,&quot;non-dropping-particle&quot;:&quot;&quot;}],&quot;container-title&quot;:&quot;Frontiers in Medicine&quot;,&quot;container-title-short&quot;:&quot;Front. Med. (Lausanne).&quot;,&quot;DOI&quot;:&quot;10.3389/fmed.2025.1504749&quot;,&quot;ISSN&quot;:&quot;2296858X&quot;,&quot;issued&quot;:{&quot;date-parts&quot;:[[2025]]},&quot;abstract&quot;:&quot;Chronic atrophic gastritis (CAG) is considered to be closely related to Helicobacter pylori (H. pylori) infection and characterized by the atrophy and/or intestinal metaplasia (IM) of the gastric mucosa in pathology. CAG is often regarded as the precancerous lesion of gastric cancer and H. pylori infection stimulates the development of atrophy and IM and the progression of gastric cancer through the persistent effect acting on the gastric mucosa, including releasing inflammatory factors such as Interleukin-8(IL-8). From the molecular biology perspective, growing evidence shows that H. pylori probably induce the expression of NF-κB, miR-204, miR-27a, hnRNPA2B1, and JARID1B, which play crucial roles in the progression of CAG into gastric cancer. In addition, H. pylori can increase Epstein-Barr virus (EBV) infection, and the co-infection will jointly increase gastric cancer risk. Furthermore, H. pylori induces cellular senescence and promotes atrophy progression and finally increases the gastric cancer risk. This review aims to explore the carcinogenic mechanisms of H. pylori related CAG in order to provide theoretical foundations for the pathogenesis mechanism and early detection and prevention of gastric cancer.&quot;,&quot;publisher&quot;:&quot;Frontiers Media SA&quot;,&quot;volume&quot;:&quot;12&quot;},&quot;isTemporary&quot;:false}]},{&quot;citationID&quot;:&quot;MENDELEY_CITATION_94121920-1b70-41f7-a5d3-b6d457d64202&quot;,&quot;properties&quot;:{&quot;noteIndex&quot;:0},&quot;isEdited&quot;:false,&quot;manualOverride&quot;:{&quot;isManuallyOverridden&quot;:false,&quot;citeprocText&quot;:&quot;[14]&quot;,&quot;manualOverrideText&quot;:&quot;&quot;},&quot;citationTag&quot;:&quot;MENDELEY_CITATION_v3_eyJjaXRhdGlvbklEIjoiTUVOREVMRVlfQ0lUQVRJT05fOTQxMjE5MjAtMWI3MC00MWY3LWE1ZDMtYjZkNDU3ZDY0MjAyIiwicHJvcGVydGllcyI6eyJub3RlSW5kZXgiOjB9LCJpc0VkaXRlZCI6ZmFsc2UsIm1hbnVhbE92ZXJyaWRlIjp7ImlzTWFudWFsbHlPdmVycmlkZGVuIjpmYWxzZSwiY2l0ZXByb2NUZXh0IjoiWzE0XSIsIm1hbnVhbE92ZXJyaWRlVGV4dCI6IiJ9LCJjaXRhdGlvbkl0ZW1zIjpbeyJpZCI6ImE0NzgwZGVhLTY5YzUtMzczZi1iNjJkLWE5MGM2ZTAxYThhMSIsIml0ZW1EYXRhIjp7InR5cGUiOiJhcnRpY2xlLWpvdXJuYWwiLCJpZCI6ImE0NzgwZGVhLTY5YzUtMzczZi1iNjJkLWE5MGM2ZTAxYThhMSIsInRpdGxlIjoiUHJvZ3Jlc3Npb24gb2YgY2hyb25pYyBhdHJvcGhpYyBnYXN0cml0aXMgYXNzb2NpYXRlZCB3aXRoIEhlbGljb2JhY3RlciBweWxvcmkgaW5mZWN0aW9uIGluY3JlYXNlcyByaXNrIG9mIGdhc3RyaWMgY2FuY2VyIiwiYXV0aG9yIjpbeyJmYW1pbHkiOiJPaGF0YSIsImdpdmVuIjoiSGlyb3NoaSIsInBhcnNlLW5hbWVzIjpmYWxzZSwiZHJvcHBpbmctcGFydGljbGUiOiIiLCJub24tZHJvcHBpbmctcGFydGljbGUiOiIifSx7ImZhbWlseSI6IktpdGF1Y2hpIiwiZ2l2ZW4iOiJTaGludGFybyIsInBhcnNlLW5hbWVzIjpmYWxzZSwiZHJvcHBpbmctcGFydGljbGUiOiIiLCJub24tZHJvcHBpbmctcGFydGljbGUiOiIifSx7ImZhbWlseSI6Illvc2hpbXVyYSIsImdpdmVuIjoiTm9yaWtvIiwicGFyc2UtbmFtZXMiOmZhbHNlLCJkcm9wcGluZy1wYXJ0aWNsZSI6IiIsIm5vbi1kcm9wcGluZy1wYXJ0aWNsZSI6IiJ9LHsiZmFtaWx5IjoiTXVnaXRhbmkiLCJnaXZlbiI6IktvdWljaGkiLCJwYXJzZS1uYW1lcyI6ZmFsc2UsImRyb3BwaW5nLXBhcnRpY2xlIjoiIiwibm9uLWRyb3BwaW5nLXBhcnRpY2xlIjoiIn0seyJmYW1pbHkiOiJJd2FuZSIsImdpdmVuIjoiTWFzYXRha2EiLCJwYXJzZS1uYW1lcyI6ZmFsc2UsImRyb3BwaW5nLXBhcnRpY2xlIjoiIiwibm9uLWRyb3BwaW5nLXBhcnRpY2xlIjoiIn0seyJmYW1pbHkiOiJOYWthbXVyYSIsImdpdmVuIjoiSGlkZXlhIiwicGFyc2UtbmFtZXMiOmZhbHNlLCJkcm9wcGluZy1wYXJ0aWNsZSI6IiIsIm5vbi1kcm9wcGluZy1wYXJ0aWNsZSI6IiJ9LHsiZmFtaWx5IjoiWW9zaGlrYXdhIiwiZ2l2ZW4iOiJBa2l5b3NoaSIsInBhcnNlLW5hbWVzIjpmYWxzZSwiZHJvcHBpbmctcGFydGljbGUiOiIiLCJub24tZHJvcHBpbmctcGFydGljbGUiOiIifSx7ImZhbWlseSI6IllhbmFva2EiLCJnaXZlbiI6IktpbWloaWtvIiwicGFyc2UtbmFtZXMiOmZhbHNlLCJkcm9wcGluZy1wYXJ0aWNsZSI6IiIsIm5vbi1kcm9wcGluZy1wYXJ0aWNsZSI6IiJ9LHsiZmFtaWx5IjoiQXJpaSIsImdpdmVuIjoiS2VuamkiLCJwYXJzZS1uYW1lcyI6ZmFsc2UsImRyb3BwaW5nLXBhcnRpY2xlIjoiIiwibm9uLWRyb3BwaW5nLXBhcnRpY2xlIjoiIn0seyJmYW1pbHkiOiJUYW1haSIsImdpdmVuIjoiSGlkZXl1a2kiLCJwYXJzZS1uYW1lcyI6ZmFsc2UsImRyb3BwaW5nLXBhcnRpY2xlIjoiIiwibm9uLWRyb3BwaW5nLXBhcnRpY2xlIjoiIn0seyJmYW1pbHkiOiJTaGltaXp1IiwiZ2l2ZW4iOiJZYXN1aGl0byIsInBhcnNlLW5hbWVzIjpmYWxzZSwiZHJvcHBpbmctcGFydGljbGUiOiIiLCJub24tZHJvcHBpbmctcGFydGljbGUiOiIifSx7ImZhbWlseSI6IlRha2VzaGl0YSIsImdpdmVuIjoiVGF0c3V5YSIsInBhcnNlLW5hbWVzIjpmYWxzZSwiZHJvcHBpbmctcGFydGljbGUiOiIiLCJub24tZHJvcHBpbmctcGFydGljbGUiOiIifSx7ImZhbWlseSI6Ik1vaGFyYSIsImdpdmVuIjoiT3NhbXUiLCJwYXJzZS1uYW1lcyI6ZmFsc2UsImRyb3BwaW5nLXBhcnRpY2xlIjoiIiwibm9uLWRyb3BwaW5nLXBhcnRpY2xlIjoiIn0seyJmYW1pbHkiOiJJY2hpbm9zZSIsImdpdmVuIjoiTWFzYW8iLCJwYXJzZS1uYW1lcyI6ZmFsc2UsImRyb3BwaW5nLXBhcnRpY2xlIjoiIiwibm9uLWRyb3BwaW5nLXBhcnRpY2xlIjoiIn1dLCJjb250YWluZXItdGl0bGUiOiJJbnRlcm5hdGlvbmFsIEpvdXJuYWwgb2YgQ2FuY2VyIiwiY29udGFpbmVyLXRpdGxlLXNob3J0IjoiSW50LiBKLiBDYW5jZXIiLCJET0kiOiIxMC4xMDAyL2lqYy4xMTY4MCIsIklTU04iOiIwMDIwNzEzNiIsIlBNSUQiOiIxNDczNTQ4MCIsImlzc3VlZCI6eyJkYXRlLXBhcnRzIjpbWzIwMDQsMywxMF1dfSwicGFnZSI6IjEzOC0xNDMiLCJhYnN0cmFjdCI6IldlIGNvbmR1Y3RlZCBhIGxvbmdpdHVkaW5hbCBjb2hvcnQgc3R1ZHkgdG8gZGV0ZXJtaW5lIHRoZSBhc3NvY2lhdGlvbiBvZiBIZWxpY29iYWN0ZXIgcHlsb3JpIGluZmVjdGlvbiBhbmQgdGhlIHByb2dyZXNzaW9uIG9mIGNocm9uaWMgYXRyb3BoaWMgZ2FzdHJpdGlzIChDQUcpIHdpdGggZ2FzdHJpYyBjYW5jZXIuIEEgY29ob3J0IG9mIDQsNjU1IGhlYWx0aHkgYXN5bXB0b21hdGljIHN1YmplY3RzIHdhcyBmb2xsb3dlZCBmb3IgYSBtZWFuIHBlcmlvZCBvZiA3LjcgeWVhcnMuIEguIHB5bG9yaSBpbmZlY3Rpb24gd2FzIGVzdGFibGlzaGVkIGJ5IHNlcnVtIHNwZWNpZmljIGFudGlib2RpZXMgYW5kIHRoZSBwcmVzZW5jZSBvZiBDQUcgd2FzIGNvbmZpcm1lZCBieSBzZXJ1bSBwZXBzaW5vZ2VuLiBEdXJpbmcgdGhlIGZvbGxvdy11cCBwZXJpb2QsIDQ1IGdhc3RyaWMgY2FuY2VyIGNhc2VzIHdlcmUgZGV0ZWN0ZWQgKGluY2lkZW5jZSByYXRlLCAxMjYvMTAwLDAwMCBwZXJzb24teWVhcnMpLiBBIHVuaXZhcmlhdGUgYW5hbHlzaXMgYWZ0ZXIgYWRqdXN0bWVudCBmb3IgYWdlIHNob3dlZCB0aGF0IGJvdGggSC4gcHlsb3JpIGFuZCBDQUcgd2VyZSBzaWduaWZpY2FudGx5IGFzc29jaWF0ZWQgd2l0aCBnYXN0cmljIGNhbmNlci4gVG8gY2xhcmlmeSB0aGUgaW50ZXJhY3Rpb24gYmV0d2VlbiBILiBweWxvcmkgYW5kIENBRywgYW4gYW5hbHlzaXMgc3RyYXRpZmllZCBieSBILiBweWxvcmktIGFuZCBDQUctc3RhdHVzIHdhcyBwZXJmb3JtZWQuIE5vIGNhbmNlciBkZXZlbG9wZWQgaW4gdGhlIEguIHB5bG9yaSgtKS9DQUcoLSkgZ3JvdXAgZHVyaW5nIHRoZSBzdHVkeSBwZXJpb2QuIFRoaXMgc3VwcG9ydHMgdGhlIHRoZW9yeSB0aGF0IGl0IGlzIHF1aXRlIHJhcmUgZm9yIGFueSB0eXBlIG9mIGdhc3RyaWMgY2FuY2VyIHRvIGRldmVsb3AgaW4gYW4gSC4gcHlsb3JpLWZyZWUgaGVhbHRoeSBzdG9tYWNoLiBXaXRoIHRoZSBwcm9ncmVzc2lvbiBvZiBILiBweWxvcmktaW5kdWNlZCBnYXN0cml0aXMsIHRoZSByaXNrIG9mIGdhc3RyaWMgY2FuY2VyIGluY3JlYXNlZCBpbiBhIHN0ZXB3aXNlIGZhc2hpb24gZnJvbSBDQUctZnJlZSBnYXN0cml0aXMgW0guIHB5bG9yaSgrKS9DQUcoLSkgZ3JvdXBdIChIUj03LjEzLCA5NSVDST0wLjk1LTUzLjMzKSB0byBDQUcgW0guIHB5bG9yaSgrKS9DQUcoKykgZ3JvdXBdIChIUj0xNC44NSwgOTUlQ0k9MS45Ni0xMDcuNykgYW5kIGZpbmFsbHkgdG8gc2V2ZXJlIENBRyB3aXRoIGV4dGVuc2l2ZSBpbnRlc3RpbmFsIG1ldGFwbGFzaWEgW0guIHB5bG9yaSgtKS9DQUcoKykgZ3JvdXBdIChIUj02MS44NSwgOTUlQ0k9NS42LTY4Mi42NCkgaW4gd2hpY2ggbG9zcyBvZiBILiBweWxvcmkgZnJvbSB0aGUgc3RvbWFjaCBpcyBvYnNlcnZlZC4gVGhlcmVmb3JlLCBpdCBpcyBwcm9iYWJsZSB0aGF0IEguIHB5bG9yaSBhbG9uZSBpcyBub3QgZGlyZWN0bHkgYXNzb2NpYXRlZCB3aXRoIHN0b21hY2ggY2FyY2lub2dlbmVzaXMuIEluc3RlYWQsIEguIHB5bG9yaSBhcHBlYXJzIHRvIGluZmx1ZW5jZSBzdG9tYWNoIGNhcmNpbm9nZW5lc2lzIHRocm91Z2ggdGhlIGRldmVsb3BtZW50IG9mIENBRy4gVGhlIG9ic2VydmVkIHBvc2l0aXZlIGNvcnJlbGF0aW9uIGJldHdlZW4gdGhlIGV4dGVudCBvZiBILiBweWxvcmktaW5kdWNlZCBnYXN0cml0aXMgYW5kIHRoZSBkZXZlbG9wbWVudCBvZiBjYW5jZXIgd2FzIHN0cm9uZywgZXNwZWNpYWxseSBmb3IgdGhlIGludGVzdGluYWwgdHlwZS4gVGhlc2UgcmVzdWx0cyBhcmUgY29tcGVsbGluZyBldmlkZW5jZSB0aGF0IHNldmVyZSBnYXN0cml0aXMgd2l0aCBleHRlbnNpdmUgaW50ZXN0aW5hbCBtZXRhcGxhc2lhIGlzIGEgbWFqb3IgcmlzayBmYWN0b3IgZm9yIGdhc3RyaWMgY2FuY2VyLCBhbmQgdGhleSBjb25maXJtIHRoZSBwcmV2aW91c2x5IGRlc2NyaWJlZCBtb2RlbCBvZiBzdG9tYWNoIGNhcmNpbm9nZW5lc2lzOiB0aGUgZ2FzdHJpdGlzLW1ldGFwbGFzaWEtY2FyY2lub21hIHNlcXVlbmNlLiDCqSAyMDAzIFdpbGV5LUxpc3MsIEluYy4iLCJpc3N1ZSI6IjEiLCJ2b2x1bWUiOiIxMDkifSwiaXNUZW1wb3JhcnkiOmZhbHNlfV19&quot;,&quot;citationItems&quot;:[{&quot;id&quot;:&quot;a4780dea-69c5-373f-b62d-a90c6e01a8a1&quot;,&quot;itemData&quot;:{&quot;type&quot;:&quot;article-journal&quot;,&quot;id&quot;:&quot;a4780dea-69c5-373f-b62d-a90c6e01a8a1&quot;,&quot;title&quot;:&quot;Progression of chronic atrophic gastritis associated with Helicobacter pylori infection increases risk of gastric cancer&quot;,&quot;author&quot;:[{&quot;family&quot;:&quot;Ohata&quot;,&quot;given&quot;:&quot;Hiroshi&quot;,&quot;parse-names&quot;:false,&quot;dropping-particle&quot;:&quot;&quot;,&quot;non-dropping-particle&quot;:&quot;&quot;},{&quot;family&quot;:&quot;Kitauchi&quot;,&quot;given&quot;:&quot;Shintaro&quot;,&quot;parse-names&quot;:false,&quot;dropping-particle&quot;:&quot;&quot;,&quot;non-dropping-particle&quot;:&quot;&quot;},{&quot;family&quot;:&quot;Yoshimura&quot;,&quot;given&quot;:&quot;Noriko&quot;,&quot;parse-names&quot;:false,&quot;dropping-particle&quot;:&quot;&quot;,&quot;non-dropping-particle&quot;:&quot;&quot;},{&quot;family&quot;:&quot;Mugitani&quot;,&quot;given&quot;:&quot;Kouichi&quot;,&quot;parse-names&quot;:false,&quot;dropping-particle&quot;:&quot;&quot;,&quot;non-dropping-particle&quot;:&quot;&quot;},{&quot;family&quot;:&quot;Iwane&quot;,&quot;given&quot;:&quot;Masataka&quot;,&quot;parse-names&quot;:false,&quot;dropping-particle&quot;:&quot;&quot;,&quot;non-dropping-particle&quot;:&quot;&quot;},{&quot;family&quot;:&quot;Nakamura&quot;,&quot;given&quot;:&quot;Hideya&quot;,&quot;parse-names&quot;:false,&quot;dropping-particle&quot;:&quot;&quot;,&quot;non-dropping-particle&quot;:&quot;&quot;},{&quot;family&quot;:&quot;Yoshikawa&quot;,&quot;given&quot;:&quot;Akiyoshi&quot;,&quot;parse-names&quot;:false,&quot;dropping-particle&quot;:&quot;&quot;,&quot;non-dropping-particle&quot;:&quot;&quot;},{&quot;family&quot;:&quot;Yanaoka&quot;,&quot;given&quot;:&quot;Kimihiko&quot;,&quot;parse-names&quot;:false,&quot;dropping-particle&quot;:&quot;&quot;,&quot;non-dropping-particle&quot;:&quot;&quot;},{&quot;family&quot;:&quot;Arii&quot;,&quot;given&quot;:&quot;Kenji&quot;,&quot;parse-names&quot;:false,&quot;dropping-particle&quot;:&quot;&quot;,&quot;non-dropping-particle&quot;:&quot;&quot;},{&quot;family&quot;:&quot;Tamai&quot;,&quot;given&quot;:&quot;Hideyuki&quot;,&quot;parse-names&quot;:false,&quot;dropping-particle&quot;:&quot;&quot;,&quot;non-dropping-particle&quot;:&quot;&quot;},{&quot;family&quot;:&quot;Shimizu&quot;,&quot;given&quot;:&quot;Yasuhito&quot;,&quot;parse-names&quot;:false,&quot;dropping-particle&quot;:&quot;&quot;,&quot;non-dropping-particle&quot;:&quot;&quot;},{&quot;family&quot;:&quot;Takeshita&quot;,&quot;given&quot;:&quot;Tatsuya&quot;,&quot;parse-names&quot;:false,&quot;dropping-particle&quot;:&quot;&quot;,&quot;non-dropping-particle&quot;:&quot;&quot;},{&quot;family&quot;:&quot;Mohara&quot;,&quot;given&quot;:&quot;Osamu&quot;,&quot;parse-names&quot;:false,&quot;dropping-particle&quot;:&quot;&quot;,&quot;non-dropping-particle&quot;:&quot;&quot;},{&quot;family&quot;:&quot;Ichinose&quot;,&quot;given&quot;:&quot;Masao&quot;,&quot;parse-names&quot;:false,&quot;dropping-particle&quot;:&quot;&quot;,&quot;non-dropping-particle&quot;:&quot;&quot;}],&quot;container-title&quot;:&quot;International Journal of Cancer&quot;,&quot;container-title-short&quot;:&quot;Int. J. Cancer&quot;,&quot;DOI&quot;:&quot;10.1002/ijc.11680&quot;,&quot;ISSN&quot;:&quot;00207136&quot;,&quot;PMID&quot;:&quot;14735480&quot;,&quot;issued&quot;:{&quot;date-parts&quot;:[[2004,3,10]]},&quot;page&quot;:&quot;138-143&quot;,&quot;abstract&quot;:&quot;We conducted a longitudinal cohort study to determine the association of Helicobacter pylori infection and the progression of chronic atrophic gastritis (CAG) with gastric cancer. A cohort of 4,655 healthy asymptomatic subjects was followed for a mean period of 7.7 years. H. pylori infection was established by serum specific antibodies and the presence of CAG was confirmed by serum pepsinogen. During the follow-up period, 45 gastric cancer cases were detected (incidence rate, 126/100,000 person-years). A univariate analysis after adjustment for age showed that both H. pylori and CAG were significantly associated with gastric cancer. To clarify the interaction between H. pylori and CAG, an analysis stratified by H. pylori- and CAG-status was performed. No cancer developed in the H. pylori(-)/CAG(-) group during the study period. This supports the theory that it is quite rare for any type of gastric cancer to develop in an H. pylori-free healthy stomach. With the progression of H. pylori-induced gastritis, the risk of gastric cancer increased in a stepwise fashion from CAG-free gastritis [H. pylori(+)/CAG(-) group] (HR=7.13, 95%CI=0.95-53.33) to CAG [H. pylori(+)/CAG(+) group] (HR=14.85, 95%CI=1.96-107.7) and finally to severe CAG with extensive intestinal metaplasia [H. pylori(-)/CAG(+) group] (HR=61.85, 95%CI=5.6-682.64) in which loss of H. pylori from the stomach is observed. Therefore, it is probable that H. pylori alone is not directly associated with stomach carcinogenesis. Instead, H. pylori appears to influence stomach carcinogenesis through the development of CAG. The observed positive correlation between the extent of H. pylori-induced gastritis and the development of cancer was strong, especially for the intestinal type. These results are compelling evidence that severe gastritis with extensive intestinal metaplasia is a major risk factor for gastric cancer, and they confirm the previously described model of stomach carcinogenesis: the gastritis-metaplasia-carcinoma sequence. © 2003 Wiley-Liss, Inc.&quot;,&quot;issue&quot;:&quot;1&quot;,&quot;volume&quot;:&quot;109&quot;},&quot;isTemporary&quot;:false}]},{&quot;citationID&quot;:&quot;MENDELEY_CITATION_5dedd364-337e-469a-be5b-86a491a7ca8c&quot;,&quot;properties&quot;:{&quot;noteIndex&quot;:0},&quot;isEdited&quot;:false,&quot;manualOverride&quot;:{&quot;isManuallyOverridden&quot;:false,&quot;citeprocText&quot;:&quot;[15]&quot;,&quot;manualOverrideText&quot;:&quot;&quot;},&quot;citationTag&quot;:&quot;MENDELEY_CITATION_v3_eyJjaXRhdGlvbklEIjoiTUVOREVMRVlfQ0lUQVRJT05fNWRlZGQzNjQtMzM3ZS00NjlhLWJlNWItODZhNDkxYTdjYThjIiwicHJvcGVydGllcyI6eyJub3RlSW5kZXgiOjB9LCJpc0VkaXRlZCI6ZmFsc2UsIm1hbnVhbE92ZXJyaWRlIjp7ImlzTWFudWFsbHlPdmVycmlkZGVuIjpmYWxzZSwiY2l0ZXByb2NUZXh0IjoiWzE1XSIsIm1hbnVhbE92ZXJyaWRlVGV4dCI6IiJ9LCJjaXRhdGlvbkl0ZW1zIjpbeyJpZCI6IjcwZjIyMzk1LTVjMmYtM2MyYi1hYTExLTgxNjE3OWVlYzNmZCIsIml0ZW1EYXRhIjp7InR5cGUiOiJhcnRpY2xlLWpvdXJuYWwiLCJpZCI6IjcwZjIyMzk1LTVjMmYtM2MyYi1hYTExLTgxNjE3OWVlYzNmZCIsInRpdGxlIjoiQWRoZXJlbmNlIHRvIHRoZSBTeWRuZXkgU3lzdGVtIGd1aWRlbGluZXMgaW5jcmVhc2VzIHRoZSBkZXRlY3Rpb24gb2YgSGVsaWNvYmFjdGVyIGdhc3RyaXRpcyBhbmQgaW50ZXN0aW5hbCBtZXRhcGxhc2lhIGluIDQwMCA3Mzggc2V0cyBvZiBnYXN0cmljIGJpb3BzaWVzIiwiYXV0aG9yIjpbeyJmYW1pbHkiOiJMYXNoIiwiZ2l2ZW4iOiJKLiBHLiIsInBhcnNlLW5hbWVzIjpmYWxzZSwiZHJvcHBpbmctcGFydGljbGUiOiIiLCJub24tZHJvcHBpbmctcGFydGljbGUiOiIifSx7ImZhbWlseSI6IkdlbnRhIiwiZ2l2ZW4iOiJSLiBNLiIsInBhcnNlLW5hbWVzIjpmYWxzZSwiZHJvcHBpbmctcGFydGljbGUiOiIiLCJub24tZHJvcHBpbmctcGFydGljbGUiOiIifV0sImNvbnRhaW5lci10aXRsZSI6IkFsaW1lbnRhcnkgUGhhcm1hY29sb2d5IGFuZCBUaGVyYXBldXRpY3MiLCJjb250YWluZXItdGl0bGUtc2hvcnQiOiJBbGltZW50LiBQaGFybWFjb2wuIFRoZXIuIiwiRE9JIjoiMTAuMTExMS9hcHQuMTIzODMiLCJJU1NOIjoiMDI2OTI4MTMiLCJQTUlEIjoiMjM3OTYyMTIiLCJpc3N1ZWQiOnsiZGF0ZS1wYXJ0cyI6W1syMDEzLDhdXX0sInBhZ2UiOiI0MjQtNDMxIiwiYWJzdHJhY3QiOiJCYWNrZ3JvdW5kIFRoZSBkaWFnbm9zdGljIHlpZWxkIG9mIGluZGl2aWR1YWwgZ2FzdHJpYyBiaW9wc2llcyBhbmQgdGhlIGFkaGVyZW5jZSB0byB0aGUgU3lkbmV5IFN5c3RlbSBndWlkZWxpbmVzIGluIHRoZSBVbml0ZWQgU3RhdGVzIGFyZSB1bmtub3duLiBBaW1zIFRvIGV2YWx1YXRlIHRoZSB5aWVsZCBvZiBkaWZmZXJlbnQgZ2FzdHJpYyBzYW1wbGluZyBzdHJhdGVnaWVzIGFuZCBkZXRlcm1pbmUgdGhlIGFkaGVyZW5jZSB0byB0aGUgU3lkbmV5IFN5c3RlbSBndWlkZWxpbmVzIGluIGEgbmF0aW9ud2lkZSBzYW1wbGUgb2YgZW5kb3Njb3Bpc3RzLiBNZXRob2RzIFVzaW5nIGEgZGF0YWJhc2Ugb2YgYmlvcHN5IHJlY29yZHMgZGlhZ25vc2VkIGF0IGEgc2luZ2xlIHBhdGhvbG9neSBsYWJvcmF0b3J5LCB3ZSBhbmFseXNlZCB0aGUgcmVzdWx0cyBvZiBnYXN0cmljIGJpb3BzaWVzIHRha2VuIHRvIGV2YWx1YXRlIGdhc3RyaWMgaW5mbGFtbWF0b3J5IGNvbmRpdGlvbnMgaW4gcGF0aWVudHMgd2l0aCBubyBlbmRvc2NvcGljIGxlc2lvbnMuIFdlIHRoZW4gc3RyYXRpZmllZCB0aGUgc3BlY2ltZW5zIGJ5IHNpdGUgb2Ygb3JpZ2luIGFuZCBudW1iZXIgb2YgbXVjb3NhbCBmcmFnbWVudHMgYW5kIGNhbGN1bGF0ZWQgdGhlIHJlbGF0aW9uc2hpcCBiZXR3ZWVuIG51bWJlciBhbmQgb3JpZ2luIG9mIGJpb3BzeSBzcGVjaW1lbnMgYW5kIGRldGVjdGlvbiBvZiBIZWxpY29iYWN0ZXIgcHlsb3JpIGFuZCBpbnRlc3RpbmFsIG1ldGFwbGFzaWEuIFJlc3VsdHMgT2YgNDAwIDczOCBiaW9wc3kgc2V0cywgNjYuMCUgd2VyZSBzdWJtaXR0ZWQgYXMgYW50cnVtOyAxNy40JSBhcyBjb3JwdXM7IDIuNiUgYXMgY2FyZGlhOyBhbmQgMjQuNyUgd2l0aG91dCB0b3BvZ3JhcGhpYyBpZGVudGlmaWVycy4gU2VwYXJhdGUgY29udGFpbmVycyB3aXRoIGF0IGxlYXN0IHR3byBhbnRyYWwgYW5kIHR3byBjb3JwdXMgc3BlY2ltZW5zIChTeWRuZXkgU3lzdGVtIGNvbXBsaWFudCkgd2VyZSBhdmFpbGFibGUgaW4gMTUgNjQ1IGNhc2VzICgzLjklKS4gRm9yIGFudHJ1bSwgY29ycHVzLCBhbmQgdW5zcGVjaWZpZWQgc2l0ZXMsIGVhY2ggYWRkaXRpb25hbCB0aXNzdWUgZnJhZ21lbnQgd2FzIGFzc29jaWF0ZWQgd2l0aCBhbiBpbmNyZW1lbnRhbCBpbmNyZWFzZSBpbiB0aGUgeWllbGQgZm9yIGJvdGggSC4gcHlsb3JpIGFuZCBpbnRlc3RpbmFsIG1ldGFwbGFzaWEuIFN5ZG5leSBTeXN0ZW0tY29tcGxpYW50IHNldHMgaGFkIHNpZ25pZmljYW50bHkgZ3JlYXRlciB5aWVsZCB0aGFuIG1vc3Qgb2YgdGhlIHVuc3BlY2lmaWVkIG9yIHNpbmdsZS1zaXRlIHNldHMgKDE0LjglIGFuZCA2LjAlIHJlc3BlY3RpdmVseSkuIFRoZSBpbmNpc3VyYSBhbmd1bGFyaXMsIHJhcmVseSBzYW1wbGVkLCB5aWVsZGVkIG1pbmltYWwgYWRkaXRpb25hbCBkaWFnbm9zdGljIGluZm9ybWF0aW9uLiBDb25jbHVzaW9ucyBJbiB0aGUgYWJzZW5jZSBvZiBsZXNpb25zLCB0aGUgYWNxdWlzaXRpb24gb2YgYXQgbGVhc3QgdHdvIGJpb3BzeSBzcGVjaW1lbnMgZnJvbSBhbnRydW0gYW5kIGNvcnB1cywgZXNzZW50aWFsbHkgZm9sbG93aW5nIHRoZSBTeWRuZXkgU3lzdGVtIHJlY29tbWVuZGF0aW9ucywgaXMgYSBzZW5zaWJsZSBzdHJhdGVneSB0aGF0IGd1YXJhbnRlZXMgdGhlIG1heGltdW0gZGlhZ25vc3RpYyB5aWVsZCBmb3IgdGhlIG1vc3QgY29tbW9uIGdhc3RyaWMgaW5mbGFtbWF0b3J5IGNvbmRpdGlvbnMuIMKpIDIwMTMgSm9obiBXaWxleSAmIFNvbnMgTHRkLiIsImlzc3VlIjoiNCIsInZvbHVtZSI6IjM4In0sImlzVGVtcG9yYXJ5IjpmYWxzZX1dfQ==&quot;,&quot;citationItems&quot;:[{&quot;id&quot;:&quot;70f22395-5c2f-3c2b-aa11-816179eec3fd&quot;,&quot;itemData&quot;:{&quot;type&quot;:&quot;article-journal&quot;,&quot;id&quot;:&quot;70f22395-5c2f-3c2b-aa11-816179eec3fd&quot;,&quot;title&quot;:&quot;Adherence to the Sydney System guidelines increases the detection of Helicobacter gastritis and intestinal metaplasia in 400 738 sets of gastric biopsies&quot;,&quot;author&quot;:[{&quot;family&quot;:&quot;Lash&quot;,&quot;given&quot;:&quot;J. G.&quot;,&quot;parse-names&quot;:false,&quot;dropping-particle&quot;:&quot;&quot;,&quot;non-dropping-particle&quot;:&quot;&quot;},{&quot;family&quot;:&quot;Genta&quot;,&quot;given&quot;:&quot;R. M.&quot;,&quot;parse-names&quot;:false,&quot;dropping-particle&quot;:&quot;&quot;,&quot;non-dropping-particle&quot;:&quot;&quot;}],&quot;container-title&quot;:&quot;Alimentary Pharmacology and Therapeutics&quot;,&quot;container-title-short&quot;:&quot;Aliment. Pharmacol. Ther.&quot;,&quot;DOI&quot;:&quot;10.1111/apt.12383&quot;,&quot;ISSN&quot;:&quot;02692813&quot;,&quot;PMID&quot;:&quot;23796212&quot;,&quot;issued&quot;:{&quot;date-parts&quot;:[[2013,8]]},&quot;page&quot;:&quot;424-431&quot;,&quot;abstract&quot;:&quot;Background The diagnostic yield of individual gastric biopsies and the adherence to the Sydney System guidelines in the United States are unknown. Aims To evaluate the yield of different gastric sampling strategies and determine the adherence to the Sydney System guidelines in a nationwide sample of endoscopists. Methods Using a database of biopsy records diagnosed at a single pathology laboratory, we analysed the results of gastric biopsies taken to evaluate gastric inflammatory conditions in patients with no endoscopic lesions. We then stratified the specimens by site of origin and number of mucosal fragments and calculated the relationship between number and origin of biopsy specimens and detection of Helicobacter pylori and intestinal metaplasia. Results Of 400 738 biopsy sets, 66.0% were submitted as antrum; 17.4% as corpus; 2.6% as cardia; and 24.7% without topographic identifiers. Separate containers with at least two antral and two corpus specimens (Sydney System compliant) were available in 15 645 cases (3.9%). For antrum, corpus, and unspecified sites, each additional tissue fragment was associated with an incremental increase in the yield for both H. pylori and intestinal metaplasia. Sydney System-compliant sets had significantly greater yield than most of the unspecified or single-site sets (14.8% and 6.0% respectively). The incisura angularis, rarely sampled, yielded minimal additional diagnostic information. Conclusions In the absence of lesions, the acquisition of at least two biopsy specimens from antrum and corpus, essentially following the Sydney System recommendations, is a sensible strategy that guarantees the maximum diagnostic yield for the most common gastric inflammatory conditions. © 2013 John Wiley &amp; Sons Ltd.&quot;,&quot;issue&quot;:&quot;4&quot;,&quot;volume&quot;:&quot;38&quot;},&quot;isTemporary&quot;:false}]},{&quot;citationID&quot;:&quot;MENDELEY_CITATION_87a6de30-161d-4911-b1bd-5b9ff34abdfa&quot;,&quot;properties&quot;:{&quot;noteIndex&quot;:0},&quot;isEdited&quot;:false,&quot;manualOverride&quot;:{&quot;isManuallyOverridden&quot;:false,&quot;citeprocText&quot;:&quot;[16]&quot;,&quot;manualOverrideText&quot;:&quot;&quot;},&quot;citationTag&quot;:&quot;MENDELEY_CITATION_v3_eyJjaXRhdGlvbklEIjoiTUVOREVMRVlfQ0lUQVRJT05fODdhNmRlMzAtMTYxZC00OTExLWIxYmQtNWI5ZmYzNGFiZGZhIiwicHJvcGVydGllcyI6eyJub3RlSW5kZXgiOjB9LCJpc0VkaXRlZCI6ZmFsc2UsIm1hbnVhbE92ZXJyaWRlIjp7ImlzTWFudWFsbHlPdmVycmlkZGVuIjpmYWxzZSwiY2l0ZXByb2NUZXh0IjoiWzE2XSIsIm1hbnVhbE92ZXJyaWRlVGV4dCI6IiJ9LCJjaXRhdGlvbkl0ZW1zIjpbeyJpZCI6IjJlZDJiMGI4LTU5MGEtM2U4NC05MGQyLWNkY2IxMzM1NTBiNyIsIml0ZW1EYXRhIjp7InR5cGUiOiJhcnRpY2xlLWpvdXJuYWwiLCJpZCI6IjJlZDJiMGI4LTU5MGEtM2U4NC05MGQyLWNkY2IxMzM1NTBiNyIsInRpdGxlIjoiSW1wbGVtZW50YXRpb24gb2YgdGhlIHVwZGF0ZWQgU3lkbmV5IHN5c3RlbSBiaW9wc3kgcHJvdG9jb2wgaW1wcm92ZXMgdGhlIGRpYWdub3N0aWMgeWllbGQgb2YgZ2FzdHJpYyBwcmVuZW9wbGFzdGljIGNvbmRpdGlvbnM6IFJlc3VsdHMgZnJvbSBhIHJlYWwtd29ybGQgc3R1ZHkiLCJhdXRob3IiOlt7ImZhbWlseSI6IkxhdG9ycmUiLCJnaXZlbiI6IkdvbnphbG8iLCJwYXJzZS1uYW1lcyI6ZmFsc2UsImRyb3BwaW5nLXBhcnRpY2xlIjoiIiwibm9uLWRyb3BwaW5nLXBhcnRpY2xlIjoiIn0seyJmYW1pbHkiOiJWYXJnYXMiLCJnaXZlbiI6Ikpvc8OpIElnbmFjaW8iLCJwYXJzZS1uYW1lcyI6ZmFsc2UsImRyb3BwaW5nLXBhcnRpY2xlIjoiIiwibm9uLWRyb3BwaW5nLXBhcnRpY2xlIjoiIn0seyJmYW1pbHkiOiJTaGFoIiwiZ2l2ZW4iOiJTaGFpbGphIEMuIiwicGFyc2UtbmFtZXMiOmZhbHNlLCJkcm9wcGluZy1wYXJ0aWNsZSI6IiIsIm5vbi1kcm9wcGluZy1wYXJ0aWNsZSI6IiJ9LHsiZmFtaWx5IjoiSXZhbm92aWMtWnV2aWMiLCJnaXZlbiI6IkRhbmlzYSIsInBhcnNlLW5hbWVzIjpmYWxzZSwiZHJvcHBpbmctcGFydGljbGUiOiIiLCJub24tZHJvcHBpbmctcGFydGljbGUiOiIifSx7ImZhbWlseSI6IkFjaHVycmEiLCJnaXZlbiI6IlBhYmxvIiwicGFyc2UtbmFtZXMiOmZhbHNlLCJkcm9wcGluZy1wYXJ0aWNsZSI6IiIsIm5vbi1kcm9wcGluZy1wYXJ0aWNsZSI6IiJ9LHsiZmFtaWx5IjoiRnJpdHpzY2hlIiwiZ2l2ZW4iOiJNYXJ0w61uIiwicGFyc2UtbmFtZXMiOmZhbHNlLCJkcm9wcGluZy1wYXJ0aWNsZSI6IiIsIm5vbi1kcm9wcGluZy1wYXJ0aWNsZSI6IiJ9LHsiZmFtaWx5IjoiTGV1bmciLCJnaXZlbiI6IkphaSIsInBhcnNlLW5hbWVzIjpmYWxzZSwiZHJvcHBpbmctcGFydGljbGUiOiJTZW4iLCJub24tZHJvcHBpbmctcGFydGljbGUiOiIifSx7ImZhbWlseSI6IlJhbW9zIiwiZ2l2ZW4iOiJCZXJuYXJkaXRhIiwicGFyc2UtbmFtZXMiOmZhbHNlLCJkcm9wcGluZy1wYXJ0aWNsZSI6IiIsIm5vbi1kcm9wcGluZy1wYXJ0aWNsZSI6IiJ9LHsiZmFtaWx5IjoiSmVuc2VuIiwiZ2l2ZW4iOiJFbGlzYSIsInBhcnNlLW5hbWVzIjpmYWxzZSwiZHJvcHBpbmctcGFydGljbGUiOiIiLCJub24tZHJvcHBpbmctcGFydGljbGUiOiIifSx7ImZhbWlseSI6IlVyaWJlIiwiZ2l2ZW4iOiJKYXZpZXIiLCJwYXJzZS1uYW1lcyI6ZmFsc2UsImRyb3BwaW5nLXBhcnRpY2xlIjoiIiwibm9uLWRyb3BwaW5nLXBhcnRpY2xlIjoiIn0seyJmYW1pbHkiOiJNb250ZXJvIiwiZ2l2ZW4iOiJJc2FiZWxsYSIsInBhcnNlLW5hbWVzIjpmYWxzZSwiZHJvcHBpbmctcGFydGljbGUiOiIiLCJub24tZHJvcHBpbmctcGFydGljbGUiOiIifSx7ImZhbWlseSI6IkdhbmRhcmEiLCJnaXZlbiI6IlZpY2VudGUiLCJwYXJzZS1uYW1lcyI6ZmFsc2UsImRyb3BwaW5nLXBhcnRpY2xlIjoiIiwibm9uLWRyb3BwaW5nLXBhcnRpY2xlIjoiIn0seyJmYW1pbHkiOiJSb2JsZXMiLCJnaXZlbiI6IkNhbWlsYSIsInBhcnNlLW5hbWVzIjpmYWxzZSwiZHJvcHBpbmctcGFydGljbGUiOiIiLCJub24tZHJvcHBpbmctcGFydGljbGUiOiIifSx7ImZhbWlseSI6IkJ1c3RhbWFudGUiLCJnaXZlbiI6Ik1pZ3VlbCIsInBhcnNlLW5hbWVzIjpmYWxzZSwiZHJvcHBpbmctcGFydGljbGUiOiIiLCJub24tZHJvcHBpbmctcGFydGljbGUiOiIifSx7ImZhbWlseSI6IlNpbHZhIiwiZ2l2ZW4iOiJGZWxpcGUiLCJwYXJzZS1uYW1lcyI6ZmFsc2UsImRyb3BwaW5nLXBhcnRpY2xlIjoiIiwibm9uLWRyb3BwaW5nLXBhcnRpY2xlIjoiIn0seyJmYW1pbHkiOiJEdWtlcyIsImdpdmVuIjoiRWl0YW4iLCJwYXJzZS1uYW1lcyI6ZmFsc2UsImRyb3BwaW5nLXBhcnRpY2xlIjoiIiwibm9uLWRyb3BwaW5nLXBhcnRpY2xlIjoiIn0seyJmYW1pbHkiOiJDb3JzaSIsImdpdmVuIjoiT3NjYXIiLCJwYXJzZS1uYW1lcyI6ZmFsc2UsImRyb3BwaW5nLXBhcnRpY2xlIjoiIiwibm9uLWRyb3BwaW5nLXBhcnRpY2xlIjoiIn0seyJmYW1pbHkiOiJNYXJ0w61uZXoiLCJnaXZlbiI6IkZyYW5jaXNjYSIsInBhcnNlLW5hbWVzIjpmYWxzZSwiZHJvcHBpbmctcGFydGljbGUiOiIiLCJub24tZHJvcHBpbmctcGFydGljbGUiOiIifSx7ImZhbWlseSI6IkJpbmRlciIsImdpdmVuIjoiVmljdG9yaWEiLCJwYXJzZS1uYW1lcyI6ZmFsc2UsImRyb3BwaW5nLXBhcnRpY2xlIjoiIiwibm9uLWRyb3BwaW5nLXBhcnRpY2xlIjoiIn0seyJmYW1pbHkiOiJDYW5kaWEiLCJnaXZlbiI6IlJvYmVydG8iLCJwYXJzZS1uYW1lcyI6ZmFsc2UsImRyb3BwaW5nLXBhcnRpY2xlIjoiIiwibm9uLWRyb3BwaW5nLXBhcnRpY2xlIjoiIn0seyJmYW1pbHkiOiJHb256w6FsZXoiLCJnaXZlbiI6IlJvYmluc29uIiwicGFyc2UtbmFtZXMiOmZhbHNlLCJkcm9wcGluZy1wYXJ0aWNsZSI6IiIsIm5vbi1kcm9wcGluZy1wYXJ0aWNsZSI6IiJ9LHsiZmFtaWx5IjoiRXNwaW5vIiwiZ2l2ZW4iOiJBbGJlcnRvIiwicGFyc2UtbmFtZXMiOmZhbHNlLCJkcm9wcGluZy1wYXJ0aWNsZSI6IiIsIm5vbi1kcm9wcGluZy1wYXJ0aWNsZSI6IiJ9LHsiZmFtaWx5IjoiQWfDvGVybyIsImdpdmVuIjoiQ2FybG9zIiwicGFyc2UtbmFtZXMiOmZhbHNlLCJkcm9wcGluZy1wYXJ0aWNsZSI6IiIsIm5vbi1kcm9wcGluZy1wYXJ0aWNsZSI6IiJ9LHsiZmFtaWx5IjoiU2hhcnAiLCJnaXZlbiI6IkFsbGFuIiwicGFyc2UtbmFtZXMiOmZhbHNlLCJkcm9wcGluZy1wYXJ0aWNsZSI6IiIsIm5vbi1kcm9wcGluZy1wYXJ0aWNsZSI6IiJ9LHsiZmFtaWx5IjoiVG9ycmVzIiwiZ2l2ZW4iOiJKYXZpZXJhIiwicGFyc2UtbmFtZXMiOmZhbHNlLCJkcm9wcGluZy1wYXJ0aWNsZSI6IiIsIm5vbi1kcm9wcGluZy1wYXJ0aWNsZSI6IiJ9LHsiZmFtaWx5IjoiUm9hIiwiZ2l2ZW4iOiJKdWFuIENhcmxvcyIsInBhcnNlLW5hbWVzIjpmYWxzZSwiZHJvcHBpbmctcGFydGljbGUiOiIiLCJub24tZHJvcHBpbmctcGFydGljbGUiOiIifSx7ImZhbWlseSI6IlBpemFycm8iLCJnaXZlbiI6Ik1hcmdhcml0YSIsInBhcnNlLW5hbWVzIjpmYWxzZSwiZHJvcHBpbmctcGFydGljbGUiOiIiLCJub24tZHJvcHBpbmctcGFydGljbGUiOiIifSx7ImZhbWlseSI6IkNvcnZhbGFuIiwiZ2l2ZW4iOiJBbGVqYW5kcm8gSC4iLCJwYXJzZS1uYW1lcyI6ZmFsc2UsImRyb3BwaW5nLXBhcnRpY2xlIjoiIiwibm9uLWRyb3BwaW5nLXBhcnRpY2xlIjoiIn0seyJmYW1pbHkiOiJSYWJraW4iLCJnaXZlbiI6IkNoYXJsZXMgUy4iLCJwYXJzZS1uYW1lcyI6ZmFsc2UsImRyb3BwaW5nLXBhcnRpY2xlIjoiIiwibm9uLWRyb3BwaW5nLXBhcnRpY2xlIjoiIn0seyJmYW1pbHkiOiJDYW1hcmdvIiwiZ2l2ZW4iOiJNLiBDb25zdGFuemEiLCJwYXJzZS1uYW1lcyI6ZmFsc2UsImRyb3BwaW5nLXBhcnRpY2xlIjoiIiwibm9uLWRyb3BwaW5nLXBhcnRpY2xlIjoiIn0seyJmYW1pbHkiOiJSaXF1ZWxtZSIsImdpdmVuIjoiQXJub2xkbyIsInBhcnNlLW5hbWVzIjpmYWxzZSwiZHJvcHBpbmctcGFydGljbGUiOiIiLCJub24tZHJvcHBpbmctcGFydGljbGUiOiIifV0sImNvbnRhaW5lci10aXRsZSI6Ikdhc3Ryb2VudGVyb2xvZ2lhIHkgSGVwYXRvbG9naWEiLCJjb250YWluZXItdGl0bGUtc2hvcnQiOiJHYXN0cm9lbnRlcm9sLiBIZXBhdG9sLiIsIkRPSSI6IjEwLjEwMTYvai5nYXN0cm9oZXAuMjAyMy4wOC4wMDUiLCJJU1NOIjoiMTU3ODk1MTkiLCJQTUlEIjoiMzc1OTg3MjUiLCJpc3N1ZWQiOnsiZGF0ZS1wYXJ0cyI6W1syMDI0LDEwLDFdXX0sInBhZ2UiOiI3OTMtODAzIiwiYWJzdHJhY3QiOiJCYWNrZ3JvdW5kOiBUaGUgdXBkYXRlZCBTeWRuZXkgc3lzdGVtIGJpb3BzeSBwcm90b2NvbCAoVVNTQlApIHN0YW5kYXJkaXplcyB0aGUgc2FtcGxpbmcgb2YgZ2FzdHJpYyBiaW9wc2llcyBmb3IgdGhlIGRldGVjdGlvbiBvZiBwcmVuZW9wbGFzdGljIGNvbmRpdGlvbnMgKGUuZy4sIGdhc3RyaWMgaW50ZXN0aW5hbCBtZXRhcGxhc2lhIFtHSU1dKSwgYnV0IHRoZSByZWFsLXdvcmxkIGRpYWdub3N0aWMgeWllbGQgaXMgbm90IHdlbGwtZGVzY3JpYmVkLiBBaW06IFRvIGRldGVybWluZSB3aGV0aGVyIHJlZ3VsYXIgYXBwbGljYXRpb24gb2YgVVNTQlAgaXMgYXNzb2NpYXRlZCB3aXRoIGhpZ2hlciBkZXRlY3Rpb24gb2YgY2hyb25pYyBhdHJvcGhpYyBnYXN0cml0aXMgKENBRyksIEdJTSBhbmQgYXV0b2ltbXVuZSBnYXN0cml0aXMgKEFJRykuIE1ldGhvZHM6IFdlIHBlcmZvcm1lZCBhIHJlYWwtd29ybGQgcmV0cm9zcGVjdGl2ZSBzdHVkeSBhdCBhbiBhY2FkZW1pYyB1cmJhbiB0ZXJ0aWFyeSBob3NwaXRhbCBpbiBDaGlsZS4gV2UgbWFudWFsbHkgcmV2aWV3ZWQgbWVkaWNhbCByZWNvcmRzIGZyb20gY29uc2VjdXRpdmUgcGF0aWVudHMgdW5kZXJnb2luZyBlc29waGFnb2dhc3Ryb2R1b2Rlbm9zY29weSAoRUdEKSBmcm9tIEphbnVhcnkgdG8gRGVjZW1iZXIgMjAxNy4gU2V2ZW4gZW5kb3Njb3Bpc3RzIHdobyBwZXJmb3JtZWQgRUdEcyB3ZXJlIGNhdGVnb3JpemVkIGludG8gdHdvIGdyb3VwcyAoVVNTQlAg4oCYcmVndWxhcuKAmSBhbmQgVVNTQlAg4oCYaW5mcmVxdWVudOKAmSkgYmFzZWQgb24gVVNTQlAgYWRoZXJlbmNlLCB1c2luZyBtaW5pbXVtIDIwJSBhZGhlcmVuY2UgYXMgdGhlIHByZXNwZWNpZmllZCB0aHJlc2hvbGQuIE11bHRpdmFyaWFibGUgbG9naXN0aWMgcmVncmVzc2lvbiBtb2RlbHMgd2VyZSB1c2VkIHRvIGVzdGltYXRlIHRoZSBvZGRzIHJhdGlvcyAoYU9SKSBhbmQgOTUlIGNvbmZpZGVuY2UgaW50ZXJ2YWxzIChDSSkgZm9yIHRoZSBhc3NvY2lhdGlvbiBiZXR3ZWVuIGVuZG9zY29waXN0IGdyb3VwcyBhbmQgdGhlIGxpa2VsaWhvb2Qgb2YgZGlhZ25vc2luZyBDQUcsIEdJTSBvciBBSUcuIFJlc3VsdHM6IDEyMDYgcGF0aWVudHMgd2VyZSBpbmNsdWRlZCBpbiB0aGUgc3R1ZHkgKG1lYW4gYWdlOiA1OC41OyA2NS4zJSBmZW1hbGUpLiBUaGUgVVNTQlAgcmVndWxhciBncm91cCBkZW1vbnN0cmF0ZWQgYSBoaWdoZXIgbGlrZWxpaG9vZCBvZiBkZXRlY3RpbmcgQ0FHICgyMCUgdnMuIDUuMyU7IGFPUiA0LjAzLCA5NSVDSTogMi42OeKAkzYuMDMpLCBHSU0gKDEyLjIlIHZzLiAzLjQlOyBhT1IgMy45MSwgOTUlQ0k6IDIuMznigJM2LjQyKSBhbmQgQUlHICgyLjklIHZzLiAwLjglOyBhT1IgNi41MiwgOTUlQ0k6IDEuODfigJMyMi43NCkgY29tcGFyZWQgdG8gaW5mcmVxdWVudCBncm91cC4gRGV0ZWN0aW9uIG9mIGFkdmFuY2VkLXN0YWdlIENBRyAoT3BlcmF0aXZlIExpbmsgZm9yIEdhc3RyaXRpcyBBc3Nlc3NtZW50IHN0YWdlIElJSS9JVikgd2FzIHNpZ25pZmljYW50bHkgaGlnaGVyIGluIHRoZSBVU1NCUCByZWd1bGFyIHZzLiBpbmZyZXF1ZW50IGdyb3VwIChhT1IgNS44NCwgOTUlQ0k6IDIuMjPigJMxNS4zMSkuIENvbmNsdXNpb25zOiBSb3V0aW5lIGFkaGVyZW5jZSB0byBVU1NCUCBpbmNyZWFzZXMgdGhlIGRldGVjdGlvbiByYXRlcyBvZiBwcmVuZW9wbGFzdGljIGNvbmRpdGlvbnMsIGluY2x1ZGluZyBDQUcsIEdJTSBhbmQgQUlHLiBTdGFuZGFyZGl6ZWQgaW1wbGVtZW50YXRpb24gb2YgVVNTQlAgc2hvdWxkIGJlIGNvbnNpZGVyZWQgaW4gaGlnaCBnYXN0cmljIGNhbmNlciByaXNrIHBvcHVsYXRpb25zLiIsInB1Ymxpc2hlciI6IkVkaWNpb25lcyBEb3ltYSwgUy5MLiIsImlzc3VlIjoiOCIsInZvbHVtZSI6IjQ3In0sImlzVGVtcG9yYXJ5IjpmYWxzZX1dfQ==&quot;,&quot;citationItems&quot;:[{&quot;id&quot;:&quot;2ed2b0b8-590a-3e84-90d2-cdcb133550b7&quot;,&quot;itemData&quot;:{&quot;type&quot;:&quot;article-journal&quot;,&quot;id&quot;:&quot;2ed2b0b8-590a-3e84-90d2-cdcb133550b7&quot;,&quot;title&quot;:&quot;Implementation of the updated Sydney system biopsy protocol improves the diagnostic yield of gastric preneoplastic conditions: Results from a real-world study&quot;,&quot;author&quot;:[{&quot;family&quot;:&quot;Latorre&quot;,&quot;given&quot;:&quot;Gonzalo&quot;,&quot;parse-names&quot;:false,&quot;dropping-particle&quot;:&quot;&quot;,&quot;non-dropping-particle&quot;:&quot;&quot;},{&quot;family&quot;:&quot;Vargas&quot;,&quot;given&quot;:&quot;José Ignacio&quot;,&quot;parse-names&quot;:false,&quot;dropping-particle&quot;:&quot;&quot;,&quot;non-dropping-particle&quot;:&quot;&quot;},{&quot;family&quot;:&quot;Shah&quot;,&quot;given&quot;:&quot;Shailja C.&quot;,&quot;parse-names&quot;:false,&quot;dropping-particle&quot;:&quot;&quot;,&quot;non-dropping-particle&quot;:&quot;&quot;},{&quot;family&quot;:&quot;Ivanovic-Zuvic&quot;,&quot;given&quot;:&quot;Danisa&quot;,&quot;parse-names&quot;:false,&quot;dropping-particle&quot;:&quot;&quot;,&quot;non-dropping-particle&quot;:&quot;&quot;},{&quot;family&quot;:&quot;Achurra&quot;,&quot;given&quot;:&quot;Pablo&quot;,&quot;parse-names&quot;:false,&quot;dropping-particle&quot;:&quot;&quot;,&quot;non-dropping-particle&quot;:&quot;&quot;},{&quot;family&quot;:&quot;Fritzsche&quot;,&quot;given&quot;:&quot;Martín&quot;,&quot;parse-names&quot;:false,&quot;dropping-particle&quot;:&quot;&quot;,&quot;non-dropping-particle&quot;:&quot;&quot;},{&quot;family&quot;:&quot;Leung&quot;,&quot;given&quot;:&quot;Jai&quot;,&quot;parse-names&quot;:false,&quot;dropping-particle&quot;:&quot;Sen&quot;,&quot;non-dropping-particle&quot;:&quot;&quot;},{&quot;family&quot;:&quot;Ramos&quot;,&quot;given&quot;:&quot;Bernardita&quot;,&quot;parse-names&quot;:false,&quot;dropping-particle&quot;:&quot;&quot;,&quot;non-dropping-particle&quot;:&quot;&quot;},{&quot;family&quot;:&quot;Jensen&quot;,&quot;given&quot;:&quot;Elisa&quot;,&quot;parse-names&quot;:false,&quot;dropping-particle&quot;:&quot;&quot;,&quot;non-dropping-particle&quot;:&quot;&quot;},{&quot;family&quot;:&quot;Uribe&quot;,&quot;given&quot;:&quot;Javier&quot;,&quot;parse-names&quot;:false,&quot;dropping-particle&quot;:&quot;&quot;,&quot;non-dropping-particle&quot;:&quot;&quot;},{&quot;family&quot;:&quot;Montero&quot;,&quot;given&quot;:&quot;Isabella&quot;,&quot;parse-names&quot;:false,&quot;dropping-particle&quot;:&quot;&quot;,&quot;non-dropping-particle&quot;:&quot;&quot;},{&quot;family&quot;:&quot;Gandara&quot;,&quot;given&quot;:&quot;Vicente&quot;,&quot;parse-names&quot;:false,&quot;dropping-particle&quot;:&quot;&quot;,&quot;non-dropping-particle&quot;:&quot;&quot;},{&quot;family&quot;:&quot;Robles&quot;,&quot;given&quot;:&quot;Camila&quot;,&quot;parse-names&quot;:false,&quot;dropping-particle&quot;:&quot;&quot;,&quot;non-dropping-particle&quot;:&quot;&quot;},{&quot;family&quot;:&quot;Bustamante&quot;,&quot;given&quot;:&quot;Miguel&quot;,&quot;parse-names&quot;:false,&quot;dropping-particle&quot;:&quot;&quot;,&quot;non-dropping-particle&quot;:&quot;&quot;},{&quot;family&quot;:&quot;Silva&quot;,&quot;given&quot;:&quot;Felipe&quot;,&quot;parse-names&quot;:false,&quot;dropping-particle&quot;:&quot;&quot;,&quot;non-dropping-particle&quot;:&quot;&quot;},{&quot;family&quot;:&quot;Dukes&quot;,&quot;given&quot;:&quot;Eitan&quot;,&quot;parse-names&quot;:false,&quot;dropping-particle&quot;:&quot;&quot;,&quot;non-dropping-particle&quot;:&quot;&quot;},{&quot;family&quot;:&quot;Corsi&quot;,&quot;given&quot;:&quot;Oscar&quot;,&quot;parse-names&quot;:false,&quot;dropping-particle&quot;:&quot;&quot;,&quot;non-dropping-particle&quot;:&quot;&quot;},{&quot;family&quot;:&quot;Martínez&quot;,&quot;given&quot;:&quot;Francisca&quot;,&quot;parse-names&quot;:false,&quot;dropping-particle&quot;:&quot;&quot;,&quot;non-dropping-particle&quot;:&quot;&quot;},{&quot;family&quot;:&quot;Binder&quot;,&quot;given&quot;:&quot;Victoria&quot;,&quot;parse-names&quot;:false,&quot;dropping-particle&quot;:&quot;&quot;,&quot;non-dropping-particle&quot;:&quot;&quot;},{&quot;family&quot;:&quot;Candia&quot;,&quot;given&quot;:&quot;Roberto&quot;,&quot;parse-names&quot;:false,&quot;dropping-particle&quot;:&quot;&quot;,&quot;non-dropping-particle&quot;:&quot;&quot;},{&quot;family&quot;:&quot;González&quot;,&quot;given&quot;:&quot;Robinson&quot;,&quot;parse-names&quot;:false,&quot;dropping-particle&quot;:&quot;&quot;,&quot;non-dropping-particle&quot;:&quot;&quot;},{&quot;family&quot;:&quot;Espino&quot;,&quot;given&quot;:&quot;Alberto&quot;,&quot;parse-names&quot;:false,&quot;dropping-particle&quot;:&quot;&quot;,&quot;non-dropping-particle&quot;:&quot;&quot;},{&quot;family&quot;:&quot;Agüero&quot;,&quot;given&quot;:&quot;Carlos&quot;,&quot;parse-names&quot;:false,&quot;dropping-particle&quot;:&quot;&quot;,&quot;non-dropping-particle&quot;:&quot;&quot;},{&quot;family&quot;:&quot;Sharp&quot;,&quot;given&quot;:&quot;Allan&quot;,&quot;parse-names&quot;:false,&quot;dropping-particle&quot;:&quot;&quot;,&quot;non-dropping-particle&quot;:&quot;&quot;},{&quot;family&quot;:&quot;Torres&quot;,&quot;given&quot;:&quot;Javiera&quot;,&quot;parse-names&quot;:false,&quot;dropping-particle&quot;:&quot;&quot;,&quot;non-dropping-particle&quot;:&quot;&quot;},{&quot;family&quot;:&quot;Roa&quot;,&quot;given&quot;:&quot;Juan Carlos&quot;,&quot;parse-names&quot;:false,&quot;dropping-particle&quot;:&quot;&quot;,&quot;non-dropping-particle&quot;:&quot;&quot;},{&quot;family&quot;:&quot;Pizarro&quot;,&quot;given&quot;:&quot;Margarita&quot;,&quot;parse-names&quot;:false,&quot;dropping-particle&quot;:&quot;&quot;,&quot;non-dropping-particle&quot;:&quot;&quot;},{&quot;family&quot;:&quot;Corvalan&quot;,&quot;given&quot;:&quot;Alejandro H.&quot;,&quot;parse-names&quot;:false,&quot;dropping-particle&quot;:&quot;&quot;,&quot;non-dropping-particle&quot;:&quot;&quot;},{&quot;family&quot;:&quot;Rabkin&quot;,&quot;given&quot;:&quot;Charles S.&quot;,&quot;parse-names&quot;:false,&quot;dropping-particle&quot;:&quot;&quot;,&quot;non-dropping-particle&quot;:&quot;&quot;},{&quot;family&quot;:&quot;Camargo&quot;,&quot;given&quot;:&quot;M. Constanza&quot;,&quot;parse-names&quot;:false,&quot;dropping-particle&quot;:&quot;&quot;,&quot;non-dropping-particle&quot;:&quot;&quot;},{&quot;family&quot;:&quot;Riquelme&quot;,&quot;given&quot;:&quot;Arnoldo&quot;,&quot;parse-names&quot;:false,&quot;dropping-particle&quot;:&quot;&quot;,&quot;non-dropping-particle&quot;:&quot;&quot;}],&quot;container-title&quot;:&quot;Gastroenterologia y Hepatologia&quot;,&quot;container-title-short&quot;:&quot;Gastroenterol. Hepatol.&quot;,&quot;DOI&quot;:&quot;10.1016/j.gastrohep.2023.08.005&quot;,&quot;ISSN&quot;:&quot;15789519&quot;,&quot;PMID&quot;:&quot;37598725&quot;,&quot;issued&quot;:{&quot;date-parts&quot;:[[2024,10,1]]},&quot;page&quot;:&quot;793-803&quot;,&quot;abstract&quot;:&quot;Background: The updated Sydney system biopsy protocol (USSBP) standardizes the sampling of gastric biopsies for the detection of preneoplastic conditions (e.g., gastric intestinal metaplasia [GIM]), but the real-world diagnostic yield is not well-described. Aim: To determine whether regular application of USSBP is associated with higher detection of chronic atrophic gastritis (CAG), GIM and autoimmune gastritis (AIG). Methods: We performed a real-world retrospective study at an academic urban tertiary hospital in Chile. We manually reviewed medical records from consecutive patients undergoing esophagogastroduodenoscopy (EGD) from January to December 2017. Seven endoscopists who performed EGDs were categorized into two groups (USSBP ‘regular’ and USSBP ‘infrequent’) based on USSBP adherence, using minimum 20% adherence as the prespecified threshold. Multivariable logistic regression models were used to estimate the odds ratios (aOR) and 95% confidence intervals (CI) for the association between endoscopist groups and the likelihood of diagnosing CAG, GIM or AIG. Results: 1206 patients were included in the study (mean age: 58.5; 65.3% female). The USSBP regular group demonstrated a higher likelihood of detecting CAG (20% vs. 5.3%; aOR 4.03, 95%CI: 2.69–6.03), GIM (12.2% vs. 3.4%; aOR 3.91, 95%CI: 2.39–6.42) and AIG (2.9% vs. 0.8%; aOR 6.52, 95%CI: 1.87–22.74) compared to infrequent group. Detection of advanced-stage CAG (Operative Link for Gastritis Assessment stage III/IV) was significantly higher in the USSBP regular vs. infrequent group (aOR 5.84, 95%CI: 2.23–15.31). Conclusions: Routine adherence to USSBP increases the detection rates of preneoplastic conditions, including CAG, GIM and AIG. Standardized implementation of USSBP should be considered in high gastric cancer risk populations.&quot;,&quot;publisher&quot;:&quot;Ediciones Doyma, S.L.&quot;,&quot;issue&quot;:&quot;8&quot;,&quot;volume&quot;:&quot;47&quot;},&quot;isTemporary&quot;:false}]},{&quot;citationID&quot;:&quot;MENDELEY_CITATION_4fb40ce8-390a-44f8-9903-f4acb7bdf809&quot;,&quot;properties&quot;:{&quot;noteIndex&quot;:0},&quot;isEdited&quot;:false,&quot;manualOverride&quot;:{&quot;isManuallyOverridden&quot;:false,&quot;citeprocText&quot;:&quot;[17,18]&quot;,&quot;manualOverrideText&quot;:&quot;&quot;},&quot;citationTag&quot;:&quot;MENDELEY_CITATION_v3_eyJjaXRhdGlvbklEIjoiTUVOREVMRVlfQ0lUQVRJT05fNGZiNDBjZTgtMzkwYS00NGY4LTk5MDMtZjRhY2I3YmRmODA5IiwicHJvcGVydGllcyI6eyJub3RlSW5kZXgiOjB9LCJpc0VkaXRlZCI6ZmFsc2UsIm1hbnVhbE92ZXJyaWRlIjp7ImlzTWFudWFsbHlPdmVycmlkZGVuIjpmYWxzZSwiY2l0ZXByb2NUZXh0IjoiWzE3LDE4XSIsIm1hbnVhbE92ZXJyaWRlVGV4dCI6IiJ9LCJjaXRhdGlvbkl0ZW1zIjpbeyJpZCI6IjA2Mzc5NmFkLTFhZTQtM2M4YS05NTljLWMyNWQwMTM5Y2MwMCIsIml0ZW1EYXRhIjp7InR5cGUiOiJhcnRpY2xlLWpvdXJuYWwiLCJpZCI6IjA2Mzc5NmFkLTFhZTQtM2M4YS05NTljLWMyNWQwMTM5Y2MwMCIsInRpdGxlIjoiR2FzdHJpYyBjYW5jZXIgaW5jaWRlbmNlIGFuZCBtb3J0YWxpdHkgaXMgYXNzb2NpYXRlZCB3aXRoIGFsdGl0dWRlIGluIHRoZSBtb3VudGFpbm91cyByZWdpb25zIG9mIFBhY2lmaWMgTGF0aW4gQW1lcmljYSIsImF1dGhvciI6W3siZmFtaWx5IjoiVG9ycmVzIiwiZ2l2ZW4iOiJKYXZpZXIiLCJwYXJzZS1uYW1lcyI6ZmFsc2UsImRyb3BwaW5nLXBhcnRpY2xlIjoiIiwibm9uLWRyb3BwaW5nLXBhcnRpY2xlIjoiIn0seyJmYW1pbHkiOiJDb3JyZWEiLCJnaXZlbiI6IlBlbGF5byIsInBhcnNlLW5hbWVzIjpmYWxzZSwiZHJvcHBpbmctcGFydGljbGUiOiIiLCJub24tZHJvcHBpbmctcGFydGljbGUiOiIifSx7ImZhbWlseSI6IkZlcnJlY2NpbyIsImdpdmVuIjoiQ2F0dGVyaW5hIiwicGFyc2UtbmFtZXMiOmZhbHNlLCJkcm9wcGluZy1wYXJ0aWNsZSI6IiIsIm5vbi1kcm9wcGluZy1wYXJ0aWNsZSI6IiJ9LHsiZmFtaWx5IjoiSGVybmFuZGV6LVN1YXJleiIsImdpdmVuIjoiR3VzdGF2byIsInBhcnNlLW5hbWVzIjpmYWxzZSwiZHJvcHBpbmctcGFydGljbGUiOiIiLCJub24tZHJvcHBpbmctcGFydGljbGUiOiIifSx7ImZhbWlseSI6IkhlcnJlcm8iLCJnaXZlbiI6IlJvbGFuZG8iLCJwYXJzZS1uYW1lcyI6ZmFsc2UsImRyb3BwaW5nLXBhcnRpY2xlIjoiIiwibm9uLWRyb3BwaW5nLXBhcnRpY2xlIjoiIn0seyJmYW1pbHkiOiJDYXZhenphLVBvcnJvIiwiZ2l2ZW4iOiJNYXJpYSIsInBhcnNlLW5hbWVzIjpmYWxzZSwiZHJvcHBpbmctcGFydGljbGUiOiIiLCJub24tZHJvcHBpbmctcGFydGljbGUiOiIifSx7ImZhbWlseSI6IkRvbWluZ3VleiIsImdpdmVuIjoiUmljYXJkbyIsInBhcnNlLW5hbWVzIjpmYWxzZSwiZHJvcHBpbmctcGFydGljbGUiOiIiLCJub24tZHJvcHBpbmctcGFydGljbGUiOiIifSx7ImZhbWlseSI6Ik1vcmdhbiIsImdpdmVuIjoiRG91Z2xhcyIsInBhcnNlLW5hbWVzIjpmYWxzZSwiZHJvcHBpbmctcGFydGljbGUiOiIiLCJub24tZHJvcHBpbmctcGFydGljbGUiOiIifV0sImNvbnRhaW5lci10aXRsZSI6IkNhbmNlciBDYXVzZXMgYW5kIENvbnRyb2wiLCJET0kiOiIxMC4xMDA3L3MxMDU1Mi0wMTItMDExNC04IiwiSVNTTiI6IjA5NTc1MjQzIiwiUE1JRCI6IjIzMjI0MjcxIiwiaXNzdWVkIjp7ImRhdGUtcGFydHMiOltbMjAxMywyXV19LCJwYWdlIjoiMjQ5LTI1NiIsImFic3RyYWN0IjoiSW4gTGF0aW4gQW1lcmljYSwgZ2FzdHJpYyBjYW5jZXIgaXMgYSBsZWFkaW5nIGNhbmNlciwgYW5kIGNvdW50cmllcyBpbiB0aGUgcmVnaW9uIGhhdmUgc29tZSBvZiB0aGUgaGlnaGVzdCBtb3J0YWxpdHkgcmF0ZXMgd29ybGR3aWRlLCBpbmNsdWRpbmcgQ2hpbGUsIENvc3RhIFJpY2EsIGFuZCBDb2xvbWJpYS4gR2VvZ3JhcGhpYyB2YXJpYXRpb24gaW4gbW9ydGFsaXR5IHJhdGVzIGlzIG9ic2VydmVkIGJvdGggYmV0d2VlbiBuZWlnaGJvcmluZyBjb3VudHJpZXMgYW5kIHdpdGhpbiBuYXRpb25zLiBXZSBkaXNjdXNzIGVwaWRlbWlvbG9naWNhbCBvYnNlcnZhdGlvbnMgc3VnZ2VzdGluZyBhbiBhc3NvY2lhdGlvbiBiZXR3ZWVuIGFsdGl0dWRlIGFuZCBnYXN0cmljIGNhbmNlciByaXNrIGluIExhdGluIEFtZXJpY2EuIEluIHRoZSBBbWVyaWNhcywgdGhlIGJ1cmRlbiBvZiBnYXN0cmljIGNhbmNlciBtb3J0YWxpdHkgaXMgY29uY2VudHJhdGVkIGluIHRoZSBtb3VudGFpbm91cyBhcmVhcyBhbG9uZyB0aGUgUGFjaWZpYyByaW0sIGZvbGxvd2luZyB0aGUgZ2VvZ3JhcGh5IG9mIHRoZSBBbmRlcyBzaWVycmEsIGZyb20gVmVuZXp1ZWxhIHRvIENoaWxlLCBhbmQgdGhlIFNpZXJyYSBNYWRyZSBhbmQgQ29yZGlsbGVyYSBkZSBDZW50cm9hbcOpcmljYSwgZnJvbSBzb3V0aGVybiBNZXhpY28gdG8gQ29zdGEgUmljYS4gQWx0aXR1ZGUgaXMgcHJvYmFibHkgYSBzdXJyb2dhdGUgZm9yIGhvc3QgZ2VuZXRpYywgYmFjdGVyaWFsLCBkaWV0YXJ5LCBhbmQgZW52aXJvbm1lbnRhbCBmYWN0b3JzIHRoYXQgbWF5IGNsdXN0ZXIgaW4gdGhlIG1vdW50YWlub3VzIHJlZ2lvbnMuIEZvciBleGFtcGxlLCBILiBweWxvcmkgc3RyYWlucyBmcm9tIHBhdGllbnRzIG9mIHRoZSBBbmRlYW4gTmFyacOxbyByZWdpb24gb2YgQ29sb21iaWEgZGlzcGxheSBFdXJvcGVhbiBhbmNlc3RyYWwgaGFwbG90eXBlcywgd2hlcmVhcyBzdHJhaW5zIGZyb20gdGhlIFBhY2lmaWMgY29hc3QgYXJlIHByZWRvbWluYW50bHkgb2YgQWZyaWNhbiBvcmlnaW4uIFRoZSBvYnNlcnZhdGlvbiBvZiBoaWdoZXIgZ2FzdHJpYyBjYW5jZXIgcmF0ZXMgaW4gdGhlIG1vdW50YWlub3VzIGFyZWFzIGlzIG5vdCB1bml2ZXJzYWw6IHRoZSBhc3NvY2lhdGlvbiBpcyBhYnNlbnQgaW4gQ2hpbGUsIHdoZXJlIHJpc2sgaXMgbW9yZSBzdHJvbmdseSBhc3NvY2lhdGVkIHdpdGggdGhlIGFnZSBvZiBILiBweWxvcmkgYWNxdWlzaXRpb24gYW5kIHNvY2lvLWVjb25vbWljIGRldGVybWluYW50cy4gVGhlIGRyYW1hdGljIGdsb2JhbCBhbmQgcmVnaW9uYWwgdmFyaWF0aW9ucyBpbiBnYXN0cmljIGNhbmNlciBpbmNpZGVuY2UgYW5kIG1vcnRhbGl0eSByYXRlcyBvZmZlciB0aGUgb3Bwb3J0dW5pdHkgZm9yIHNjaWVudGlmaWMgZGlzY292ZXJ5IGFuZCBmb2N1c2VkIHByZXZlbnRpb24gcHJvZ3JhbXMuIMKpIDIwMTIgU3ByaW5nZXIgU2NpZW5jZStCdXNpbmVzcyBNZWRpYSBEb3JkcmVjaHQuIiwiaXNzdWUiOiIyIiwidm9sdW1lIjoiMjQiLCJjb250YWluZXItdGl0bGUtc2hvcnQiOiIifSwiaXNUZW1wb3JhcnkiOmZhbHNlfSx7ImlkIjoiYzBkOTE5Y2MtMTQyNi0zZDc2LTg3YTYtYWYyYmQ5NmQwOGRhIiwiaXRlbURhdGEiOnsidHlwZSI6ImFydGljbGUtam91cm5hbCIsImlkIjoiYzBkOTE5Y2MtMTQyNi0zZDc2LTg3YTYtYWYyYmQ5NmQwOGRhIiwidGl0bGUiOiJTZXggYW5kIGFnZSBkaWZmZXJlbmNlcyBpbiBtb3J0YWxpdHkgdHJlbmRzIG9mIGdhc3RyaWMgY2FuY2VyIGFtb25nIEhpc3BhbmljL0xhdGlubyBwb3B1bGF0aW9ucyBpbiB0aGUgVW5pdGVkIFN0YXRlcywgTGF0aW4gQW1lcmljYSwgYW5kIHRoZSBDYXJpYmJlYW4iLCJhdXRob3IiOlt7ImZhbWlseSI6IlRvcnJlcy1Sb21hbiIsImdpdmVuIjoiSi4gU21pdGgiLCJwYXJzZS1uYW1lcyI6ZmFsc2UsImRyb3BwaW5nLXBhcnRpY2xlIjoiIiwibm9uLWRyb3BwaW5nLXBhcnRpY2xlIjoiIn0seyJmYW1pbHkiOiJBbHZhcmV6IiwiZ2l2ZW4iOiJDaHJpc3RpYW4gUy4iLCJwYXJzZS1uYW1lcyI6ZmFsc2UsImRyb3BwaW5nLXBhcnRpY2xlIjoiIiwibm9uLWRyb3BwaW5nLXBhcnRpY2xlIjoiIn0seyJmYW1pbHkiOiJHdWVycmEtQ2FuY2hhcmkiLCJnaXZlbiI6IlBlZHJvIiwicGFyc2UtbmFtZXMiOmZhbHNlLCJkcm9wcGluZy1wYXJ0aWNsZSI6IiIsIm5vbi1kcm9wcGluZy1wYXJ0aWNsZSI6IiJ9LHsiZmFtaWx5IjoiVmFsY2FyY2VsIiwiZ2l2ZW4iOiJCcnlhbiIsInBhcnNlLW5hbWVzIjpmYWxzZSwiZHJvcHBpbmctcGFydGljbGUiOiIiLCJub24tZHJvcHBpbmctcGFydGljbGUiOiIifSx7ImZhbWlseSI6Ik1hcnRpbmV6LUhlcnJlcmEiLCJnaXZlbiI6Ikpvc8OpIEZhYmnDoW4iLCJwYXJzZS1uYW1lcyI6ZmFsc2UsImRyb3BwaW5nLXBhcnRpY2xlIjoiIiwibm9uLWRyb3BwaW5nLXBhcnRpY2xlIjoiIn0seyJmYW1pbHkiOiJEw6F2aWxhLUhlcm7DoW5kZXoiLCJnaXZlbiI6IkNhcmxvcyBBLiIsInBhcnNlLW5hbWVzIjpmYWxzZSwiZHJvcHBpbmctcGFydGljbGUiOiIiLCJub24tZHJvcHBpbmctcGFydGljbGUiOiIifSx7ImZhbWlseSI6IlNhbnRvcyIsImdpdmVuIjoiQ2FtaWxhIEFsdmVzIiwicGFyc2UtbmFtZXMiOmZhbHNlLCJkcm9wcGluZy1wYXJ0aWNsZSI6IiIsIm5vbi1kcm9wcGluZy1wYXJ0aWNsZSI6IiJ9LHsiZmFtaWx5IjoiU29hcmVzIiwiZ2l2ZW4iOiJTYW1hcmEgQ2Fyb2xseW5lIE1hZnJhIiwicGFyc2UtbmFtZXMiOmZhbHNlLCJkcm9wcGluZy1wYXJ0aWNsZSI6IiIsIm5vbi1kcm9wcGluZy1wYXJ0aWNsZSI6IiJ9LHsiZmFtaWx5IjoiU291emEiLCJnaXZlbiI6IkR5ZWdvIExlYW5kcm8gQmV6ZXJyYSIsInBhcnNlLW5hbWVzIjpmYWxzZSwiZHJvcHBpbmctcGFydGljbGUiOiIiLCJub24tZHJvcHBpbmctcGFydGljbGUiOiJkZSJ9LHsiZmFtaWx5IjoiQ2FtYXJnbyIsImdpdmVuIjoiTS4gQ29uc3RhbnphIiwicGFyc2UtbmFtZXMiOmZhbHNlLCJkcm9wcGluZy1wYXJ0aWNsZSI6IiIsIm5vbi1kcm9wcGluZy1wYXJ0aWNsZSI6IiJ9XSwiY29udGFpbmVyLXRpdGxlIjoiVGhlIExhbmNldCBSZWdpb25hbCBIZWFsdGggLSBBbWVyaWNhcyIsIkRPSSI6IjEwLjEwMTYvai5sYW5hLjIwMjIuMTAwMzc2IiwiSVNTTiI6IjI2NjcxOTNYIiwiVVJMIjoiaHR0cHM6Ly9saW5raW5naHViLmVsc2V2aWVyLmNvbS9yZXRyaWV2ZS9waWkvUzI2NjcxOTNYMjIwMDE5MzQiLCJpc3N1ZWQiOnsiZGF0ZS1wYXJ0cyI6W1syMDIyLDEyXV19LCJwYWdlIjoiMTAwMzc2IiwiYWJzdHJhY3QiOiJCYWNrZ3JvdW5kIEFuIHVwLXRvLWRhdGUgYW5hbHlzaXMgb2YgZ2FzdHJpYyBjYW5jZXIgbW9ydGFsaXR5IGFtb25nIEhpc3BhbmljL0xhdGlubyBwb3B1bGF0aW9ucyBpcyByZXF1aXJlZCBmb3IgZXN0aW1hdGluZyBkaXNlYXNlIGJ1cmRlbiBhbmQgYXNzZXNzaW5nIHRoZSBlZmZlY3RpdmVuZXNzIG9mIGNsaW5pY2FsIGFuZCBwcmV2ZW50aXZlIHN0cmF0ZWdpZXMuIiwidm9sdW1lIjoiMTYiLCJjb250YWluZXItdGl0bGUtc2hvcnQiOiIifSwiaXNUZW1wb3JhcnkiOmZhbHNlfV19&quot;,&quot;citationItems&quot;:[{&quot;id&quot;:&quot;063796ad-1ae4-3c8a-959c-c25d0139cc00&quot;,&quot;itemData&quot;:{&quot;type&quot;:&quot;article-journal&quot;,&quot;id&quot;:&quot;063796ad-1ae4-3c8a-959c-c25d0139cc00&quot;,&quot;title&quot;:&quot;Gastric cancer incidence and mortality is associated with altitude in the mountainous regions of Pacific Latin America&quot;,&quot;author&quot;:[{&quot;family&quot;:&quot;Torres&quot;,&quot;given&quot;:&quot;Javier&quot;,&quot;parse-names&quot;:false,&quot;dropping-particle&quot;:&quot;&quot;,&quot;non-dropping-particle&quot;:&quot;&quot;},{&quot;family&quot;:&quot;Correa&quot;,&quot;given&quot;:&quot;Pelayo&quot;,&quot;parse-names&quot;:false,&quot;dropping-particle&quot;:&quot;&quot;,&quot;non-dropping-particle&quot;:&quot;&quot;},{&quot;family&quot;:&quot;Ferreccio&quot;,&quot;given&quot;:&quot;Catterina&quot;,&quot;parse-names&quot;:false,&quot;dropping-particle&quot;:&quot;&quot;,&quot;non-dropping-particle&quot;:&quot;&quot;},{&quot;family&quot;:&quot;Hernandez-Suarez&quot;,&quot;given&quot;:&quot;Gustavo&quot;,&quot;parse-names&quot;:false,&quot;dropping-particle&quot;:&quot;&quot;,&quot;non-dropping-particle&quot;:&quot;&quot;},{&quot;family&quot;:&quot;Herrero&quot;,&quot;given&quot;:&quot;Rolando&quot;,&quot;parse-names&quot;:false,&quot;dropping-particle&quot;:&quot;&quot;,&quot;non-dropping-particle&quot;:&quot;&quot;},{&quot;family&quot;:&quot;Cavazza-Porro&quot;,&quot;given&quot;:&quot;Maria&quot;,&quot;parse-names&quot;:false,&quot;dropping-particle&quot;:&quot;&quot;,&quot;non-dropping-particle&quot;:&quot;&quot;},{&quot;family&quot;:&quot;Dominguez&quot;,&quot;given&quot;:&quot;Ricardo&quot;,&quot;parse-names&quot;:false,&quot;dropping-particle&quot;:&quot;&quot;,&quot;non-dropping-particle&quot;:&quot;&quot;},{&quot;family&quot;:&quot;Morgan&quot;,&quot;given&quot;:&quot;Douglas&quot;,&quot;parse-names&quot;:false,&quot;dropping-particle&quot;:&quot;&quot;,&quot;non-dropping-particle&quot;:&quot;&quot;}],&quot;container-title&quot;:&quot;Cancer Causes and Control&quot;,&quot;DOI&quot;:&quot;10.1007/s10552-012-0114-8&quot;,&quot;ISSN&quot;:&quot;09575243&quot;,&quot;PMID&quot;:&quot;23224271&quot;,&quot;issued&quot;:{&quot;date-parts&quot;:[[2013,2]]},&quot;page&quot;:&quot;249-256&quot;,&quot;abstract&quot;:&quot;In Latin America, gastric cancer is a leading cancer, and countries in the region have some of the highest mortality rates worldwide, including Chile, Costa Rica, and Colombia. Geographic variation in mortality rates is observed both between neighboring countries and within nations. We discuss epidemiological observations suggesting an association between altitude and gastric cancer risk in Latin America. In the Americas, the burden of gastric cancer mortality is concentrated in the mountainous areas along the Pacific rim, following the geography of the Andes sierra, from Venezuela to Chile, and the Sierra Madre and Cordillera de Centroamérica, from southern Mexico to Costa Rica. Altitude is probably a surrogate for host genetic, bacterial, dietary, and environmental factors that may cluster in the mountainous regions. For example, H. pylori strains from patients of the Andean Nariño region of Colombia display European ancestral haplotypes, whereas strains from the Pacific coast are predominantly of African origin. The observation of higher gastric cancer rates in the mountainous areas is not universal: the association is absent in Chile, where risk is more strongly associated with the age of H. pylori acquisition and socio-economic determinants. The dramatic global and regional variations in gastric cancer incidence and mortality rates offer the opportunity for scientific discovery and focused prevention programs. © 2012 Springer Science+Business Media Dordrecht.&quot;,&quot;issue&quot;:&quot;2&quot;,&quot;volume&quot;:&quot;24&quot;,&quot;container-title-short&quot;:&quot;&quot;},&quot;isTemporary&quot;:false},{&quot;id&quot;:&quot;c0d919cc-1426-3d76-87a6-af2bd96d08da&quot;,&quot;itemData&quot;:{&quot;type&quot;:&quot;article-journal&quot;,&quot;id&quot;:&quot;c0d919cc-1426-3d76-87a6-af2bd96d08da&quot;,&quot;title&quot;:&quot;Sex and age differences in mortality trends of gastric cancer among Hispanic/Latino populations in the United States, Latin America, and the Caribbean&quot;,&quot;author&quot;:[{&quot;family&quot;:&quot;Torres-Roman&quot;,&quot;given&quot;:&quot;J. Smith&quot;,&quot;parse-names&quot;:false,&quot;dropping-particle&quot;:&quot;&quot;,&quot;non-dropping-particle&quot;:&quot;&quot;},{&quot;family&quot;:&quot;Alvarez&quot;,&quot;given&quot;:&quot;Christian S.&quot;,&quot;parse-names&quot;:false,&quot;dropping-particle&quot;:&quot;&quot;,&quot;non-dropping-particle&quot;:&quot;&quot;},{&quot;family&quot;:&quot;Guerra-Canchari&quot;,&quot;given&quot;:&quot;Pedro&quot;,&quot;parse-names&quot;:false,&quot;dropping-particle&quot;:&quot;&quot;,&quot;non-dropping-particle&quot;:&quot;&quot;},{&quot;family&quot;:&quot;Valcarcel&quot;,&quot;given&quot;:&quot;Bryan&quot;,&quot;parse-names&quot;:false,&quot;dropping-particle&quot;:&quot;&quot;,&quot;non-dropping-particle&quot;:&quot;&quot;},{&quot;family&quot;:&quot;Martinez-Herrera&quot;,&quot;given&quot;:&quot;José Fabián&quot;,&quot;parse-names&quot;:false,&quot;dropping-particle&quot;:&quot;&quot;,&quot;non-dropping-particle&quot;:&quot;&quot;},{&quot;family&quot;:&quot;Dávila-Hernández&quot;,&quot;given&quot;:&quot;Carlos A.&quot;,&quot;parse-names&quot;:false,&quot;dropping-particle&quot;:&quot;&quot;,&quot;non-dropping-particle&quot;:&quot;&quot;},{&quot;family&quot;:&quot;Santos&quot;,&quot;given&quot;:&quot;Camila Alves&quot;,&quot;parse-names&quot;:false,&quot;dropping-particle&quot;:&quot;&quot;,&quot;non-dropping-particle&quot;:&quot;&quot;},{&quot;family&quot;:&quot;Soares&quot;,&quot;given&quot;:&quot;Samara Carollyne Mafra&quot;,&quot;parse-names&quot;:false,&quot;dropping-particle&quot;:&quot;&quot;,&quot;non-dropping-particle&quot;:&quot;&quot;},{&quot;family&quot;:&quot;Souza&quot;,&quot;given&quot;:&quot;Dyego Leandro Bezerra&quot;,&quot;parse-names&quot;:false,&quot;dropping-particle&quot;:&quot;&quot;,&quot;non-dropping-particle&quot;:&quot;de&quot;},{&quot;family&quot;:&quot;Camargo&quot;,&quot;given&quot;:&quot;M. Constanza&quot;,&quot;parse-names&quot;:false,&quot;dropping-particle&quot;:&quot;&quot;,&quot;non-dropping-particle&quot;:&quot;&quot;}],&quot;container-title&quot;:&quot;The Lancet Regional Health - Americas&quot;,&quot;DOI&quot;:&quot;10.1016/j.lana.2022.100376&quot;,&quot;ISSN&quot;:&quot;2667193X&quot;,&quot;URL&quot;:&quot;https://linkinghub.elsevier.com/retrieve/pii/S2667193X22001934&quot;,&quot;issued&quot;:{&quot;date-parts&quot;:[[2022,12]]},&quot;page&quot;:&quot;100376&quot;,&quot;abstract&quot;:&quot;Background An up-to-date analysis of gastric cancer mortality among Hispanic/Latino populations is required for estimating disease burden and assessing the effectiveness of clinical and preventive strategies.&quot;,&quot;volume&quot;:&quot;16&quot;,&quot;container-title-short&quot;:&quot;&quot;},&quot;isTemporary&quot;:false}]}]"/>
    <we:property name="MENDELEY_CITATIONS_LOCALE_CODE" value="&quot;en-US&quot;"/>
    <we:property name="MENDELEY_CITATIONS_STYLE" value="{&quot;id&quot;:&quot;https://www.zotero.org/styles/digestive-and-liver-disease&quot;,&quot;title&quot;:&quot;Digestive and Liver Diseas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C8233-8385-4E83-BD9F-DB9A24D30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149</Words>
  <Characters>824</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Sebastián Patiño</cp:lastModifiedBy>
  <cp:revision>208</cp:revision>
  <dcterms:created xsi:type="dcterms:W3CDTF">2026-04-24T00:36:00Z</dcterms:created>
  <dcterms:modified xsi:type="dcterms:W3CDTF">2026-05-18T20:41:00Z</dcterms:modified>
</cp:coreProperties>
</file>