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645E4">
      <w:pPr>
        <w:rPr>
          <w:b/>
          <w:sz w:val="28"/>
        </w:rPr>
      </w:pPr>
      <w:r>
        <w:rPr>
          <w:b/>
          <w:sz w:val="28"/>
        </w:rPr>
        <w:t xml:space="preserve">Supplementary </w:t>
      </w:r>
      <w:r>
        <w:rPr>
          <w:rFonts w:hint="eastAsia"/>
          <w:b/>
          <w:sz w:val="28"/>
          <w:lang w:val="en-US" w:eastAsia="zh-CN"/>
        </w:rPr>
        <w:t xml:space="preserve">Tables and </w:t>
      </w:r>
      <w:r>
        <w:rPr>
          <w:b/>
          <w:sz w:val="28"/>
        </w:rPr>
        <w:t>Figures</w:t>
      </w:r>
    </w:p>
    <w:p w14:paraId="54237B00">
      <w:r>
        <w:rPr>
          <w:b/>
        </w:rPr>
        <w:t>Table S</w:t>
      </w:r>
      <w:r>
        <w:rPr>
          <w:rFonts w:hint="eastAsia"/>
          <w:b/>
          <w:lang w:val="en-US" w:eastAsia="zh-CN"/>
        </w:rPr>
        <w:t>1</w:t>
      </w:r>
      <w:r>
        <w:rPr>
          <w:b/>
        </w:rPr>
        <w:t>. Cross-validated comparison of age-prediction algorithms in the NHANES training data.</w:t>
      </w:r>
    </w:p>
    <w:p w14:paraId="64233095">
      <w:r>
        <w:t>All models used the same 14 audiometric thresholds as inputs and the same five-fold cross-validation partition (n = 13,331). MAE, mean absolute error across all held-out folds; MAE SD, standard deviation of fold-level MAE; r, Pearson correlation between predicted and chronological age; mean error, mean of predicted minus chronological age. The gradient boosting model used for the final hearing age estimator is shown in bold.</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587A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12" w:space="0"/>
              <w:left w:val="nil"/>
              <w:bottom w:val="single" w:color="auto" w:sz="6" w:space="0"/>
              <w:right w:val="nil"/>
            </w:tcBorders>
          </w:tcPr>
          <w:p w14:paraId="29F33B60">
            <w:pPr>
              <w:rPr>
                <w:sz w:val="20"/>
                <w:szCs w:val="18"/>
              </w:rPr>
            </w:pPr>
            <w:r>
              <w:rPr>
                <w:b/>
                <w:sz w:val="20"/>
                <w:szCs w:val="18"/>
              </w:rPr>
              <w:t>Algorithm</w:t>
            </w:r>
          </w:p>
        </w:tc>
        <w:tc>
          <w:tcPr>
            <w:tcW w:w="1384" w:type="dxa"/>
            <w:tcBorders>
              <w:top w:val="single" w:color="auto" w:sz="12" w:space="0"/>
              <w:left w:val="nil"/>
              <w:bottom w:val="single" w:color="auto" w:sz="6" w:space="0"/>
              <w:right w:val="nil"/>
            </w:tcBorders>
          </w:tcPr>
          <w:p w14:paraId="605A01F3">
            <w:pPr>
              <w:rPr>
                <w:sz w:val="20"/>
                <w:szCs w:val="18"/>
              </w:rPr>
            </w:pPr>
            <w:r>
              <w:rPr>
                <w:b/>
                <w:sz w:val="20"/>
                <w:szCs w:val="18"/>
              </w:rPr>
              <w:t>MAE, years</w:t>
            </w:r>
          </w:p>
        </w:tc>
        <w:tc>
          <w:tcPr>
            <w:tcW w:w="1384" w:type="dxa"/>
            <w:tcBorders>
              <w:top w:val="single" w:color="auto" w:sz="12" w:space="0"/>
              <w:left w:val="nil"/>
              <w:bottom w:val="single" w:color="auto" w:sz="6" w:space="0"/>
              <w:right w:val="nil"/>
            </w:tcBorders>
          </w:tcPr>
          <w:p w14:paraId="072297D1">
            <w:pPr>
              <w:rPr>
                <w:sz w:val="20"/>
                <w:szCs w:val="18"/>
              </w:rPr>
            </w:pPr>
            <w:r>
              <w:rPr>
                <w:b/>
                <w:sz w:val="20"/>
                <w:szCs w:val="18"/>
              </w:rPr>
              <w:t>MAE SD across folds</w:t>
            </w:r>
          </w:p>
        </w:tc>
        <w:tc>
          <w:tcPr>
            <w:tcW w:w="1384" w:type="dxa"/>
            <w:tcBorders>
              <w:top w:val="single" w:color="auto" w:sz="12" w:space="0"/>
              <w:left w:val="nil"/>
              <w:bottom w:val="single" w:color="auto" w:sz="6" w:space="0"/>
              <w:right w:val="nil"/>
            </w:tcBorders>
          </w:tcPr>
          <w:p w14:paraId="6A390DDB">
            <w:pPr>
              <w:rPr>
                <w:sz w:val="20"/>
                <w:szCs w:val="18"/>
              </w:rPr>
            </w:pPr>
            <w:r>
              <w:rPr>
                <w:b/>
                <w:sz w:val="20"/>
                <w:szCs w:val="18"/>
              </w:rPr>
              <w:t>r</w:t>
            </w:r>
          </w:p>
        </w:tc>
        <w:tc>
          <w:tcPr>
            <w:tcW w:w="1384" w:type="dxa"/>
            <w:tcBorders>
              <w:top w:val="single" w:color="auto" w:sz="12" w:space="0"/>
              <w:left w:val="nil"/>
              <w:bottom w:val="single" w:color="auto" w:sz="6" w:space="0"/>
              <w:right w:val="nil"/>
            </w:tcBorders>
          </w:tcPr>
          <w:p w14:paraId="2B0AE717">
            <w:pPr>
              <w:rPr>
                <w:sz w:val="20"/>
                <w:szCs w:val="18"/>
              </w:rPr>
            </w:pPr>
            <w:r>
              <w:rPr>
                <w:b/>
                <w:sz w:val="20"/>
                <w:szCs w:val="18"/>
              </w:rPr>
              <w:t>R-squared</w:t>
            </w:r>
          </w:p>
        </w:tc>
        <w:tc>
          <w:tcPr>
            <w:tcW w:w="1384" w:type="dxa"/>
            <w:tcBorders>
              <w:top w:val="single" w:color="auto" w:sz="12" w:space="0"/>
              <w:left w:val="nil"/>
              <w:bottom w:val="single" w:color="auto" w:sz="6" w:space="0"/>
              <w:right w:val="nil"/>
            </w:tcBorders>
          </w:tcPr>
          <w:p w14:paraId="435EA3F0">
            <w:pPr>
              <w:rPr>
                <w:sz w:val="20"/>
                <w:szCs w:val="18"/>
              </w:rPr>
            </w:pPr>
            <w:r>
              <w:rPr>
                <w:b/>
                <w:sz w:val="20"/>
                <w:szCs w:val="18"/>
              </w:rPr>
              <w:t>Mean error, years</w:t>
            </w:r>
          </w:p>
        </w:tc>
      </w:tr>
      <w:tr w14:paraId="7F4B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6" w:space="0"/>
              <w:left w:val="nil"/>
              <w:bottom w:val="nil"/>
              <w:right w:val="nil"/>
            </w:tcBorders>
          </w:tcPr>
          <w:p w14:paraId="38B77727">
            <w:pPr>
              <w:rPr>
                <w:sz w:val="18"/>
                <w:szCs w:val="16"/>
              </w:rPr>
            </w:pPr>
            <w:r>
              <w:rPr>
                <w:sz w:val="18"/>
                <w:szCs w:val="16"/>
              </w:rPr>
              <w:t>Linear regression</w:t>
            </w:r>
          </w:p>
        </w:tc>
        <w:tc>
          <w:tcPr>
            <w:tcW w:w="1384" w:type="dxa"/>
            <w:tcBorders>
              <w:top w:val="single" w:color="auto" w:sz="6" w:space="0"/>
              <w:left w:val="nil"/>
              <w:bottom w:val="nil"/>
              <w:right w:val="nil"/>
            </w:tcBorders>
          </w:tcPr>
          <w:p w14:paraId="783521E1">
            <w:pPr>
              <w:rPr>
                <w:sz w:val="18"/>
                <w:szCs w:val="16"/>
              </w:rPr>
            </w:pPr>
            <w:r>
              <w:rPr>
                <w:sz w:val="18"/>
                <w:szCs w:val="16"/>
              </w:rPr>
              <w:t>9.80</w:t>
            </w:r>
          </w:p>
        </w:tc>
        <w:tc>
          <w:tcPr>
            <w:tcW w:w="1384" w:type="dxa"/>
            <w:tcBorders>
              <w:top w:val="single" w:color="auto" w:sz="6" w:space="0"/>
              <w:left w:val="nil"/>
              <w:bottom w:val="nil"/>
              <w:right w:val="nil"/>
            </w:tcBorders>
          </w:tcPr>
          <w:p w14:paraId="7BF87862">
            <w:pPr>
              <w:rPr>
                <w:sz w:val="18"/>
                <w:szCs w:val="16"/>
              </w:rPr>
            </w:pPr>
            <w:r>
              <w:rPr>
                <w:sz w:val="18"/>
                <w:szCs w:val="16"/>
              </w:rPr>
              <w:t>0.13</w:t>
            </w:r>
          </w:p>
        </w:tc>
        <w:tc>
          <w:tcPr>
            <w:tcW w:w="1384" w:type="dxa"/>
            <w:tcBorders>
              <w:top w:val="single" w:color="auto" w:sz="6" w:space="0"/>
              <w:left w:val="nil"/>
              <w:bottom w:val="nil"/>
              <w:right w:val="nil"/>
            </w:tcBorders>
          </w:tcPr>
          <w:p w14:paraId="276C332D">
            <w:pPr>
              <w:rPr>
                <w:sz w:val="18"/>
                <w:szCs w:val="16"/>
              </w:rPr>
            </w:pPr>
            <w:r>
              <w:rPr>
                <w:sz w:val="18"/>
                <w:szCs w:val="16"/>
              </w:rPr>
              <w:t>0.692</w:t>
            </w:r>
          </w:p>
        </w:tc>
        <w:tc>
          <w:tcPr>
            <w:tcW w:w="1384" w:type="dxa"/>
            <w:tcBorders>
              <w:top w:val="single" w:color="auto" w:sz="6" w:space="0"/>
              <w:left w:val="nil"/>
              <w:bottom w:val="nil"/>
              <w:right w:val="nil"/>
            </w:tcBorders>
          </w:tcPr>
          <w:p w14:paraId="2BA5C262">
            <w:pPr>
              <w:rPr>
                <w:sz w:val="18"/>
                <w:szCs w:val="16"/>
              </w:rPr>
            </w:pPr>
            <w:r>
              <w:rPr>
                <w:sz w:val="18"/>
                <w:szCs w:val="16"/>
              </w:rPr>
              <w:t>0.480</w:t>
            </w:r>
          </w:p>
        </w:tc>
        <w:tc>
          <w:tcPr>
            <w:tcW w:w="1384" w:type="dxa"/>
            <w:tcBorders>
              <w:top w:val="single" w:color="auto" w:sz="6" w:space="0"/>
              <w:left w:val="nil"/>
              <w:bottom w:val="nil"/>
              <w:right w:val="nil"/>
            </w:tcBorders>
          </w:tcPr>
          <w:p w14:paraId="4ECA9E58">
            <w:pPr>
              <w:rPr>
                <w:sz w:val="18"/>
                <w:szCs w:val="16"/>
              </w:rPr>
            </w:pPr>
            <w:r>
              <w:rPr>
                <w:sz w:val="18"/>
                <w:szCs w:val="16"/>
              </w:rPr>
              <w:t>+0.00</w:t>
            </w:r>
          </w:p>
        </w:tc>
      </w:tr>
      <w:tr w14:paraId="166E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nil"/>
              <w:left w:val="nil"/>
              <w:bottom w:val="nil"/>
              <w:right w:val="nil"/>
            </w:tcBorders>
          </w:tcPr>
          <w:p w14:paraId="5E71D06C">
            <w:pPr>
              <w:rPr>
                <w:sz w:val="18"/>
                <w:szCs w:val="16"/>
              </w:rPr>
            </w:pPr>
            <w:r>
              <w:rPr>
                <w:sz w:val="18"/>
                <w:szCs w:val="16"/>
              </w:rPr>
              <w:t>LASSO (standardised)</w:t>
            </w:r>
          </w:p>
        </w:tc>
        <w:tc>
          <w:tcPr>
            <w:tcW w:w="1384" w:type="dxa"/>
            <w:tcBorders>
              <w:top w:val="nil"/>
              <w:left w:val="nil"/>
              <w:bottom w:val="nil"/>
              <w:right w:val="nil"/>
            </w:tcBorders>
          </w:tcPr>
          <w:p w14:paraId="2F09ACB4">
            <w:pPr>
              <w:rPr>
                <w:sz w:val="18"/>
                <w:szCs w:val="16"/>
              </w:rPr>
            </w:pPr>
            <w:r>
              <w:rPr>
                <w:sz w:val="18"/>
                <w:szCs w:val="16"/>
              </w:rPr>
              <w:t>9.80</w:t>
            </w:r>
          </w:p>
        </w:tc>
        <w:tc>
          <w:tcPr>
            <w:tcW w:w="1384" w:type="dxa"/>
            <w:tcBorders>
              <w:top w:val="nil"/>
              <w:left w:val="nil"/>
              <w:bottom w:val="nil"/>
              <w:right w:val="nil"/>
            </w:tcBorders>
          </w:tcPr>
          <w:p w14:paraId="3C727A95">
            <w:pPr>
              <w:rPr>
                <w:sz w:val="18"/>
                <w:szCs w:val="16"/>
              </w:rPr>
            </w:pPr>
            <w:r>
              <w:rPr>
                <w:sz w:val="18"/>
                <w:szCs w:val="16"/>
              </w:rPr>
              <w:t>0.13</w:t>
            </w:r>
          </w:p>
        </w:tc>
        <w:tc>
          <w:tcPr>
            <w:tcW w:w="1384" w:type="dxa"/>
            <w:tcBorders>
              <w:top w:val="nil"/>
              <w:left w:val="nil"/>
              <w:bottom w:val="nil"/>
              <w:right w:val="nil"/>
            </w:tcBorders>
          </w:tcPr>
          <w:p w14:paraId="7C1A5662">
            <w:pPr>
              <w:rPr>
                <w:sz w:val="18"/>
                <w:szCs w:val="16"/>
              </w:rPr>
            </w:pPr>
            <w:r>
              <w:rPr>
                <w:sz w:val="18"/>
                <w:szCs w:val="16"/>
              </w:rPr>
              <w:t>0.692</w:t>
            </w:r>
          </w:p>
        </w:tc>
        <w:tc>
          <w:tcPr>
            <w:tcW w:w="1384" w:type="dxa"/>
            <w:tcBorders>
              <w:top w:val="nil"/>
              <w:left w:val="nil"/>
              <w:bottom w:val="nil"/>
              <w:right w:val="nil"/>
            </w:tcBorders>
          </w:tcPr>
          <w:p w14:paraId="2B0691C1">
            <w:pPr>
              <w:rPr>
                <w:sz w:val="18"/>
                <w:szCs w:val="16"/>
              </w:rPr>
            </w:pPr>
            <w:r>
              <w:rPr>
                <w:sz w:val="18"/>
                <w:szCs w:val="16"/>
              </w:rPr>
              <w:t>0.479</w:t>
            </w:r>
          </w:p>
        </w:tc>
        <w:tc>
          <w:tcPr>
            <w:tcW w:w="1384" w:type="dxa"/>
            <w:tcBorders>
              <w:top w:val="nil"/>
              <w:left w:val="nil"/>
              <w:bottom w:val="nil"/>
              <w:right w:val="nil"/>
            </w:tcBorders>
          </w:tcPr>
          <w:p w14:paraId="57BE8032">
            <w:pPr>
              <w:rPr>
                <w:sz w:val="18"/>
                <w:szCs w:val="16"/>
              </w:rPr>
            </w:pPr>
            <w:r>
              <w:rPr>
                <w:sz w:val="18"/>
                <w:szCs w:val="16"/>
              </w:rPr>
              <w:t>+0.00</w:t>
            </w:r>
          </w:p>
        </w:tc>
      </w:tr>
      <w:tr w14:paraId="081D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nil"/>
              <w:left w:val="nil"/>
              <w:bottom w:val="nil"/>
              <w:right w:val="nil"/>
            </w:tcBorders>
          </w:tcPr>
          <w:p w14:paraId="4B2BD4E2">
            <w:pPr>
              <w:rPr>
                <w:sz w:val="18"/>
                <w:szCs w:val="16"/>
              </w:rPr>
            </w:pPr>
            <w:r>
              <w:rPr>
                <w:sz w:val="18"/>
                <w:szCs w:val="16"/>
              </w:rPr>
              <w:t>Random forest</w:t>
            </w:r>
          </w:p>
        </w:tc>
        <w:tc>
          <w:tcPr>
            <w:tcW w:w="1384" w:type="dxa"/>
            <w:tcBorders>
              <w:top w:val="nil"/>
              <w:left w:val="nil"/>
              <w:bottom w:val="nil"/>
              <w:right w:val="nil"/>
            </w:tcBorders>
          </w:tcPr>
          <w:p w14:paraId="770136D8">
            <w:pPr>
              <w:rPr>
                <w:sz w:val="18"/>
                <w:szCs w:val="16"/>
              </w:rPr>
            </w:pPr>
            <w:r>
              <w:rPr>
                <w:sz w:val="18"/>
                <w:szCs w:val="16"/>
              </w:rPr>
              <w:t>8.58</w:t>
            </w:r>
          </w:p>
        </w:tc>
        <w:tc>
          <w:tcPr>
            <w:tcW w:w="1384" w:type="dxa"/>
            <w:tcBorders>
              <w:top w:val="nil"/>
              <w:left w:val="nil"/>
              <w:bottom w:val="nil"/>
              <w:right w:val="nil"/>
            </w:tcBorders>
          </w:tcPr>
          <w:p w14:paraId="5E52228D">
            <w:pPr>
              <w:rPr>
                <w:sz w:val="18"/>
                <w:szCs w:val="16"/>
              </w:rPr>
            </w:pPr>
            <w:r>
              <w:rPr>
                <w:sz w:val="18"/>
                <w:szCs w:val="16"/>
              </w:rPr>
              <w:t>0.19</w:t>
            </w:r>
          </w:p>
        </w:tc>
        <w:tc>
          <w:tcPr>
            <w:tcW w:w="1384" w:type="dxa"/>
            <w:tcBorders>
              <w:top w:val="nil"/>
              <w:left w:val="nil"/>
              <w:bottom w:val="nil"/>
              <w:right w:val="nil"/>
            </w:tcBorders>
          </w:tcPr>
          <w:p w14:paraId="67C09818">
            <w:pPr>
              <w:rPr>
                <w:sz w:val="18"/>
                <w:szCs w:val="16"/>
              </w:rPr>
            </w:pPr>
            <w:r>
              <w:rPr>
                <w:sz w:val="18"/>
                <w:szCs w:val="16"/>
              </w:rPr>
              <w:t>0.763</w:t>
            </w:r>
          </w:p>
        </w:tc>
        <w:tc>
          <w:tcPr>
            <w:tcW w:w="1384" w:type="dxa"/>
            <w:tcBorders>
              <w:top w:val="nil"/>
              <w:left w:val="nil"/>
              <w:bottom w:val="nil"/>
              <w:right w:val="nil"/>
            </w:tcBorders>
          </w:tcPr>
          <w:p w14:paraId="1831489D">
            <w:pPr>
              <w:rPr>
                <w:sz w:val="18"/>
                <w:szCs w:val="16"/>
              </w:rPr>
            </w:pPr>
            <w:r>
              <w:rPr>
                <w:sz w:val="18"/>
                <w:szCs w:val="16"/>
              </w:rPr>
              <w:t>0.582</w:t>
            </w:r>
          </w:p>
        </w:tc>
        <w:tc>
          <w:tcPr>
            <w:tcW w:w="1384" w:type="dxa"/>
            <w:tcBorders>
              <w:top w:val="nil"/>
              <w:left w:val="nil"/>
              <w:bottom w:val="nil"/>
              <w:right w:val="nil"/>
            </w:tcBorders>
          </w:tcPr>
          <w:p w14:paraId="43B34DDC">
            <w:pPr>
              <w:rPr>
                <w:sz w:val="18"/>
                <w:szCs w:val="16"/>
              </w:rPr>
            </w:pPr>
            <w:r>
              <w:rPr>
                <w:sz w:val="18"/>
                <w:szCs w:val="16"/>
              </w:rPr>
              <w:t>-0.02</w:t>
            </w:r>
          </w:p>
        </w:tc>
      </w:tr>
      <w:tr w14:paraId="7980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nil"/>
              <w:left w:val="nil"/>
              <w:bottom w:val="nil"/>
              <w:right w:val="nil"/>
            </w:tcBorders>
          </w:tcPr>
          <w:p w14:paraId="29AE2CE8">
            <w:pPr>
              <w:rPr>
                <w:sz w:val="18"/>
                <w:szCs w:val="16"/>
              </w:rPr>
            </w:pPr>
            <w:r>
              <w:rPr>
                <w:b/>
                <w:sz w:val="18"/>
                <w:szCs w:val="16"/>
              </w:rPr>
              <w:t>Gradient boosting (current model)</w:t>
            </w:r>
          </w:p>
        </w:tc>
        <w:tc>
          <w:tcPr>
            <w:tcW w:w="1384" w:type="dxa"/>
            <w:tcBorders>
              <w:top w:val="nil"/>
              <w:left w:val="nil"/>
              <w:bottom w:val="nil"/>
              <w:right w:val="nil"/>
            </w:tcBorders>
          </w:tcPr>
          <w:p w14:paraId="26A35081">
            <w:pPr>
              <w:rPr>
                <w:sz w:val="18"/>
                <w:szCs w:val="16"/>
              </w:rPr>
            </w:pPr>
            <w:r>
              <w:rPr>
                <w:b/>
                <w:sz w:val="18"/>
                <w:szCs w:val="16"/>
              </w:rPr>
              <w:t>8.51</w:t>
            </w:r>
          </w:p>
        </w:tc>
        <w:tc>
          <w:tcPr>
            <w:tcW w:w="1384" w:type="dxa"/>
            <w:tcBorders>
              <w:top w:val="nil"/>
              <w:left w:val="nil"/>
              <w:bottom w:val="nil"/>
              <w:right w:val="nil"/>
            </w:tcBorders>
          </w:tcPr>
          <w:p w14:paraId="6ECA551D">
            <w:pPr>
              <w:rPr>
                <w:sz w:val="18"/>
                <w:szCs w:val="16"/>
              </w:rPr>
            </w:pPr>
            <w:r>
              <w:rPr>
                <w:b/>
                <w:sz w:val="18"/>
                <w:szCs w:val="16"/>
              </w:rPr>
              <w:t>0.20</w:t>
            </w:r>
          </w:p>
        </w:tc>
        <w:tc>
          <w:tcPr>
            <w:tcW w:w="1384" w:type="dxa"/>
            <w:tcBorders>
              <w:top w:val="nil"/>
              <w:left w:val="nil"/>
              <w:bottom w:val="nil"/>
              <w:right w:val="nil"/>
            </w:tcBorders>
          </w:tcPr>
          <w:p w14:paraId="2F474575">
            <w:pPr>
              <w:rPr>
                <w:sz w:val="18"/>
                <w:szCs w:val="16"/>
              </w:rPr>
            </w:pPr>
            <w:r>
              <w:rPr>
                <w:b/>
                <w:sz w:val="18"/>
                <w:szCs w:val="16"/>
              </w:rPr>
              <w:t>0.766</w:t>
            </w:r>
          </w:p>
        </w:tc>
        <w:tc>
          <w:tcPr>
            <w:tcW w:w="1384" w:type="dxa"/>
            <w:tcBorders>
              <w:top w:val="nil"/>
              <w:left w:val="nil"/>
              <w:bottom w:val="nil"/>
              <w:right w:val="nil"/>
            </w:tcBorders>
          </w:tcPr>
          <w:p w14:paraId="084EE067">
            <w:pPr>
              <w:rPr>
                <w:sz w:val="18"/>
                <w:szCs w:val="16"/>
              </w:rPr>
            </w:pPr>
            <w:r>
              <w:rPr>
                <w:b/>
                <w:sz w:val="18"/>
                <w:szCs w:val="16"/>
              </w:rPr>
              <w:t>0.586</w:t>
            </w:r>
          </w:p>
        </w:tc>
        <w:tc>
          <w:tcPr>
            <w:tcW w:w="1384" w:type="dxa"/>
            <w:tcBorders>
              <w:top w:val="nil"/>
              <w:left w:val="nil"/>
              <w:bottom w:val="nil"/>
              <w:right w:val="nil"/>
            </w:tcBorders>
          </w:tcPr>
          <w:p w14:paraId="796D20D5">
            <w:pPr>
              <w:rPr>
                <w:sz w:val="18"/>
                <w:szCs w:val="16"/>
              </w:rPr>
            </w:pPr>
            <w:r>
              <w:rPr>
                <w:b/>
                <w:sz w:val="18"/>
                <w:szCs w:val="16"/>
              </w:rPr>
              <w:t>-0.01</w:t>
            </w:r>
          </w:p>
        </w:tc>
      </w:tr>
      <w:tr w14:paraId="501A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nil"/>
              <w:left w:val="nil"/>
              <w:bottom w:val="single" w:color="auto" w:sz="12" w:space="0"/>
              <w:right w:val="nil"/>
            </w:tcBorders>
          </w:tcPr>
          <w:p w14:paraId="7ADAE25B">
            <w:pPr>
              <w:rPr>
                <w:sz w:val="18"/>
                <w:szCs w:val="16"/>
              </w:rPr>
            </w:pPr>
            <w:r>
              <w:rPr>
                <w:sz w:val="18"/>
                <w:szCs w:val="16"/>
              </w:rPr>
              <w:t>XGBoost</w:t>
            </w:r>
          </w:p>
        </w:tc>
        <w:tc>
          <w:tcPr>
            <w:tcW w:w="1384" w:type="dxa"/>
            <w:tcBorders>
              <w:top w:val="nil"/>
              <w:left w:val="nil"/>
              <w:bottom w:val="single" w:color="auto" w:sz="12" w:space="0"/>
              <w:right w:val="nil"/>
            </w:tcBorders>
          </w:tcPr>
          <w:p w14:paraId="1238CDBC">
            <w:pPr>
              <w:rPr>
                <w:sz w:val="18"/>
                <w:szCs w:val="16"/>
              </w:rPr>
            </w:pPr>
            <w:r>
              <w:rPr>
                <w:sz w:val="18"/>
                <w:szCs w:val="16"/>
              </w:rPr>
              <w:t>8.69</w:t>
            </w:r>
          </w:p>
        </w:tc>
        <w:tc>
          <w:tcPr>
            <w:tcW w:w="1384" w:type="dxa"/>
            <w:tcBorders>
              <w:top w:val="nil"/>
              <w:left w:val="nil"/>
              <w:bottom w:val="single" w:color="auto" w:sz="12" w:space="0"/>
              <w:right w:val="nil"/>
            </w:tcBorders>
          </w:tcPr>
          <w:p w14:paraId="5052D4B4">
            <w:pPr>
              <w:rPr>
                <w:sz w:val="18"/>
                <w:szCs w:val="16"/>
              </w:rPr>
            </w:pPr>
            <w:r>
              <w:rPr>
                <w:sz w:val="18"/>
                <w:szCs w:val="16"/>
              </w:rPr>
              <w:t>0.21</w:t>
            </w:r>
          </w:p>
        </w:tc>
        <w:tc>
          <w:tcPr>
            <w:tcW w:w="1384" w:type="dxa"/>
            <w:tcBorders>
              <w:top w:val="nil"/>
              <w:left w:val="nil"/>
              <w:bottom w:val="single" w:color="auto" w:sz="12" w:space="0"/>
              <w:right w:val="nil"/>
            </w:tcBorders>
          </w:tcPr>
          <w:p w14:paraId="39671E53">
            <w:pPr>
              <w:rPr>
                <w:sz w:val="18"/>
                <w:szCs w:val="16"/>
              </w:rPr>
            </w:pPr>
            <w:r>
              <w:rPr>
                <w:sz w:val="18"/>
                <w:szCs w:val="16"/>
              </w:rPr>
              <w:t>0.754</w:t>
            </w:r>
          </w:p>
        </w:tc>
        <w:tc>
          <w:tcPr>
            <w:tcW w:w="1384" w:type="dxa"/>
            <w:tcBorders>
              <w:top w:val="nil"/>
              <w:left w:val="nil"/>
              <w:bottom w:val="single" w:color="auto" w:sz="12" w:space="0"/>
              <w:right w:val="nil"/>
            </w:tcBorders>
          </w:tcPr>
          <w:p w14:paraId="7C556A16">
            <w:pPr>
              <w:rPr>
                <w:sz w:val="18"/>
                <w:szCs w:val="16"/>
              </w:rPr>
            </w:pPr>
            <w:r>
              <w:rPr>
                <w:sz w:val="18"/>
                <w:szCs w:val="16"/>
              </w:rPr>
              <w:t>0.567</w:t>
            </w:r>
          </w:p>
        </w:tc>
        <w:tc>
          <w:tcPr>
            <w:tcW w:w="1384" w:type="dxa"/>
            <w:tcBorders>
              <w:top w:val="nil"/>
              <w:left w:val="nil"/>
              <w:bottom w:val="single" w:color="auto" w:sz="12" w:space="0"/>
              <w:right w:val="nil"/>
            </w:tcBorders>
          </w:tcPr>
          <w:p w14:paraId="15AF2E0B">
            <w:pPr>
              <w:rPr>
                <w:sz w:val="18"/>
                <w:szCs w:val="16"/>
              </w:rPr>
            </w:pPr>
            <w:r>
              <w:rPr>
                <w:sz w:val="18"/>
                <w:szCs w:val="16"/>
              </w:rPr>
              <w:t>-0.01</w:t>
            </w:r>
          </w:p>
        </w:tc>
      </w:tr>
    </w:tbl>
    <w:p w14:paraId="4A6BD3AD">
      <w:pPr>
        <w:rPr>
          <w:b/>
          <w:sz w:val="21"/>
        </w:rPr>
      </w:pPr>
    </w:p>
    <w:p w14:paraId="2E900889">
      <w:r>
        <w:rPr>
          <w:b/>
          <w:sz w:val="21"/>
        </w:rPr>
        <w:t>Table S</w:t>
      </w:r>
      <w:r>
        <w:rPr>
          <w:rFonts w:hint="eastAsia"/>
          <w:b/>
          <w:sz w:val="21"/>
          <w:lang w:val="en-US" w:eastAsia="zh-CN"/>
        </w:rPr>
        <w:t>2</w:t>
      </w:r>
      <w:r>
        <w:rPr>
          <w:b/>
          <w:sz w:val="21"/>
        </w:rPr>
        <w:t>. Characteristics of participants included in versus excluded from the extended adjustment model (Model 3)</w:t>
      </w:r>
    </w:p>
    <w:tbl>
      <w:tblPr>
        <w:tblStyle w:val="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88"/>
        <w:gridCol w:w="2263"/>
        <w:gridCol w:w="2271"/>
      </w:tblGrid>
      <w:tr w14:paraId="353F0A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Borders>
              <w:bottom w:val="single" w:color="auto" w:sz="6" w:space="0"/>
            </w:tcBorders>
          </w:tcPr>
          <w:p w14:paraId="5BDF9943">
            <w:pPr>
              <w:spacing w:before="20" w:after="20" w:line="240" w:lineRule="auto"/>
            </w:pPr>
            <w:r>
              <w:rPr>
                <w:b/>
                <w:sz w:val="19"/>
              </w:rPr>
              <w:t>Characteristic</w:t>
            </w:r>
          </w:p>
        </w:tc>
        <w:tc>
          <w:tcPr>
            <w:tcW w:w="2592" w:type="dxa"/>
            <w:tcBorders>
              <w:bottom w:val="single" w:color="auto" w:sz="6" w:space="0"/>
            </w:tcBorders>
          </w:tcPr>
          <w:p w14:paraId="46A42F26">
            <w:pPr>
              <w:spacing w:before="20" w:after="20" w:line="240" w:lineRule="auto"/>
            </w:pPr>
            <w:r>
              <w:rPr>
                <w:b/>
                <w:sz w:val="19"/>
              </w:rPr>
              <w:t>Included in Model 3 (n = 7,902)</w:t>
            </w:r>
          </w:p>
        </w:tc>
        <w:tc>
          <w:tcPr>
            <w:tcW w:w="2592" w:type="dxa"/>
            <w:tcBorders>
              <w:bottom w:val="single" w:color="auto" w:sz="6" w:space="0"/>
            </w:tcBorders>
          </w:tcPr>
          <w:p w14:paraId="7C82D8FE">
            <w:pPr>
              <w:spacing w:before="20" w:after="20" w:line="240" w:lineRule="auto"/>
            </w:pPr>
            <w:r>
              <w:rPr>
                <w:b/>
                <w:sz w:val="19"/>
              </w:rPr>
              <w:t>Excluded from Model 3 (n = 5,429)</w:t>
            </w:r>
          </w:p>
        </w:tc>
      </w:tr>
      <w:tr w14:paraId="2FCFB3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4B59EFE2">
            <w:pPr>
              <w:spacing w:before="20" w:after="20" w:line="240" w:lineRule="auto"/>
            </w:pPr>
            <w:r>
              <w:rPr>
                <w:sz w:val="19"/>
              </w:rPr>
              <w:t>Age at examination, years, mean (SD)</w:t>
            </w:r>
          </w:p>
        </w:tc>
        <w:tc>
          <w:tcPr>
            <w:tcW w:w="2592" w:type="dxa"/>
          </w:tcPr>
          <w:p w14:paraId="0A4E9C4F">
            <w:pPr>
              <w:spacing w:before="20" w:after="20" w:line="240" w:lineRule="auto"/>
            </w:pPr>
            <w:r>
              <w:rPr>
                <w:sz w:val="19"/>
              </w:rPr>
              <w:t>45.6 (15.7)</w:t>
            </w:r>
          </w:p>
        </w:tc>
        <w:tc>
          <w:tcPr>
            <w:tcW w:w="2592" w:type="dxa"/>
          </w:tcPr>
          <w:p w14:paraId="530AF2C5">
            <w:pPr>
              <w:spacing w:before="20" w:after="20" w:line="240" w:lineRule="auto"/>
            </w:pPr>
            <w:r>
              <w:rPr>
                <w:sz w:val="19"/>
              </w:rPr>
              <w:t>49.4 (17.8)</w:t>
            </w:r>
          </w:p>
        </w:tc>
      </w:tr>
      <w:tr w14:paraId="55340F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3990AF3B">
            <w:pPr>
              <w:spacing w:before="20" w:after="20" w:line="240" w:lineRule="auto"/>
            </w:pPr>
            <w:r>
              <w:rPr>
                <w:sz w:val="19"/>
              </w:rPr>
              <w:t>Men, %</w:t>
            </w:r>
          </w:p>
        </w:tc>
        <w:tc>
          <w:tcPr>
            <w:tcW w:w="2592" w:type="dxa"/>
          </w:tcPr>
          <w:p w14:paraId="48169E1E">
            <w:pPr>
              <w:spacing w:before="20" w:after="20" w:line="240" w:lineRule="auto"/>
            </w:pPr>
            <w:r>
              <w:rPr>
                <w:sz w:val="19"/>
              </w:rPr>
              <w:t>47.7</w:t>
            </w:r>
          </w:p>
        </w:tc>
        <w:tc>
          <w:tcPr>
            <w:tcW w:w="2592" w:type="dxa"/>
          </w:tcPr>
          <w:p w14:paraId="27A024E9">
            <w:pPr>
              <w:spacing w:before="20" w:after="20" w:line="240" w:lineRule="auto"/>
            </w:pPr>
            <w:r>
              <w:rPr>
                <w:sz w:val="19"/>
              </w:rPr>
              <w:t>50.7</w:t>
            </w:r>
          </w:p>
        </w:tc>
      </w:tr>
      <w:tr w14:paraId="0BCCB0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0773C901">
            <w:pPr>
              <w:spacing w:before="20" w:after="20" w:line="240" w:lineRule="auto"/>
            </w:pPr>
            <w:r>
              <w:rPr>
                <w:sz w:val="19"/>
              </w:rPr>
              <w:t>Race and ethnicity, %</w:t>
            </w:r>
          </w:p>
        </w:tc>
        <w:tc>
          <w:tcPr>
            <w:tcW w:w="2592" w:type="dxa"/>
          </w:tcPr>
          <w:p w14:paraId="4FC75E28">
            <w:pPr>
              <w:spacing w:before="20" w:after="20" w:line="240" w:lineRule="auto"/>
            </w:pPr>
          </w:p>
        </w:tc>
        <w:tc>
          <w:tcPr>
            <w:tcW w:w="2592" w:type="dxa"/>
          </w:tcPr>
          <w:p w14:paraId="7F6D9EDD">
            <w:pPr>
              <w:spacing w:before="20" w:after="20" w:line="240" w:lineRule="auto"/>
            </w:pPr>
          </w:p>
        </w:tc>
      </w:tr>
      <w:tr w14:paraId="25ED52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5B577C17">
            <w:pPr>
              <w:spacing w:before="20" w:after="20" w:line="240" w:lineRule="auto"/>
            </w:pPr>
            <w:r>
              <w:rPr>
                <w:sz w:val="19"/>
              </w:rPr>
              <w:t xml:space="preserve">  Mexican American</w:t>
            </w:r>
          </w:p>
        </w:tc>
        <w:tc>
          <w:tcPr>
            <w:tcW w:w="2592" w:type="dxa"/>
          </w:tcPr>
          <w:p w14:paraId="48F18A06">
            <w:pPr>
              <w:spacing w:before="20" w:after="20" w:line="240" w:lineRule="auto"/>
            </w:pPr>
            <w:r>
              <w:rPr>
                <w:sz w:val="19"/>
              </w:rPr>
              <w:t>19.2</w:t>
            </w:r>
          </w:p>
        </w:tc>
        <w:tc>
          <w:tcPr>
            <w:tcW w:w="2592" w:type="dxa"/>
          </w:tcPr>
          <w:p w14:paraId="2B70B22D">
            <w:pPr>
              <w:spacing w:before="20" w:after="20" w:line="240" w:lineRule="auto"/>
            </w:pPr>
            <w:r>
              <w:rPr>
                <w:sz w:val="19"/>
              </w:rPr>
              <w:t>11.2</w:t>
            </w:r>
          </w:p>
        </w:tc>
      </w:tr>
      <w:tr w14:paraId="616B9F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6D09BCF9">
            <w:pPr>
              <w:spacing w:before="20" w:after="20" w:line="240" w:lineRule="auto"/>
            </w:pPr>
            <w:r>
              <w:rPr>
                <w:sz w:val="19"/>
              </w:rPr>
              <w:t xml:space="preserve">  Other Hispanic</w:t>
            </w:r>
          </w:p>
        </w:tc>
        <w:tc>
          <w:tcPr>
            <w:tcW w:w="2592" w:type="dxa"/>
          </w:tcPr>
          <w:p w14:paraId="66635A87">
            <w:pPr>
              <w:spacing w:before="20" w:after="20" w:line="240" w:lineRule="auto"/>
            </w:pPr>
            <w:r>
              <w:rPr>
                <w:sz w:val="19"/>
              </w:rPr>
              <w:t>9.2</w:t>
            </w:r>
          </w:p>
        </w:tc>
        <w:tc>
          <w:tcPr>
            <w:tcW w:w="2592" w:type="dxa"/>
          </w:tcPr>
          <w:p w14:paraId="28640880">
            <w:pPr>
              <w:spacing w:before="20" w:after="20" w:line="240" w:lineRule="auto"/>
            </w:pPr>
            <w:r>
              <w:rPr>
                <w:sz w:val="19"/>
              </w:rPr>
              <w:t>8.7</w:t>
            </w:r>
          </w:p>
        </w:tc>
      </w:tr>
      <w:tr w14:paraId="22778E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70606FA8">
            <w:pPr>
              <w:spacing w:before="20" w:after="20" w:line="240" w:lineRule="auto"/>
            </w:pPr>
            <w:r>
              <w:rPr>
                <w:sz w:val="19"/>
              </w:rPr>
              <w:t xml:space="preserve">  Non-Hispanic White</w:t>
            </w:r>
          </w:p>
        </w:tc>
        <w:tc>
          <w:tcPr>
            <w:tcW w:w="2592" w:type="dxa"/>
          </w:tcPr>
          <w:p w14:paraId="12221F64">
            <w:pPr>
              <w:spacing w:before="20" w:after="20" w:line="240" w:lineRule="auto"/>
            </w:pPr>
            <w:r>
              <w:rPr>
                <w:sz w:val="19"/>
              </w:rPr>
              <w:t>40.1</w:t>
            </w:r>
          </w:p>
        </w:tc>
        <w:tc>
          <w:tcPr>
            <w:tcW w:w="2592" w:type="dxa"/>
          </w:tcPr>
          <w:p w14:paraId="66592B5C">
            <w:pPr>
              <w:spacing w:before="20" w:after="20" w:line="240" w:lineRule="auto"/>
            </w:pPr>
            <w:r>
              <w:rPr>
                <w:sz w:val="19"/>
              </w:rPr>
              <w:t>40.0</w:t>
            </w:r>
          </w:p>
        </w:tc>
      </w:tr>
      <w:tr w14:paraId="258BF0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5BFC6030">
            <w:pPr>
              <w:spacing w:before="20" w:after="20" w:line="240" w:lineRule="auto"/>
            </w:pPr>
            <w:r>
              <w:rPr>
                <w:sz w:val="19"/>
              </w:rPr>
              <w:t xml:space="preserve">  Non-Hispanic Black</w:t>
            </w:r>
          </w:p>
        </w:tc>
        <w:tc>
          <w:tcPr>
            <w:tcW w:w="2592" w:type="dxa"/>
          </w:tcPr>
          <w:p w14:paraId="725C97AD">
            <w:pPr>
              <w:spacing w:before="20" w:after="20" w:line="240" w:lineRule="auto"/>
            </w:pPr>
            <w:r>
              <w:rPr>
                <w:sz w:val="19"/>
              </w:rPr>
              <w:t>20.5</w:t>
            </w:r>
          </w:p>
        </w:tc>
        <w:tc>
          <w:tcPr>
            <w:tcW w:w="2592" w:type="dxa"/>
          </w:tcPr>
          <w:p w14:paraId="199AD737">
            <w:pPr>
              <w:spacing w:before="20" w:after="20" w:line="240" w:lineRule="auto"/>
            </w:pPr>
            <w:r>
              <w:rPr>
                <w:sz w:val="19"/>
              </w:rPr>
              <w:t>26.4</w:t>
            </w:r>
          </w:p>
        </w:tc>
      </w:tr>
      <w:tr w14:paraId="0E57AB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63CD943E">
            <w:pPr>
              <w:spacing w:before="20" w:after="20" w:line="240" w:lineRule="auto"/>
            </w:pPr>
            <w:r>
              <w:rPr>
                <w:sz w:val="19"/>
              </w:rPr>
              <w:t xml:space="preserve">  Non-Hispanic Asian</w:t>
            </w:r>
          </w:p>
        </w:tc>
        <w:tc>
          <w:tcPr>
            <w:tcW w:w="2592" w:type="dxa"/>
          </w:tcPr>
          <w:p w14:paraId="159E3A54">
            <w:pPr>
              <w:spacing w:before="20" w:after="20" w:line="240" w:lineRule="auto"/>
            </w:pPr>
            <w:r>
              <w:rPr>
                <w:sz w:val="19"/>
              </w:rPr>
              <w:t>4.0</w:t>
            </w:r>
          </w:p>
        </w:tc>
        <w:tc>
          <w:tcPr>
            <w:tcW w:w="2592" w:type="dxa"/>
          </w:tcPr>
          <w:p w14:paraId="016DC226">
            <w:pPr>
              <w:spacing w:before="20" w:after="20" w:line="240" w:lineRule="auto"/>
            </w:pPr>
            <w:r>
              <w:rPr>
                <w:sz w:val="19"/>
              </w:rPr>
              <w:t>3.2</w:t>
            </w:r>
          </w:p>
        </w:tc>
      </w:tr>
      <w:tr w14:paraId="5DCB24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121D603D">
            <w:pPr>
              <w:spacing w:before="20" w:after="20" w:line="240" w:lineRule="auto"/>
            </w:pPr>
            <w:r>
              <w:rPr>
                <w:sz w:val="19"/>
              </w:rPr>
              <w:t xml:space="preserve">  Other or multiracial</w:t>
            </w:r>
          </w:p>
        </w:tc>
        <w:tc>
          <w:tcPr>
            <w:tcW w:w="2592" w:type="dxa"/>
          </w:tcPr>
          <w:p w14:paraId="21F78821">
            <w:pPr>
              <w:spacing w:before="20" w:after="20" w:line="240" w:lineRule="auto"/>
            </w:pPr>
            <w:r>
              <w:rPr>
                <w:sz w:val="19"/>
              </w:rPr>
              <w:t>7.0</w:t>
            </w:r>
          </w:p>
        </w:tc>
        <w:tc>
          <w:tcPr>
            <w:tcW w:w="2592" w:type="dxa"/>
          </w:tcPr>
          <w:p w14:paraId="474D02CB">
            <w:pPr>
              <w:spacing w:before="20" w:after="20" w:line="240" w:lineRule="auto"/>
            </w:pPr>
            <w:r>
              <w:rPr>
                <w:sz w:val="19"/>
              </w:rPr>
              <w:t>10.5</w:t>
            </w:r>
          </w:p>
        </w:tc>
      </w:tr>
      <w:tr w14:paraId="236C05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7FD20E80">
            <w:pPr>
              <w:spacing w:before="20" w:after="20" w:line="240" w:lineRule="auto"/>
            </w:pPr>
            <w:r>
              <w:rPr>
                <w:sz w:val="19"/>
              </w:rPr>
              <w:t>Body mass index, kg/m², mean (SD)</w:t>
            </w:r>
          </w:p>
        </w:tc>
        <w:tc>
          <w:tcPr>
            <w:tcW w:w="2592" w:type="dxa"/>
          </w:tcPr>
          <w:p w14:paraId="2841A509">
            <w:pPr>
              <w:spacing w:before="20" w:after="20" w:line="240" w:lineRule="auto"/>
            </w:pPr>
            <w:r>
              <w:rPr>
                <w:sz w:val="19"/>
              </w:rPr>
              <w:t>29.2 (6.9)</w:t>
            </w:r>
          </w:p>
        </w:tc>
        <w:tc>
          <w:tcPr>
            <w:tcW w:w="2592" w:type="dxa"/>
          </w:tcPr>
          <w:p w14:paraId="06179B6F">
            <w:pPr>
              <w:spacing w:before="20" w:after="20" w:line="240" w:lineRule="auto"/>
            </w:pPr>
            <w:r>
              <w:rPr>
                <w:sz w:val="19"/>
              </w:rPr>
              <w:t>29.0 (6.9)</w:t>
            </w:r>
          </w:p>
        </w:tc>
      </w:tr>
      <w:tr w14:paraId="11F094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2C1639C3">
            <w:pPr>
              <w:spacing w:before="20" w:after="20" w:line="240" w:lineRule="auto"/>
            </w:pPr>
            <w:r>
              <w:rPr>
                <w:sz w:val="19"/>
              </w:rPr>
              <w:t>Ever smoked, %</w:t>
            </w:r>
          </w:p>
        </w:tc>
        <w:tc>
          <w:tcPr>
            <w:tcW w:w="2592" w:type="dxa"/>
          </w:tcPr>
          <w:p w14:paraId="31FFE7FD">
            <w:pPr>
              <w:spacing w:before="20" w:after="20" w:line="240" w:lineRule="auto"/>
            </w:pPr>
            <w:r>
              <w:rPr>
                <w:sz w:val="19"/>
              </w:rPr>
              <w:t>45.0</w:t>
            </w:r>
          </w:p>
        </w:tc>
        <w:tc>
          <w:tcPr>
            <w:tcW w:w="2592" w:type="dxa"/>
          </w:tcPr>
          <w:p w14:paraId="7CF2719B">
            <w:pPr>
              <w:spacing w:before="20" w:after="20" w:line="240" w:lineRule="auto"/>
            </w:pPr>
            <w:r>
              <w:rPr>
                <w:sz w:val="19"/>
              </w:rPr>
              <w:t>45.1</w:t>
            </w:r>
          </w:p>
        </w:tc>
      </w:tr>
      <w:tr w14:paraId="0BFCE6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65880A74">
            <w:pPr>
              <w:spacing w:before="20" w:after="20" w:line="240" w:lineRule="auto"/>
            </w:pPr>
            <w:r>
              <w:rPr>
                <w:sz w:val="19"/>
              </w:rPr>
              <w:t>Diabetes, %</w:t>
            </w:r>
          </w:p>
        </w:tc>
        <w:tc>
          <w:tcPr>
            <w:tcW w:w="2592" w:type="dxa"/>
          </w:tcPr>
          <w:p w14:paraId="003E0420">
            <w:pPr>
              <w:spacing w:before="20" w:after="20" w:line="240" w:lineRule="auto"/>
            </w:pPr>
            <w:r>
              <w:rPr>
                <w:sz w:val="19"/>
              </w:rPr>
              <w:t>11.8</w:t>
            </w:r>
          </w:p>
        </w:tc>
        <w:tc>
          <w:tcPr>
            <w:tcW w:w="2592" w:type="dxa"/>
          </w:tcPr>
          <w:p w14:paraId="28B42D9C">
            <w:pPr>
              <w:spacing w:before="20" w:after="20" w:line="240" w:lineRule="auto"/>
            </w:pPr>
            <w:r>
              <w:rPr>
                <w:sz w:val="19"/>
              </w:rPr>
              <w:t>12.9</w:t>
            </w:r>
          </w:p>
        </w:tc>
      </w:tr>
      <w:tr w14:paraId="05BC31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40C3C8C1">
            <w:pPr>
              <w:spacing w:before="20" w:after="20" w:line="240" w:lineRule="auto"/>
            </w:pPr>
            <w:r>
              <w:rPr>
                <w:sz w:val="19"/>
              </w:rPr>
              <w:t>Hypertension, %</w:t>
            </w:r>
          </w:p>
        </w:tc>
        <w:tc>
          <w:tcPr>
            <w:tcW w:w="2592" w:type="dxa"/>
          </w:tcPr>
          <w:p w14:paraId="7DB2D7B9">
            <w:pPr>
              <w:spacing w:before="20" w:after="20" w:line="240" w:lineRule="auto"/>
            </w:pPr>
            <w:r>
              <w:rPr>
                <w:sz w:val="19"/>
              </w:rPr>
              <w:t>31.1</w:t>
            </w:r>
          </w:p>
        </w:tc>
        <w:tc>
          <w:tcPr>
            <w:tcW w:w="2592" w:type="dxa"/>
          </w:tcPr>
          <w:p w14:paraId="6B14D289">
            <w:pPr>
              <w:spacing w:before="20" w:after="20" w:line="240" w:lineRule="auto"/>
            </w:pPr>
            <w:r>
              <w:rPr>
                <w:sz w:val="19"/>
              </w:rPr>
              <w:t>37.5</w:t>
            </w:r>
          </w:p>
        </w:tc>
      </w:tr>
      <w:tr w14:paraId="1BDFC5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347E153C">
            <w:pPr>
              <w:spacing w:before="20" w:after="20" w:line="240" w:lineRule="auto"/>
            </w:pPr>
            <w:r>
              <w:rPr>
                <w:sz w:val="19"/>
              </w:rPr>
              <w:t>PTA4 in the better ear, dB HL, mean (SD)</w:t>
            </w:r>
          </w:p>
        </w:tc>
        <w:tc>
          <w:tcPr>
            <w:tcW w:w="2592" w:type="dxa"/>
          </w:tcPr>
          <w:p w14:paraId="3E1E1A1C">
            <w:pPr>
              <w:spacing w:before="20" w:after="20" w:line="240" w:lineRule="auto"/>
            </w:pPr>
            <w:r>
              <w:rPr>
                <w:sz w:val="19"/>
              </w:rPr>
              <w:t>12.7 (12.6)</w:t>
            </w:r>
          </w:p>
        </w:tc>
        <w:tc>
          <w:tcPr>
            <w:tcW w:w="2592" w:type="dxa"/>
          </w:tcPr>
          <w:p w14:paraId="6013CD91">
            <w:pPr>
              <w:spacing w:before="20" w:after="20" w:line="240" w:lineRule="auto"/>
            </w:pPr>
            <w:r>
              <w:rPr>
                <w:sz w:val="19"/>
              </w:rPr>
              <w:t>14.9 (15.2)</w:t>
            </w:r>
          </w:p>
        </w:tc>
      </w:tr>
      <w:tr w14:paraId="241AF1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608" w:type="dxa"/>
          </w:tcPr>
          <w:p w14:paraId="37246484">
            <w:pPr>
              <w:spacing w:before="20" w:after="20" w:line="240" w:lineRule="auto"/>
            </w:pPr>
            <w:r>
              <w:rPr>
                <w:sz w:val="19"/>
              </w:rPr>
              <w:t>Hearing loss (PTA4 &gt; 25 dB HL), %</w:t>
            </w:r>
          </w:p>
        </w:tc>
        <w:tc>
          <w:tcPr>
            <w:tcW w:w="2592" w:type="dxa"/>
          </w:tcPr>
          <w:p w14:paraId="3BE779EE">
            <w:pPr>
              <w:spacing w:before="20" w:after="20" w:line="240" w:lineRule="auto"/>
            </w:pPr>
            <w:r>
              <w:rPr>
                <w:sz w:val="19"/>
              </w:rPr>
              <w:t>11.1</w:t>
            </w:r>
          </w:p>
        </w:tc>
        <w:tc>
          <w:tcPr>
            <w:tcW w:w="2592" w:type="dxa"/>
          </w:tcPr>
          <w:p w14:paraId="75E55ADA">
            <w:pPr>
              <w:spacing w:before="20" w:after="20" w:line="240" w:lineRule="auto"/>
            </w:pPr>
            <w:r>
              <w:rPr>
                <w:sz w:val="19"/>
              </w:rPr>
              <w:t>17.1</w:t>
            </w:r>
          </w:p>
        </w:tc>
      </w:tr>
      <w:tr w14:paraId="76C7BC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29C2C899">
            <w:pPr>
              <w:spacing w:before="20" w:after="20" w:line="240" w:lineRule="auto"/>
            </w:pPr>
            <w:r>
              <w:rPr>
                <w:sz w:val="19"/>
              </w:rPr>
              <w:t>Hearing age gap, years, mean (SD)</w:t>
            </w:r>
          </w:p>
        </w:tc>
        <w:tc>
          <w:tcPr>
            <w:tcW w:w="2592" w:type="dxa"/>
          </w:tcPr>
          <w:p w14:paraId="0AB3380D">
            <w:pPr>
              <w:spacing w:before="20" w:after="20" w:line="240" w:lineRule="auto"/>
            </w:pPr>
            <w:r>
              <w:rPr>
                <w:sz w:val="19"/>
              </w:rPr>
              <w:t>0.5 (10.6)</w:t>
            </w:r>
          </w:p>
        </w:tc>
        <w:tc>
          <w:tcPr>
            <w:tcW w:w="2592" w:type="dxa"/>
          </w:tcPr>
          <w:p w14:paraId="38D9901F">
            <w:pPr>
              <w:spacing w:before="20" w:after="20" w:line="240" w:lineRule="auto"/>
            </w:pPr>
            <w:r>
              <w:rPr>
                <w:sz w:val="19"/>
              </w:rPr>
              <w:t>-0.7 (10.8)</w:t>
            </w:r>
          </w:p>
        </w:tc>
      </w:tr>
      <w:tr w14:paraId="4FF751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04DDA206">
            <w:pPr>
              <w:spacing w:before="20" w:after="20" w:line="240" w:lineRule="auto"/>
            </w:pPr>
            <w:r>
              <w:rPr>
                <w:sz w:val="19"/>
              </w:rPr>
              <w:t>Survey cycle, %</w:t>
            </w:r>
          </w:p>
        </w:tc>
        <w:tc>
          <w:tcPr>
            <w:tcW w:w="2592" w:type="dxa"/>
          </w:tcPr>
          <w:p w14:paraId="6E88B9CE">
            <w:pPr>
              <w:spacing w:before="20" w:after="20" w:line="240" w:lineRule="auto"/>
            </w:pPr>
          </w:p>
        </w:tc>
        <w:tc>
          <w:tcPr>
            <w:tcW w:w="2592" w:type="dxa"/>
          </w:tcPr>
          <w:p w14:paraId="152D1602">
            <w:pPr>
              <w:spacing w:before="20" w:after="20" w:line="240" w:lineRule="auto"/>
            </w:pPr>
          </w:p>
        </w:tc>
      </w:tr>
      <w:tr w14:paraId="3D494B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608" w:type="dxa"/>
          </w:tcPr>
          <w:p w14:paraId="3645A8E6">
            <w:pPr>
              <w:spacing w:before="20" w:after="20" w:line="240" w:lineRule="auto"/>
            </w:pPr>
            <w:r>
              <w:rPr>
                <w:sz w:val="19"/>
              </w:rPr>
              <w:t xml:space="preserve">  2001-2002</w:t>
            </w:r>
          </w:p>
        </w:tc>
        <w:tc>
          <w:tcPr>
            <w:tcW w:w="2592" w:type="dxa"/>
          </w:tcPr>
          <w:p w14:paraId="54BD1DBF">
            <w:pPr>
              <w:spacing w:before="20" w:after="20" w:line="240" w:lineRule="auto"/>
            </w:pPr>
            <w:r>
              <w:rPr>
                <w:sz w:val="19"/>
              </w:rPr>
              <w:t>21.7</w:t>
            </w:r>
          </w:p>
        </w:tc>
        <w:tc>
          <w:tcPr>
            <w:tcW w:w="2592" w:type="dxa"/>
          </w:tcPr>
          <w:p w14:paraId="5D508D22">
            <w:pPr>
              <w:spacing w:before="20" w:after="20" w:line="240" w:lineRule="auto"/>
            </w:pPr>
            <w:r>
              <w:rPr>
                <w:sz w:val="19"/>
              </w:rPr>
              <w:t>2.8</w:t>
            </w:r>
          </w:p>
        </w:tc>
      </w:tr>
      <w:tr w14:paraId="6B1E6F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637EE327">
            <w:pPr>
              <w:spacing w:before="20" w:after="20" w:line="240" w:lineRule="auto"/>
            </w:pPr>
            <w:r>
              <w:rPr>
                <w:sz w:val="19"/>
              </w:rPr>
              <w:t xml:space="preserve">  2003-2004</w:t>
            </w:r>
          </w:p>
        </w:tc>
        <w:tc>
          <w:tcPr>
            <w:tcW w:w="2592" w:type="dxa"/>
          </w:tcPr>
          <w:p w14:paraId="01C6A29A">
            <w:pPr>
              <w:spacing w:before="20" w:after="20" w:line="240" w:lineRule="auto"/>
            </w:pPr>
            <w:r>
              <w:rPr>
                <w:sz w:val="19"/>
              </w:rPr>
              <w:t>21.0</w:t>
            </w:r>
          </w:p>
        </w:tc>
        <w:tc>
          <w:tcPr>
            <w:tcW w:w="2592" w:type="dxa"/>
          </w:tcPr>
          <w:p w14:paraId="11185B1C">
            <w:pPr>
              <w:spacing w:before="20" w:after="20" w:line="240" w:lineRule="auto"/>
            </w:pPr>
            <w:r>
              <w:rPr>
                <w:sz w:val="19"/>
              </w:rPr>
              <w:t>2.0</w:t>
            </w:r>
          </w:p>
        </w:tc>
      </w:tr>
      <w:tr w14:paraId="1C10AB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59969B94">
            <w:pPr>
              <w:spacing w:before="20" w:after="20" w:line="240" w:lineRule="auto"/>
            </w:pPr>
            <w:r>
              <w:rPr>
                <w:sz w:val="19"/>
              </w:rPr>
              <w:t xml:space="preserve">  2005-2006</w:t>
            </w:r>
          </w:p>
        </w:tc>
        <w:tc>
          <w:tcPr>
            <w:tcW w:w="2592" w:type="dxa"/>
          </w:tcPr>
          <w:p w14:paraId="6F04EBC6">
            <w:pPr>
              <w:spacing w:before="20" w:after="20" w:line="240" w:lineRule="auto"/>
            </w:pPr>
            <w:r>
              <w:rPr>
                <w:sz w:val="19"/>
              </w:rPr>
              <w:t>0.0</w:t>
            </w:r>
          </w:p>
        </w:tc>
        <w:tc>
          <w:tcPr>
            <w:tcW w:w="2592" w:type="dxa"/>
          </w:tcPr>
          <w:p w14:paraId="6041C9F4">
            <w:pPr>
              <w:spacing w:before="20" w:after="20" w:line="240" w:lineRule="auto"/>
            </w:pPr>
            <w:r>
              <w:rPr>
                <w:sz w:val="19"/>
              </w:rPr>
              <w:t>7.8</w:t>
            </w:r>
          </w:p>
        </w:tc>
      </w:tr>
      <w:tr w14:paraId="422F28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3DA5E1B8">
            <w:pPr>
              <w:spacing w:before="20" w:after="20" w:line="240" w:lineRule="auto"/>
            </w:pPr>
            <w:r>
              <w:rPr>
                <w:sz w:val="19"/>
              </w:rPr>
              <w:t xml:space="preserve">  2009-2010</w:t>
            </w:r>
          </w:p>
        </w:tc>
        <w:tc>
          <w:tcPr>
            <w:tcW w:w="2592" w:type="dxa"/>
          </w:tcPr>
          <w:p w14:paraId="05866D48">
            <w:pPr>
              <w:spacing w:before="20" w:after="20" w:line="240" w:lineRule="auto"/>
            </w:pPr>
            <w:r>
              <w:rPr>
                <w:sz w:val="19"/>
              </w:rPr>
              <w:t>0.0</w:t>
            </w:r>
          </w:p>
        </w:tc>
        <w:tc>
          <w:tcPr>
            <w:tcW w:w="2592" w:type="dxa"/>
          </w:tcPr>
          <w:p w14:paraId="67EE417D">
            <w:pPr>
              <w:spacing w:before="20" w:after="20" w:line="240" w:lineRule="auto"/>
            </w:pPr>
            <w:r>
              <w:rPr>
                <w:sz w:val="19"/>
              </w:rPr>
              <w:t>11.1</w:t>
            </w:r>
          </w:p>
        </w:tc>
      </w:tr>
      <w:tr w14:paraId="0A79AF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08B2A5ED">
            <w:pPr>
              <w:spacing w:before="20" w:after="20" w:line="240" w:lineRule="auto"/>
            </w:pPr>
            <w:r>
              <w:rPr>
                <w:sz w:val="19"/>
              </w:rPr>
              <w:t xml:space="preserve">  2011-2012</w:t>
            </w:r>
          </w:p>
        </w:tc>
        <w:tc>
          <w:tcPr>
            <w:tcW w:w="2592" w:type="dxa"/>
          </w:tcPr>
          <w:p w14:paraId="19721F24">
            <w:pPr>
              <w:spacing w:before="20" w:after="20" w:line="240" w:lineRule="auto"/>
            </w:pPr>
            <w:r>
              <w:rPr>
                <w:sz w:val="19"/>
              </w:rPr>
              <w:t>0.0</w:t>
            </w:r>
          </w:p>
        </w:tc>
        <w:tc>
          <w:tcPr>
            <w:tcW w:w="2592" w:type="dxa"/>
          </w:tcPr>
          <w:p w14:paraId="0BE40F76">
            <w:pPr>
              <w:spacing w:before="20" w:after="20" w:line="240" w:lineRule="auto"/>
            </w:pPr>
            <w:r>
              <w:rPr>
                <w:sz w:val="19"/>
              </w:rPr>
              <w:t>70.8</w:t>
            </w:r>
          </w:p>
        </w:tc>
      </w:tr>
      <w:tr w14:paraId="388E22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1CB4E3CD">
            <w:pPr>
              <w:spacing w:before="20" w:after="20" w:line="240" w:lineRule="auto"/>
            </w:pPr>
            <w:r>
              <w:rPr>
                <w:sz w:val="19"/>
              </w:rPr>
              <w:t xml:space="preserve">  2015-2016</w:t>
            </w:r>
          </w:p>
        </w:tc>
        <w:tc>
          <w:tcPr>
            <w:tcW w:w="2592" w:type="dxa"/>
          </w:tcPr>
          <w:p w14:paraId="15FECBB3">
            <w:pPr>
              <w:spacing w:before="20" w:after="20" w:line="240" w:lineRule="auto"/>
            </w:pPr>
            <w:r>
              <w:rPr>
                <w:sz w:val="19"/>
              </w:rPr>
              <w:t>51.1</w:t>
            </w:r>
          </w:p>
        </w:tc>
        <w:tc>
          <w:tcPr>
            <w:tcW w:w="2592" w:type="dxa"/>
          </w:tcPr>
          <w:p w14:paraId="3C94EA1F">
            <w:pPr>
              <w:spacing w:before="20" w:after="20" w:line="240" w:lineRule="auto"/>
            </w:pPr>
            <w:r>
              <w:rPr>
                <w:sz w:val="19"/>
              </w:rPr>
              <w:t>4.8</w:t>
            </w:r>
          </w:p>
        </w:tc>
      </w:tr>
      <w:tr w14:paraId="2850D5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03B08D90">
            <w:pPr>
              <w:spacing w:before="20" w:after="20" w:line="240" w:lineRule="auto"/>
            </w:pPr>
            <w:r>
              <w:rPr>
                <w:sz w:val="19"/>
              </w:rPr>
              <w:t xml:space="preserve">  2017-2018</w:t>
            </w:r>
          </w:p>
        </w:tc>
        <w:tc>
          <w:tcPr>
            <w:tcW w:w="2592" w:type="dxa"/>
          </w:tcPr>
          <w:p w14:paraId="692223E3">
            <w:pPr>
              <w:spacing w:before="20" w:after="20" w:line="240" w:lineRule="auto"/>
            </w:pPr>
            <w:r>
              <w:rPr>
                <w:sz w:val="19"/>
              </w:rPr>
              <w:t>6.2</w:t>
            </w:r>
          </w:p>
        </w:tc>
        <w:tc>
          <w:tcPr>
            <w:tcW w:w="2592" w:type="dxa"/>
          </w:tcPr>
          <w:p w14:paraId="0833BFA1">
            <w:pPr>
              <w:spacing w:before="20" w:after="20" w:line="240" w:lineRule="auto"/>
            </w:pPr>
            <w:r>
              <w:rPr>
                <w:sz w:val="19"/>
              </w:rPr>
              <w:t>0.8</w:t>
            </w:r>
          </w:p>
        </w:tc>
      </w:tr>
      <w:tr w14:paraId="09171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39F17F5C">
            <w:pPr>
              <w:spacing w:before="20" w:after="20" w:line="240" w:lineRule="auto"/>
            </w:pPr>
            <w:r>
              <w:rPr>
                <w:sz w:val="19"/>
              </w:rPr>
              <w:t>Follow-up, years, median (IQR)</w:t>
            </w:r>
          </w:p>
        </w:tc>
        <w:tc>
          <w:tcPr>
            <w:tcW w:w="2592" w:type="dxa"/>
          </w:tcPr>
          <w:p w14:paraId="3CEB6413">
            <w:pPr>
              <w:spacing w:before="20" w:after="20" w:line="240" w:lineRule="auto"/>
            </w:pPr>
            <w:r>
              <w:rPr>
                <w:sz w:val="19"/>
              </w:rPr>
              <w:t>4.7 (3.7 to 16.3)</w:t>
            </w:r>
          </w:p>
        </w:tc>
        <w:tc>
          <w:tcPr>
            <w:tcW w:w="2592" w:type="dxa"/>
          </w:tcPr>
          <w:p w14:paraId="1C28F18A">
            <w:pPr>
              <w:spacing w:before="20" w:after="20" w:line="240" w:lineRule="auto"/>
            </w:pPr>
            <w:r>
              <w:rPr>
                <w:sz w:val="19"/>
              </w:rPr>
              <w:t>8.0 (7.4 to 8.8)</w:t>
            </w:r>
          </w:p>
        </w:tc>
      </w:tr>
      <w:tr w14:paraId="19B30C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8" w:type="dxa"/>
          </w:tcPr>
          <w:p w14:paraId="161D0F4C">
            <w:pPr>
              <w:spacing w:before="20" w:after="20" w:line="240" w:lineRule="auto"/>
            </w:pPr>
            <w:r>
              <w:rPr>
                <w:sz w:val="19"/>
              </w:rPr>
              <w:t>Deaths during follow-up, n (%)</w:t>
            </w:r>
          </w:p>
        </w:tc>
        <w:tc>
          <w:tcPr>
            <w:tcW w:w="2592" w:type="dxa"/>
          </w:tcPr>
          <w:p w14:paraId="5695E2D2">
            <w:pPr>
              <w:spacing w:before="20" w:after="20" w:line="240" w:lineRule="auto"/>
            </w:pPr>
            <w:r>
              <w:rPr>
                <w:sz w:val="19"/>
              </w:rPr>
              <w:t>528 (6.7)</w:t>
            </w:r>
          </w:p>
        </w:tc>
        <w:tc>
          <w:tcPr>
            <w:tcW w:w="2592" w:type="dxa"/>
          </w:tcPr>
          <w:p w14:paraId="35D62DE5">
            <w:pPr>
              <w:spacing w:before="20" w:after="20" w:line="240" w:lineRule="auto"/>
            </w:pPr>
            <w:r>
              <w:rPr>
                <w:sz w:val="19"/>
              </w:rPr>
              <w:t>707 (13.0)</w:t>
            </w:r>
          </w:p>
        </w:tc>
      </w:tr>
    </w:tbl>
    <w:p w14:paraId="6A660010">
      <w:pPr>
        <w:rPr>
          <w:b w:val="0"/>
          <w:sz w:val="18"/>
        </w:rPr>
      </w:pPr>
      <w:r>
        <w:rPr>
          <w:b w:val="0"/>
          <w:sz w:val="18"/>
        </w:rPr>
        <w:t>Model 3 additionally adjusts for lifetime noise exposure, ototoxic medication use, cardiovascular medication use and log10 C-reactive protein. Excluded participants were concentrated in the 2011-2012 cycle, in which C-reactive protein was not measured, and in the 2005-2010 cycles, in which noise exposure items were not administered to adults aged 20-69 years. The missingness is therefore structural, driven by survey cycle design, rather than individual non-response. Values are unweighted. IQR, interquartile range; SD, standard deviation.</w:t>
      </w:r>
    </w:p>
    <w:p w14:paraId="3C802E8D">
      <w:pPr>
        <w:rPr>
          <w:b w:val="0"/>
          <w:sz w:val="18"/>
        </w:rPr>
      </w:pPr>
    </w:p>
    <w:p w14:paraId="31124CDD">
      <w:r>
        <w:rPr>
          <w:b/>
          <w:sz w:val="21"/>
        </w:rPr>
        <w:t>Table S</w:t>
      </w:r>
      <w:r>
        <w:rPr>
          <w:rFonts w:hint="eastAsia"/>
          <w:b/>
          <w:sz w:val="21"/>
          <w:lang w:val="en-US" w:eastAsia="zh-CN"/>
        </w:rPr>
        <w:t>3</w:t>
      </w:r>
      <w:r>
        <w:rPr>
          <w:b/>
          <w:sz w:val="21"/>
        </w:rPr>
        <w:t>. Elastic-net Cox feature selection across penalty strengths (n = 12,129; 763 deaths; 31 candidate variables; L1 ratio 0.9)</w:t>
      </w:r>
    </w:p>
    <w:tbl>
      <w:tblPr>
        <w:tblStyle w:val="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47"/>
        <w:gridCol w:w="1762"/>
        <w:gridCol w:w="1438"/>
        <w:gridCol w:w="1089"/>
        <w:gridCol w:w="1464"/>
        <w:gridCol w:w="1422"/>
      </w:tblGrid>
      <w:tr w14:paraId="1FD773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Borders>
              <w:bottom w:val="single" w:color="auto" w:sz="6" w:space="0"/>
            </w:tcBorders>
          </w:tcPr>
          <w:p w14:paraId="140D0FD3">
            <w:pPr>
              <w:spacing w:before="20" w:after="20" w:line="240" w:lineRule="auto"/>
            </w:pPr>
            <w:r>
              <w:rPr>
                <w:b/>
                <w:sz w:val="19"/>
              </w:rPr>
              <w:t>Penalty strength</w:t>
            </w:r>
          </w:p>
        </w:tc>
        <w:tc>
          <w:tcPr>
            <w:tcW w:w="2160" w:type="dxa"/>
            <w:tcBorders>
              <w:bottom w:val="single" w:color="auto" w:sz="6" w:space="0"/>
            </w:tcBorders>
          </w:tcPr>
          <w:p w14:paraId="280C606F">
            <w:pPr>
              <w:spacing w:before="20" w:after="20" w:line="240" w:lineRule="auto"/>
            </w:pPr>
            <w:r>
              <w:rPr>
                <w:b/>
                <w:sz w:val="19"/>
              </w:rPr>
              <w:t>Variables selected, n (of 31)</w:t>
            </w:r>
          </w:p>
        </w:tc>
        <w:tc>
          <w:tcPr>
            <w:tcW w:w="1728" w:type="dxa"/>
            <w:tcBorders>
              <w:bottom w:val="single" w:color="auto" w:sz="6" w:space="0"/>
            </w:tcBorders>
          </w:tcPr>
          <w:p w14:paraId="5C393DD3">
            <w:pPr>
              <w:spacing w:before="20" w:after="20" w:line="240" w:lineRule="auto"/>
            </w:pPr>
            <w:r>
              <w:rPr>
                <w:b/>
                <w:sz w:val="19"/>
              </w:rPr>
              <w:t>Hearing age gap</w:t>
            </w:r>
          </w:p>
        </w:tc>
        <w:tc>
          <w:tcPr>
            <w:tcW w:w="1296" w:type="dxa"/>
            <w:tcBorders>
              <w:bottom w:val="single" w:color="auto" w:sz="6" w:space="0"/>
            </w:tcBorders>
          </w:tcPr>
          <w:p w14:paraId="70DEDF38">
            <w:pPr>
              <w:spacing w:before="20" w:after="20" w:line="240" w:lineRule="auto"/>
            </w:pPr>
            <w:r>
              <w:rPr>
                <w:b/>
                <w:sz w:val="19"/>
              </w:rPr>
              <w:t>PTA4</w:t>
            </w:r>
          </w:p>
        </w:tc>
        <w:tc>
          <w:tcPr>
            <w:tcW w:w="1872" w:type="dxa"/>
            <w:tcBorders>
              <w:bottom w:val="single" w:color="auto" w:sz="6" w:space="0"/>
            </w:tcBorders>
          </w:tcPr>
          <w:p w14:paraId="3F0E1CA6">
            <w:pPr>
              <w:spacing w:before="20" w:after="20" w:line="240" w:lineRule="auto"/>
            </w:pPr>
            <w:r>
              <w:rPr>
                <w:b/>
                <w:sz w:val="19"/>
              </w:rPr>
              <w:t>8 kHz (right ear)</w:t>
            </w:r>
          </w:p>
        </w:tc>
        <w:tc>
          <w:tcPr>
            <w:tcW w:w="1872" w:type="dxa"/>
            <w:tcBorders>
              <w:bottom w:val="single" w:color="auto" w:sz="6" w:space="0"/>
            </w:tcBorders>
          </w:tcPr>
          <w:p w14:paraId="6BAAA8BE">
            <w:pPr>
              <w:spacing w:before="20" w:after="20" w:line="240" w:lineRule="auto"/>
            </w:pPr>
            <w:r>
              <w:rPr>
                <w:b/>
                <w:sz w:val="19"/>
              </w:rPr>
              <w:t>8 kHz (left ear)</w:t>
            </w:r>
          </w:p>
        </w:tc>
      </w:tr>
      <w:tr w14:paraId="7757F9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0A234166">
            <w:pPr>
              <w:spacing w:before="20" w:after="20" w:line="240" w:lineRule="auto"/>
            </w:pPr>
            <w:r>
              <w:rPr>
                <w:sz w:val="19"/>
              </w:rPr>
              <w:t>0.5</w:t>
            </w:r>
          </w:p>
        </w:tc>
        <w:tc>
          <w:tcPr>
            <w:tcW w:w="2160" w:type="dxa"/>
          </w:tcPr>
          <w:p w14:paraId="140E60EC">
            <w:pPr>
              <w:spacing w:before="20" w:after="20" w:line="240" w:lineRule="auto"/>
            </w:pPr>
            <w:r>
              <w:rPr>
                <w:sz w:val="19"/>
              </w:rPr>
              <w:t>31</w:t>
            </w:r>
          </w:p>
        </w:tc>
        <w:tc>
          <w:tcPr>
            <w:tcW w:w="1728" w:type="dxa"/>
          </w:tcPr>
          <w:p w14:paraId="19178FDF">
            <w:pPr>
              <w:spacing w:before="20" w:after="20" w:line="240" w:lineRule="auto"/>
            </w:pPr>
            <w:r>
              <w:rPr>
                <w:sz w:val="19"/>
              </w:rPr>
              <w:t>Yes</w:t>
            </w:r>
          </w:p>
        </w:tc>
        <w:tc>
          <w:tcPr>
            <w:tcW w:w="1296" w:type="dxa"/>
          </w:tcPr>
          <w:p w14:paraId="07877A25">
            <w:pPr>
              <w:spacing w:before="20" w:after="20" w:line="240" w:lineRule="auto"/>
            </w:pPr>
            <w:r>
              <w:rPr>
                <w:sz w:val="19"/>
              </w:rPr>
              <w:t>Yes</w:t>
            </w:r>
          </w:p>
        </w:tc>
        <w:tc>
          <w:tcPr>
            <w:tcW w:w="1872" w:type="dxa"/>
          </w:tcPr>
          <w:p w14:paraId="3A6D9A49">
            <w:pPr>
              <w:spacing w:before="20" w:after="20" w:line="240" w:lineRule="auto"/>
            </w:pPr>
            <w:r>
              <w:rPr>
                <w:sz w:val="19"/>
              </w:rPr>
              <w:t>Yes</w:t>
            </w:r>
          </w:p>
        </w:tc>
        <w:tc>
          <w:tcPr>
            <w:tcW w:w="1872" w:type="dxa"/>
          </w:tcPr>
          <w:p w14:paraId="28B953B9">
            <w:pPr>
              <w:spacing w:before="20" w:after="20" w:line="240" w:lineRule="auto"/>
            </w:pPr>
            <w:r>
              <w:rPr>
                <w:sz w:val="19"/>
              </w:rPr>
              <w:t>Yes</w:t>
            </w:r>
          </w:p>
        </w:tc>
      </w:tr>
      <w:tr w14:paraId="05650B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2BA87A74">
            <w:pPr>
              <w:spacing w:before="20" w:after="20" w:line="240" w:lineRule="auto"/>
            </w:pPr>
            <w:r>
              <w:rPr>
                <w:sz w:val="19"/>
              </w:rPr>
              <w:t>0.8</w:t>
            </w:r>
          </w:p>
        </w:tc>
        <w:tc>
          <w:tcPr>
            <w:tcW w:w="2160" w:type="dxa"/>
          </w:tcPr>
          <w:p w14:paraId="20F3A75B">
            <w:pPr>
              <w:spacing w:before="20" w:after="20" w:line="240" w:lineRule="auto"/>
            </w:pPr>
            <w:r>
              <w:rPr>
                <w:sz w:val="19"/>
              </w:rPr>
              <w:t>31</w:t>
            </w:r>
          </w:p>
        </w:tc>
        <w:tc>
          <w:tcPr>
            <w:tcW w:w="1728" w:type="dxa"/>
          </w:tcPr>
          <w:p w14:paraId="52B0E38E">
            <w:pPr>
              <w:spacing w:before="20" w:after="20" w:line="240" w:lineRule="auto"/>
            </w:pPr>
            <w:r>
              <w:rPr>
                <w:sz w:val="19"/>
              </w:rPr>
              <w:t>Yes</w:t>
            </w:r>
          </w:p>
        </w:tc>
        <w:tc>
          <w:tcPr>
            <w:tcW w:w="1296" w:type="dxa"/>
          </w:tcPr>
          <w:p w14:paraId="2F028BE0">
            <w:pPr>
              <w:spacing w:before="20" w:after="20" w:line="240" w:lineRule="auto"/>
            </w:pPr>
            <w:r>
              <w:rPr>
                <w:sz w:val="19"/>
              </w:rPr>
              <w:t>Yes</w:t>
            </w:r>
          </w:p>
        </w:tc>
        <w:tc>
          <w:tcPr>
            <w:tcW w:w="1872" w:type="dxa"/>
          </w:tcPr>
          <w:p w14:paraId="65C79646">
            <w:pPr>
              <w:spacing w:before="20" w:after="20" w:line="240" w:lineRule="auto"/>
            </w:pPr>
            <w:r>
              <w:rPr>
                <w:sz w:val="19"/>
              </w:rPr>
              <w:t>Yes</w:t>
            </w:r>
          </w:p>
        </w:tc>
        <w:tc>
          <w:tcPr>
            <w:tcW w:w="1872" w:type="dxa"/>
          </w:tcPr>
          <w:p w14:paraId="7D4F807A">
            <w:pPr>
              <w:spacing w:before="20" w:after="20" w:line="240" w:lineRule="auto"/>
            </w:pPr>
            <w:r>
              <w:rPr>
                <w:sz w:val="19"/>
              </w:rPr>
              <w:t>Yes</w:t>
            </w:r>
          </w:p>
        </w:tc>
      </w:tr>
      <w:tr w14:paraId="6BF3F3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515FB3F6">
            <w:pPr>
              <w:spacing w:before="20" w:after="20" w:line="240" w:lineRule="auto"/>
            </w:pPr>
            <w:r>
              <w:rPr>
                <w:sz w:val="19"/>
              </w:rPr>
              <w:t>1.2</w:t>
            </w:r>
          </w:p>
        </w:tc>
        <w:tc>
          <w:tcPr>
            <w:tcW w:w="2160" w:type="dxa"/>
          </w:tcPr>
          <w:p w14:paraId="643010E8">
            <w:pPr>
              <w:spacing w:before="20" w:after="20" w:line="240" w:lineRule="auto"/>
            </w:pPr>
            <w:r>
              <w:rPr>
                <w:sz w:val="19"/>
              </w:rPr>
              <w:t>30</w:t>
            </w:r>
          </w:p>
        </w:tc>
        <w:tc>
          <w:tcPr>
            <w:tcW w:w="1728" w:type="dxa"/>
          </w:tcPr>
          <w:p w14:paraId="4C45F439">
            <w:pPr>
              <w:spacing w:before="20" w:after="20" w:line="240" w:lineRule="auto"/>
            </w:pPr>
            <w:r>
              <w:rPr>
                <w:sz w:val="19"/>
              </w:rPr>
              <w:t>Yes</w:t>
            </w:r>
          </w:p>
        </w:tc>
        <w:tc>
          <w:tcPr>
            <w:tcW w:w="1296" w:type="dxa"/>
          </w:tcPr>
          <w:p w14:paraId="3C6A6E6C">
            <w:pPr>
              <w:spacing w:before="20" w:after="20" w:line="240" w:lineRule="auto"/>
            </w:pPr>
            <w:r>
              <w:rPr>
                <w:sz w:val="19"/>
              </w:rPr>
              <w:t>No</w:t>
            </w:r>
          </w:p>
        </w:tc>
        <w:tc>
          <w:tcPr>
            <w:tcW w:w="1872" w:type="dxa"/>
          </w:tcPr>
          <w:p w14:paraId="29D18471">
            <w:pPr>
              <w:spacing w:before="20" w:after="20" w:line="240" w:lineRule="auto"/>
            </w:pPr>
            <w:r>
              <w:rPr>
                <w:sz w:val="19"/>
              </w:rPr>
              <w:t>Yes</w:t>
            </w:r>
          </w:p>
        </w:tc>
        <w:tc>
          <w:tcPr>
            <w:tcW w:w="1872" w:type="dxa"/>
          </w:tcPr>
          <w:p w14:paraId="163BED38">
            <w:pPr>
              <w:spacing w:before="20" w:after="20" w:line="240" w:lineRule="auto"/>
            </w:pPr>
            <w:r>
              <w:rPr>
                <w:sz w:val="19"/>
              </w:rPr>
              <w:t>Yes</w:t>
            </w:r>
          </w:p>
        </w:tc>
      </w:tr>
      <w:tr w14:paraId="34F35C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4D8EEA59">
            <w:pPr>
              <w:spacing w:before="20" w:after="20" w:line="240" w:lineRule="auto"/>
            </w:pPr>
            <w:r>
              <w:rPr>
                <w:sz w:val="19"/>
              </w:rPr>
              <w:t>2.0</w:t>
            </w:r>
          </w:p>
        </w:tc>
        <w:tc>
          <w:tcPr>
            <w:tcW w:w="2160" w:type="dxa"/>
          </w:tcPr>
          <w:p w14:paraId="70439F3A">
            <w:pPr>
              <w:spacing w:before="20" w:after="20" w:line="240" w:lineRule="auto"/>
            </w:pPr>
            <w:r>
              <w:rPr>
                <w:sz w:val="19"/>
              </w:rPr>
              <w:t>28</w:t>
            </w:r>
          </w:p>
        </w:tc>
        <w:tc>
          <w:tcPr>
            <w:tcW w:w="1728" w:type="dxa"/>
          </w:tcPr>
          <w:p w14:paraId="67B89F79">
            <w:pPr>
              <w:spacing w:before="20" w:after="20" w:line="240" w:lineRule="auto"/>
            </w:pPr>
            <w:r>
              <w:rPr>
                <w:sz w:val="19"/>
              </w:rPr>
              <w:t>Yes</w:t>
            </w:r>
          </w:p>
        </w:tc>
        <w:tc>
          <w:tcPr>
            <w:tcW w:w="1296" w:type="dxa"/>
          </w:tcPr>
          <w:p w14:paraId="5E0E85F2">
            <w:pPr>
              <w:spacing w:before="20" w:after="20" w:line="240" w:lineRule="auto"/>
            </w:pPr>
            <w:r>
              <w:rPr>
                <w:sz w:val="19"/>
              </w:rPr>
              <w:t>No</w:t>
            </w:r>
          </w:p>
        </w:tc>
        <w:tc>
          <w:tcPr>
            <w:tcW w:w="1872" w:type="dxa"/>
          </w:tcPr>
          <w:p w14:paraId="0098B3E4">
            <w:pPr>
              <w:spacing w:before="20" w:after="20" w:line="240" w:lineRule="auto"/>
            </w:pPr>
            <w:r>
              <w:rPr>
                <w:sz w:val="19"/>
              </w:rPr>
              <w:t>Yes</w:t>
            </w:r>
          </w:p>
        </w:tc>
        <w:tc>
          <w:tcPr>
            <w:tcW w:w="1872" w:type="dxa"/>
          </w:tcPr>
          <w:p w14:paraId="7A21D8C3">
            <w:pPr>
              <w:spacing w:before="20" w:after="20" w:line="240" w:lineRule="auto"/>
            </w:pPr>
            <w:r>
              <w:rPr>
                <w:sz w:val="19"/>
              </w:rPr>
              <w:t>Yes</w:t>
            </w:r>
          </w:p>
        </w:tc>
      </w:tr>
      <w:tr w14:paraId="33446F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5289CD35">
            <w:pPr>
              <w:spacing w:before="20" w:after="20" w:line="240" w:lineRule="auto"/>
            </w:pPr>
            <w:r>
              <w:rPr>
                <w:sz w:val="19"/>
              </w:rPr>
              <w:t>3.0</w:t>
            </w:r>
          </w:p>
        </w:tc>
        <w:tc>
          <w:tcPr>
            <w:tcW w:w="2160" w:type="dxa"/>
          </w:tcPr>
          <w:p w14:paraId="397B7CFF">
            <w:pPr>
              <w:spacing w:before="20" w:after="20" w:line="240" w:lineRule="auto"/>
            </w:pPr>
            <w:r>
              <w:rPr>
                <w:sz w:val="19"/>
              </w:rPr>
              <w:t>27</w:t>
            </w:r>
          </w:p>
        </w:tc>
        <w:tc>
          <w:tcPr>
            <w:tcW w:w="1728" w:type="dxa"/>
          </w:tcPr>
          <w:p w14:paraId="116B5416">
            <w:pPr>
              <w:spacing w:before="20" w:after="20" w:line="240" w:lineRule="auto"/>
            </w:pPr>
            <w:r>
              <w:rPr>
                <w:sz w:val="19"/>
              </w:rPr>
              <w:t>Yes</w:t>
            </w:r>
          </w:p>
        </w:tc>
        <w:tc>
          <w:tcPr>
            <w:tcW w:w="1296" w:type="dxa"/>
          </w:tcPr>
          <w:p w14:paraId="7178F898">
            <w:pPr>
              <w:spacing w:before="20" w:after="20" w:line="240" w:lineRule="auto"/>
            </w:pPr>
            <w:r>
              <w:rPr>
                <w:sz w:val="19"/>
              </w:rPr>
              <w:t>No</w:t>
            </w:r>
          </w:p>
        </w:tc>
        <w:tc>
          <w:tcPr>
            <w:tcW w:w="1872" w:type="dxa"/>
          </w:tcPr>
          <w:p w14:paraId="33F3C043">
            <w:pPr>
              <w:spacing w:before="20" w:after="20" w:line="240" w:lineRule="auto"/>
            </w:pPr>
            <w:r>
              <w:rPr>
                <w:sz w:val="19"/>
              </w:rPr>
              <w:t>No</w:t>
            </w:r>
          </w:p>
        </w:tc>
        <w:tc>
          <w:tcPr>
            <w:tcW w:w="1872" w:type="dxa"/>
          </w:tcPr>
          <w:p w14:paraId="0A8C48F7">
            <w:pPr>
              <w:spacing w:before="20" w:after="20" w:line="240" w:lineRule="auto"/>
            </w:pPr>
            <w:r>
              <w:rPr>
                <w:sz w:val="19"/>
              </w:rPr>
              <w:t>Yes</w:t>
            </w:r>
          </w:p>
        </w:tc>
      </w:tr>
      <w:tr w14:paraId="0ABE84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4F41B1F3">
            <w:pPr>
              <w:spacing w:before="20" w:after="20" w:line="240" w:lineRule="auto"/>
            </w:pPr>
            <w:r>
              <w:rPr>
                <w:sz w:val="19"/>
              </w:rPr>
              <w:t>5.0</w:t>
            </w:r>
          </w:p>
        </w:tc>
        <w:tc>
          <w:tcPr>
            <w:tcW w:w="2160" w:type="dxa"/>
          </w:tcPr>
          <w:p w14:paraId="470E6E1F">
            <w:pPr>
              <w:spacing w:before="20" w:after="20" w:line="240" w:lineRule="auto"/>
            </w:pPr>
            <w:r>
              <w:rPr>
                <w:sz w:val="19"/>
              </w:rPr>
              <w:t>27</w:t>
            </w:r>
          </w:p>
        </w:tc>
        <w:tc>
          <w:tcPr>
            <w:tcW w:w="1728" w:type="dxa"/>
          </w:tcPr>
          <w:p w14:paraId="5B0E3651">
            <w:pPr>
              <w:spacing w:before="20" w:after="20" w:line="240" w:lineRule="auto"/>
            </w:pPr>
            <w:r>
              <w:rPr>
                <w:sz w:val="19"/>
              </w:rPr>
              <w:t>Yes</w:t>
            </w:r>
          </w:p>
        </w:tc>
        <w:tc>
          <w:tcPr>
            <w:tcW w:w="1296" w:type="dxa"/>
          </w:tcPr>
          <w:p w14:paraId="0C08D093">
            <w:pPr>
              <w:spacing w:before="20" w:after="20" w:line="240" w:lineRule="auto"/>
            </w:pPr>
            <w:r>
              <w:rPr>
                <w:sz w:val="19"/>
              </w:rPr>
              <w:t>No</w:t>
            </w:r>
          </w:p>
        </w:tc>
        <w:tc>
          <w:tcPr>
            <w:tcW w:w="1872" w:type="dxa"/>
          </w:tcPr>
          <w:p w14:paraId="3B91264D">
            <w:pPr>
              <w:spacing w:before="20" w:after="20" w:line="240" w:lineRule="auto"/>
            </w:pPr>
            <w:r>
              <w:rPr>
                <w:sz w:val="19"/>
              </w:rPr>
              <w:t>No</w:t>
            </w:r>
          </w:p>
        </w:tc>
        <w:tc>
          <w:tcPr>
            <w:tcW w:w="1872" w:type="dxa"/>
          </w:tcPr>
          <w:p w14:paraId="1B362453">
            <w:pPr>
              <w:spacing w:before="20" w:after="20" w:line="240" w:lineRule="auto"/>
            </w:pPr>
            <w:r>
              <w:rPr>
                <w:sz w:val="19"/>
              </w:rPr>
              <w:t>Yes</w:t>
            </w:r>
          </w:p>
        </w:tc>
      </w:tr>
      <w:tr w14:paraId="768AB1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14:paraId="7B1CB8B2">
            <w:pPr>
              <w:spacing w:before="20" w:after="20" w:line="240" w:lineRule="auto"/>
            </w:pPr>
            <w:r>
              <w:rPr>
                <w:sz w:val="19"/>
              </w:rPr>
              <w:t>8.0</w:t>
            </w:r>
          </w:p>
        </w:tc>
        <w:tc>
          <w:tcPr>
            <w:tcW w:w="2160" w:type="dxa"/>
          </w:tcPr>
          <w:p w14:paraId="356CC0AA">
            <w:pPr>
              <w:spacing w:before="20" w:after="20" w:line="240" w:lineRule="auto"/>
            </w:pPr>
            <w:r>
              <w:rPr>
                <w:sz w:val="19"/>
              </w:rPr>
              <w:t>24</w:t>
            </w:r>
          </w:p>
        </w:tc>
        <w:tc>
          <w:tcPr>
            <w:tcW w:w="1728" w:type="dxa"/>
          </w:tcPr>
          <w:p w14:paraId="4A60F1E3">
            <w:pPr>
              <w:spacing w:before="20" w:after="20" w:line="240" w:lineRule="auto"/>
            </w:pPr>
            <w:r>
              <w:rPr>
                <w:sz w:val="19"/>
              </w:rPr>
              <w:t>Yes</w:t>
            </w:r>
          </w:p>
        </w:tc>
        <w:tc>
          <w:tcPr>
            <w:tcW w:w="1296" w:type="dxa"/>
          </w:tcPr>
          <w:p w14:paraId="0F4D646D">
            <w:pPr>
              <w:spacing w:before="20" w:after="20" w:line="240" w:lineRule="auto"/>
            </w:pPr>
            <w:r>
              <w:rPr>
                <w:sz w:val="19"/>
              </w:rPr>
              <w:t>No</w:t>
            </w:r>
          </w:p>
        </w:tc>
        <w:tc>
          <w:tcPr>
            <w:tcW w:w="1872" w:type="dxa"/>
          </w:tcPr>
          <w:p w14:paraId="47D0513A">
            <w:pPr>
              <w:spacing w:before="20" w:after="20" w:line="240" w:lineRule="auto"/>
            </w:pPr>
            <w:r>
              <w:rPr>
                <w:sz w:val="19"/>
              </w:rPr>
              <w:t>No</w:t>
            </w:r>
          </w:p>
        </w:tc>
        <w:tc>
          <w:tcPr>
            <w:tcW w:w="1872" w:type="dxa"/>
          </w:tcPr>
          <w:p w14:paraId="5F56D171">
            <w:pPr>
              <w:spacing w:before="20" w:after="20" w:line="240" w:lineRule="auto"/>
            </w:pPr>
            <w:r>
              <w:rPr>
                <w:sz w:val="19"/>
              </w:rPr>
              <w:t>Yes</w:t>
            </w:r>
          </w:p>
        </w:tc>
      </w:tr>
    </w:tbl>
    <w:p w14:paraId="1E77E9A0">
      <w:r>
        <w:rPr>
          <w:b w:val="0"/>
          <w:sz w:val="18"/>
        </w:rPr>
        <w:t>A variable is counted as selected when its penalised coefficient exceeded 1e-4. The hearing age gap was retained at every penalty strength examined. PTA4 was eliminated from a penalty of 1.2 upwards, and the right-ear 8 kHz threshold from 3.0 upwards. The gap was likewise retained in an extended 40-variable pool that additionally included routine laboratory measures (n = 3,747; 269 deaths).</w:t>
      </w:r>
    </w:p>
    <w:p w14:paraId="4B84B685"/>
    <w:p w14:paraId="79D19066">
      <w:r>
        <w:rPr>
          <w:b/>
          <w:sz w:val="21"/>
        </w:rPr>
        <w:t>Table S</w:t>
      </w:r>
      <w:r>
        <w:rPr>
          <w:rFonts w:hint="eastAsia"/>
          <w:b/>
          <w:sz w:val="21"/>
          <w:lang w:val="en-US" w:eastAsia="zh-CN"/>
        </w:rPr>
        <w:t>4</w:t>
      </w:r>
      <w:r>
        <w:rPr>
          <w:b/>
          <w:sz w:val="21"/>
        </w:rPr>
        <w:t>. Unpenalised survey-weighted Cox refit including all 31 candidate variables simultaneously (n = 12,129; 763 deaths)</w:t>
      </w:r>
    </w:p>
    <w:tbl>
      <w:tblPr>
        <w:tblStyle w:val="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8"/>
        <w:gridCol w:w="3118"/>
        <w:gridCol w:w="1426"/>
      </w:tblGrid>
      <w:tr w14:paraId="07B7A4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Borders>
              <w:bottom w:val="single" w:color="auto" w:sz="6" w:space="0"/>
            </w:tcBorders>
          </w:tcPr>
          <w:p w14:paraId="7651059D">
            <w:pPr>
              <w:spacing w:before="20" w:after="20" w:line="240" w:lineRule="auto"/>
            </w:pPr>
            <w:r>
              <w:rPr>
                <w:b/>
                <w:sz w:val="19"/>
              </w:rPr>
              <w:t>Variable</w:t>
            </w:r>
          </w:p>
        </w:tc>
        <w:tc>
          <w:tcPr>
            <w:tcW w:w="3168" w:type="dxa"/>
            <w:tcBorders>
              <w:bottom w:val="single" w:color="auto" w:sz="6" w:space="0"/>
            </w:tcBorders>
          </w:tcPr>
          <w:p w14:paraId="3AE00447">
            <w:pPr>
              <w:spacing w:before="20" w:after="20" w:line="240" w:lineRule="auto"/>
            </w:pPr>
            <w:r>
              <w:rPr>
                <w:b/>
                <w:sz w:val="19"/>
              </w:rPr>
              <w:t>HR per SD (95% CI)</w:t>
            </w:r>
          </w:p>
        </w:tc>
        <w:tc>
          <w:tcPr>
            <w:tcW w:w="1440" w:type="dxa"/>
            <w:tcBorders>
              <w:bottom w:val="single" w:color="auto" w:sz="6" w:space="0"/>
            </w:tcBorders>
          </w:tcPr>
          <w:p w14:paraId="739AC0A4">
            <w:pPr>
              <w:spacing w:before="20" w:after="20" w:line="240" w:lineRule="auto"/>
            </w:pPr>
            <w:r>
              <w:rPr>
                <w:b/>
                <w:sz w:val="19"/>
              </w:rPr>
              <w:t>P value</w:t>
            </w:r>
          </w:p>
        </w:tc>
      </w:tr>
      <w:tr w14:paraId="356EE1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0E9CB672">
            <w:pPr>
              <w:spacing w:before="20" w:after="20" w:line="240" w:lineRule="auto"/>
            </w:pPr>
            <w:r>
              <w:rPr>
                <w:sz w:val="19"/>
              </w:rPr>
              <w:t>Age</w:t>
            </w:r>
          </w:p>
        </w:tc>
        <w:tc>
          <w:tcPr>
            <w:tcW w:w="3168" w:type="dxa"/>
          </w:tcPr>
          <w:p w14:paraId="5E7F107B">
            <w:pPr>
              <w:spacing w:before="20" w:after="20" w:line="240" w:lineRule="auto"/>
            </w:pPr>
            <w:r>
              <w:rPr>
                <w:sz w:val="19"/>
              </w:rPr>
              <w:t>2.524 (1.699 to 3.749)</w:t>
            </w:r>
          </w:p>
        </w:tc>
        <w:tc>
          <w:tcPr>
            <w:tcW w:w="1440" w:type="dxa"/>
          </w:tcPr>
          <w:p w14:paraId="13A65E66">
            <w:pPr>
              <w:spacing w:before="20" w:after="20" w:line="240" w:lineRule="auto"/>
            </w:pPr>
            <w:r>
              <w:rPr>
                <w:sz w:val="19"/>
              </w:rPr>
              <w:t>&lt;0.001</w:t>
            </w:r>
          </w:p>
        </w:tc>
      </w:tr>
      <w:tr w14:paraId="45CAAB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540D1888">
            <w:pPr>
              <w:spacing w:before="20" w:after="20" w:line="240" w:lineRule="auto"/>
            </w:pPr>
            <w:r>
              <w:rPr>
                <w:sz w:val="19"/>
              </w:rPr>
              <w:t>Male sex</w:t>
            </w:r>
          </w:p>
        </w:tc>
        <w:tc>
          <w:tcPr>
            <w:tcW w:w="3168" w:type="dxa"/>
          </w:tcPr>
          <w:p w14:paraId="59AA755D">
            <w:pPr>
              <w:spacing w:before="20" w:after="20" w:line="240" w:lineRule="auto"/>
            </w:pPr>
            <w:r>
              <w:rPr>
                <w:sz w:val="19"/>
              </w:rPr>
              <w:t>1.129 (1.042 to 1.223)</w:t>
            </w:r>
          </w:p>
        </w:tc>
        <w:tc>
          <w:tcPr>
            <w:tcW w:w="1440" w:type="dxa"/>
          </w:tcPr>
          <w:p w14:paraId="254117D5">
            <w:pPr>
              <w:spacing w:before="20" w:after="20" w:line="240" w:lineRule="auto"/>
            </w:pPr>
            <w:r>
              <w:rPr>
                <w:sz w:val="19"/>
              </w:rPr>
              <w:t>0.003</w:t>
            </w:r>
          </w:p>
        </w:tc>
      </w:tr>
      <w:tr w14:paraId="5F9641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48FA49AD">
            <w:pPr>
              <w:spacing w:before="20" w:after="20" w:line="240" w:lineRule="auto"/>
            </w:pPr>
            <w:r>
              <w:rPr>
                <w:sz w:val="19"/>
              </w:rPr>
              <w:t>Education</w:t>
            </w:r>
          </w:p>
        </w:tc>
        <w:tc>
          <w:tcPr>
            <w:tcW w:w="3168" w:type="dxa"/>
          </w:tcPr>
          <w:p w14:paraId="4946E0F8">
            <w:pPr>
              <w:spacing w:before="20" w:after="20" w:line="240" w:lineRule="auto"/>
            </w:pPr>
            <w:r>
              <w:rPr>
                <w:sz w:val="19"/>
              </w:rPr>
              <w:t>0.806 (0.709 to 0.917)</w:t>
            </w:r>
          </w:p>
        </w:tc>
        <w:tc>
          <w:tcPr>
            <w:tcW w:w="1440" w:type="dxa"/>
          </w:tcPr>
          <w:p w14:paraId="0C0FC915">
            <w:pPr>
              <w:spacing w:before="20" w:after="20" w:line="240" w:lineRule="auto"/>
            </w:pPr>
            <w:r>
              <w:rPr>
                <w:sz w:val="19"/>
              </w:rPr>
              <w:t>0.001</w:t>
            </w:r>
          </w:p>
        </w:tc>
      </w:tr>
      <w:tr w14:paraId="1F7400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804D0EE">
            <w:pPr>
              <w:spacing w:before="20" w:after="20" w:line="240" w:lineRule="auto"/>
            </w:pPr>
            <w:r>
              <w:rPr>
                <w:sz w:val="19"/>
              </w:rPr>
              <w:t>Ever smoked</w:t>
            </w:r>
          </w:p>
        </w:tc>
        <w:tc>
          <w:tcPr>
            <w:tcW w:w="3168" w:type="dxa"/>
          </w:tcPr>
          <w:p w14:paraId="29874891">
            <w:pPr>
              <w:spacing w:before="20" w:after="20" w:line="240" w:lineRule="auto"/>
            </w:pPr>
            <w:r>
              <w:rPr>
                <w:sz w:val="19"/>
              </w:rPr>
              <w:t>1.344 (1.266 to 1.427)</w:t>
            </w:r>
          </w:p>
        </w:tc>
        <w:tc>
          <w:tcPr>
            <w:tcW w:w="1440" w:type="dxa"/>
          </w:tcPr>
          <w:p w14:paraId="3C6487CB">
            <w:pPr>
              <w:spacing w:before="20" w:after="20" w:line="240" w:lineRule="auto"/>
            </w:pPr>
            <w:r>
              <w:rPr>
                <w:sz w:val="19"/>
              </w:rPr>
              <w:t>&lt;0.001</w:t>
            </w:r>
          </w:p>
        </w:tc>
      </w:tr>
      <w:tr w14:paraId="223597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577FE853">
            <w:pPr>
              <w:spacing w:before="20" w:after="20" w:line="240" w:lineRule="auto"/>
            </w:pPr>
            <w:r>
              <w:rPr>
                <w:sz w:val="19"/>
              </w:rPr>
              <w:t>Body mass index</w:t>
            </w:r>
          </w:p>
        </w:tc>
        <w:tc>
          <w:tcPr>
            <w:tcW w:w="3168" w:type="dxa"/>
          </w:tcPr>
          <w:p w14:paraId="074A8D62">
            <w:pPr>
              <w:spacing w:before="20" w:after="20" w:line="240" w:lineRule="auto"/>
            </w:pPr>
            <w:r>
              <w:rPr>
                <w:sz w:val="19"/>
              </w:rPr>
              <w:t>0.944 (0.857 to 1.040)</w:t>
            </w:r>
          </w:p>
        </w:tc>
        <w:tc>
          <w:tcPr>
            <w:tcW w:w="1440" w:type="dxa"/>
          </w:tcPr>
          <w:p w14:paraId="53D54751">
            <w:pPr>
              <w:spacing w:before="20" w:after="20" w:line="240" w:lineRule="auto"/>
            </w:pPr>
            <w:r>
              <w:rPr>
                <w:sz w:val="19"/>
              </w:rPr>
              <w:t>0.24</w:t>
            </w:r>
          </w:p>
        </w:tc>
      </w:tr>
      <w:tr w14:paraId="286496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1B109FEA">
            <w:pPr>
              <w:spacing w:before="20" w:after="20" w:line="240" w:lineRule="auto"/>
            </w:pPr>
            <w:r>
              <w:rPr>
                <w:sz w:val="19"/>
              </w:rPr>
              <w:t>Diabetes</w:t>
            </w:r>
          </w:p>
        </w:tc>
        <w:tc>
          <w:tcPr>
            <w:tcW w:w="3168" w:type="dxa"/>
          </w:tcPr>
          <w:p w14:paraId="15E3BDE1">
            <w:pPr>
              <w:spacing w:before="20" w:after="20" w:line="240" w:lineRule="auto"/>
            </w:pPr>
            <w:r>
              <w:rPr>
                <w:sz w:val="19"/>
              </w:rPr>
              <w:t>1.268 (1.219 to 1.318)</w:t>
            </w:r>
          </w:p>
        </w:tc>
        <w:tc>
          <w:tcPr>
            <w:tcW w:w="1440" w:type="dxa"/>
          </w:tcPr>
          <w:p w14:paraId="7D8065C5">
            <w:pPr>
              <w:spacing w:before="20" w:after="20" w:line="240" w:lineRule="auto"/>
            </w:pPr>
            <w:r>
              <w:rPr>
                <w:sz w:val="19"/>
              </w:rPr>
              <w:t>&lt;0.001</w:t>
            </w:r>
          </w:p>
        </w:tc>
      </w:tr>
      <w:tr w14:paraId="2F67C6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136F0DFD">
            <w:pPr>
              <w:spacing w:before="20" w:after="20" w:line="240" w:lineRule="auto"/>
            </w:pPr>
            <w:r>
              <w:rPr>
                <w:sz w:val="19"/>
              </w:rPr>
              <w:t>Hypertension</w:t>
            </w:r>
          </w:p>
        </w:tc>
        <w:tc>
          <w:tcPr>
            <w:tcW w:w="3168" w:type="dxa"/>
          </w:tcPr>
          <w:p w14:paraId="0A53EC28">
            <w:pPr>
              <w:spacing w:before="20" w:after="20" w:line="240" w:lineRule="auto"/>
            </w:pPr>
            <w:r>
              <w:rPr>
                <w:sz w:val="19"/>
              </w:rPr>
              <w:t>1.238 (1.190 to 1.289)</w:t>
            </w:r>
          </w:p>
        </w:tc>
        <w:tc>
          <w:tcPr>
            <w:tcW w:w="1440" w:type="dxa"/>
          </w:tcPr>
          <w:p w14:paraId="06199CB8">
            <w:pPr>
              <w:spacing w:before="20" w:after="20" w:line="240" w:lineRule="auto"/>
            </w:pPr>
            <w:r>
              <w:rPr>
                <w:sz w:val="19"/>
              </w:rPr>
              <w:t>&lt;0.001</w:t>
            </w:r>
          </w:p>
        </w:tc>
      </w:tr>
      <w:tr w14:paraId="705B30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F8C9CF3">
            <w:pPr>
              <w:spacing w:before="20" w:after="20" w:line="240" w:lineRule="auto"/>
            </w:pPr>
            <w:r>
              <w:rPr>
                <w:sz w:val="19"/>
              </w:rPr>
              <w:t>Lifetime noise exposure</w:t>
            </w:r>
          </w:p>
        </w:tc>
        <w:tc>
          <w:tcPr>
            <w:tcW w:w="3168" w:type="dxa"/>
          </w:tcPr>
          <w:p w14:paraId="5247980E">
            <w:pPr>
              <w:spacing w:before="20" w:after="20" w:line="240" w:lineRule="auto"/>
            </w:pPr>
            <w:r>
              <w:rPr>
                <w:sz w:val="19"/>
              </w:rPr>
              <w:t>1.059 (0.993 to 1.130)</w:t>
            </w:r>
          </w:p>
        </w:tc>
        <w:tc>
          <w:tcPr>
            <w:tcW w:w="1440" w:type="dxa"/>
          </w:tcPr>
          <w:p w14:paraId="12894DCA">
            <w:pPr>
              <w:spacing w:before="20" w:after="20" w:line="240" w:lineRule="auto"/>
            </w:pPr>
            <w:r>
              <w:rPr>
                <w:sz w:val="19"/>
              </w:rPr>
              <w:t>0.08</w:t>
            </w:r>
          </w:p>
        </w:tc>
      </w:tr>
      <w:tr w14:paraId="6C006B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032" w:type="dxa"/>
          </w:tcPr>
          <w:p w14:paraId="1E6209C3">
            <w:pPr>
              <w:spacing w:before="20" w:after="20" w:line="240" w:lineRule="auto"/>
            </w:pPr>
            <w:r>
              <w:rPr>
                <w:sz w:val="19"/>
              </w:rPr>
              <w:t>Ototoxic medication use</w:t>
            </w:r>
          </w:p>
        </w:tc>
        <w:tc>
          <w:tcPr>
            <w:tcW w:w="3168" w:type="dxa"/>
          </w:tcPr>
          <w:p w14:paraId="139BC2B7">
            <w:pPr>
              <w:spacing w:before="20" w:after="20" w:line="240" w:lineRule="auto"/>
            </w:pPr>
            <w:r>
              <w:rPr>
                <w:sz w:val="19"/>
              </w:rPr>
              <w:t>1.079 (1.058 to 1.100)</w:t>
            </w:r>
          </w:p>
        </w:tc>
        <w:tc>
          <w:tcPr>
            <w:tcW w:w="1440" w:type="dxa"/>
          </w:tcPr>
          <w:p w14:paraId="0BFC5359">
            <w:pPr>
              <w:spacing w:before="20" w:after="20" w:line="240" w:lineRule="auto"/>
            </w:pPr>
            <w:r>
              <w:rPr>
                <w:sz w:val="19"/>
              </w:rPr>
              <w:t>&lt;0.001</w:t>
            </w:r>
          </w:p>
        </w:tc>
      </w:tr>
      <w:tr w14:paraId="6C57D6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0A5BE099">
            <w:pPr>
              <w:spacing w:before="20" w:after="20" w:line="240" w:lineRule="auto"/>
            </w:pPr>
            <w:r>
              <w:rPr>
                <w:sz w:val="19"/>
              </w:rPr>
              <w:t>Cardiovascular medication use</w:t>
            </w:r>
          </w:p>
        </w:tc>
        <w:tc>
          <w:tcPr>
            <w:tcW w:w="3168" w:type="dxa"/>
          </w:tcPr>
          <w:p w14:paraId="3B01557D">
            <w:pPr>
              <w:spacing w:before="20" w:after="20" w:line="240" w:lineRule="auto"/>
            </w:pPr>
            <w:r>
              <w:rPr>
                <w:sz w:val="19"/>
              </w:rPr>
              <w:t>1.013 (0.963 to 1.065)</w:t>
            </w:r>
          </w:p>
        </w:tc>
        <w:tc>
          <w:tcPr>
            <w:tcW w:w="1440" w:type="dxa"/>
          </w:tcPr>
          <w:p w14:paraId="3855A216">
            <w:pPr>
              <w:spacing w:before="20" w:after="20" w:line="240" w:lineRule="auto"/>
            </w:pPr>
            <w:r>
              <w:rPr>
                <w:sz w:val="19"/>
              </w:rPr>
              <w:t>0.62</w:t>
            </w:r>
          </w:p>
        </w:tc>
      </w:tr>
      <w:tr w14:paraId="198D64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2C63C90C">
            <w:pPr>
              <w:spacing w:before="20" w:after="20" w:line="240" w:lineRule="auto"/>
            </w:pPr>
            <w:r>
              <w:rPr>
                <w:sz w:val="19"/>
              </w:rPr>
              <w:t>PTA4</w:t>
            </w:r>
          </w:p>
        </w:tc>
        <w:tc>
          <w:tcPr>
            <w:tcW w:w="3168" w:type="dxa"/>
          </w:tcPr>
          <w:p w14:paraId="76F620AB">
            <w:pPr>
              <w:spacing w:before="20" w:after="20" w:line="240" w:lineRule="auto"/>
            </w:pPr>
            <w:r>
              <w:rPr>
                <w:sz w:val="19"/>
              </w:rPr>
              <w:t>0.987 (0.882 to 1.104)</w:t>
            </w:r>
          </w:p>
        </w:tc>
        <w:tc>
          <w:tcPr>
            <w:tcW w:w="1440" w:type="dxa"/>
          </w:tcPr>
          <w:p w14:paraId="1BD996D3">
            <w:pPr>
              <w:spacing w:before="20" w:after="20" w:line="240" w:lineRule="auto"/>
            </w:pPr>
            <w:r>
              <w:rPr>
                <w:sz w:val="19"/>
              </w:rPr>
              <w:t>0.82</w:t>
            </w:r>
          </w:p>
        </w:tc>
      </w:tr>
      <w:tr w14:paraId="12B570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4F5C70D1">
            <w:pPr>
              <w:spacing w:before="20" w:after="20" w:line="240" w:lineRule="auto"/>
            </w:pPr>
            <w:r>
              <w:rPr>
                <w:sz w:val="19"/>
              </w:rPr>
              <w:t>Hearing age gap</w:t>
            </w:r>
          </w:p>
        </w:tc>
        <w:tc>
          <w:tcPr>
            <w:tcW w:w="3168" w:type="dxa"/>
          </w:tcPr>
          <w:p w14:paraId="13EDE8C1">
            <w:pPr>
              <w:spacing w:before="20" w:after="20" w:line="240" w:lineRule="auto"/>
            </w:pPr>
            <w:r>
              <w:rPr>
                <w:sz w:val="19"/>
              </w:rPr>
              <w:t>1.221 (1.035 to 1.440)</w:t>
            </w:r>
          </w:p>
        </w:tc>
        <w:tc>
          <w:tcPr>
            <w:tcW w:w="1440" w:type="dxa"/>
          </w:tcPr>
          <w:p w14:paraId="332580E1">
            <w:pPr>
              <w:spacing w:before="20" w:after="20" w:line="240" w:lineRule="auto"/>
            </w:pPr>
            <w:r>
              <w:rPr>
                <w:sz w:val="19"/>
              </w:rPr>
              <w:t>0.018</w:t>
            </w:r>
          </w:p>
        </w:tc>
      </w:tr>
      <w:tr w14:paraId="7931DB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2E4A9CF2">
            <w:pPr>
              <w:spacing w:before="20" w:after="20" w:line="240" w:lineRule="auto"/>
            </w:pPr>
            <w:r>
              <w:rPr>
                <w:sz w:val="19"/>
              </w:rPr>
              <w:t>0.5 kHz (R)</w:t>
            </w:r>
          </w:p>
        </w:tc>
        <w:tc>
          <w:tcPr>
            <w:tcW w:w="3168" w:type="dxa"/>
          </w:tcPr>
          <w:p w14:paraId="3C24169C">
            <w:pPr>
              <w:spacing w:before="20" w:after="20" w:line="240" w:lineRule="auto"/>
            </w:pPr>
            <w:r>
              <w:rPr>
                <w:sz w:val="19"/>
              </w:rPr>
              <w:t>1.154 (1.106 to 1.205)</w:t>
            </w:r>
          </w:p>
        </w:tc>
        <w:tc>
          <w:tcPr>
            <w:tcW w:w="1440" w:type="dxa"/>
          </w:tcPr>
          <w:p w14:paraId="242EFE55">
            <w:pPr>
              <w:spacing w:before="20" w:after="20" w:line="240" w:lineRule="auto"/>
            </w:pPr>
            <w:r>
              <w:rPr>
                <w:sz w:val="19"/>
              </w:rPr>
              <w:t>&lt;0.001</w:t>
            </w:r>
          </w:p>
        </w:tc>
      </w:tr>
      <w:tr w14:paraId="209EFF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032" w:type="dxa"/>
          </w:tcPr>
          <w:p w14:paraId="57F1CEAB">
            <w:pPr>
              <w:spacing w:before="20" w:after="20" w:line="240" w:lineRule="auto"/>
            </w:pPr>
            <w:r>
              <w:rPr>
                <w:sz w:val="19"/>
              </w:rPr>
              <w:t>1 kHz (R)</w:t>
            </w:r>
          </w:p>
        </w:tc>
        <w:tc>
          <w:tcPr>
            <w:tcW w:w="3168" w:type="dxa"/>
          </w:tcPr>
          <w:p w14:paraId="3E0EEB60">
            <w:pPr>
              <w:spacing w:before="20" w:after="20" w:line="240" w:lineRule="auto"/>
            </w:pPr>
            <w:r>
              <w:rPr>
                <w:sz w:val="19"/>
              </w:rPr>
              <w:t>0.917 (0.874 to 0.963)</w:t>
            </w:r>
          </w:p>
        </w:tc>
        <w:tc>
          <w:tcPr>
            <w:tcW w:w="1440" w:type="dxa"/>
          </w:tcPr>
          <w:p w14:paraId="512E645E">
            <w:pPr>
              <w:spacing w:before="20" w:after="20" w:line="240" w:lineRule="auto"/>
            </w:pPr>
            <w:r>
              <w:rPr>
                <w:sz w:val="19"/>
              </w:rPr>
              <w:t>&lt;0.001</w:t>
            </w:r>
          </w:p>
        </w:tc>
      </w:tr>
      <w:tr w14:paraId="468537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77598E9">
            <w:pPr>
              <w:spacing w:before="20" w:after="20" w:line="240" w:lineRule="auto"/>
            </w:pPr>
            <w:r>
              <w:rPr>
                <w:sz w:val="19"/>
              </w:rPr>
              <w:t>2 kHz (R)</w:t>
            </w:r>
          </w:p>
        </w:tc>
        <w:tc>
          <w:tcPr>
            <w:tcW w:w="3168" w:type="dxa"/>
          </w:tcPr>
          <w:p w14:paraId="6DB0057A">
            <w:pPr>
              <w:spacing w:before="20" w:after="20" w:line="240" w:lineRule="auto"/>
            </w:pPr>
            <w:r>
              <w:rPr>
                <w:sz w:val="19"/>
              </w:rPr>
              <w:t>0.940 (0.832 to 1.062)</w:t>
            </w:r>
          </w:p>
        </w:tc>
        <w:tc>
          <w:tcPr>
            <w:tcW w:w="1440" w:type="dxa"/>
          </w:tcPr>
          <w:p w14:paraId="7C7899F1">
            <w:pPr>
              <w:spacing w:before="20" w:after="20" w:line="240" w:lineRule="auto"/>
            </w:pPr>
            <w:r>
              <w:rPr>
                <w:sz w:val="19"/>
              </w:rPr>
              <w:t>0.32</w:t>
            </w:r>
          </w:p>
        </w:tc>
      </w:tr>
      <w:tr w14:paraId="0252E5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3D16AC07">
            <w:pPr>
              <w:spacing w:before="20" w:after="20" w:line="240" w:lineRule="auto"/>
            </w:pPr>
            <w:r>
              <w:rPr>
                <w:sz w:val="19"/>
              </w:rPr>
              <w:t>3 kHz (R)</w:t>
            </w:r>
          </w:p>
        </w:tc>
        <w:tc>
          <w:tcPr>
            <w:tcW w:w="3168" w:type="dxa"/>
          </w:tcPr>
          <w:p w14:paraId="3E13BB51">
            <w:pPr>
              <w:spacing w:before="20" w:after="20" w:line="240" w:lineRule="auto"/>
            </w:pPr>
            <w:r>
              <w:rPr>
                <w:sz w:val="19"/>
              </w:rPr>
              <w:t>1.141 (1.086 to 1.199)</w:t>
            </w:r>
          </w:p>
        </w:tc>
        <w:tc>
          <w:tcPr>
            <w:tcW w:w="1440" w:type="dxa"/>
          </w:tcPr>
          <w:p w14:paraId="2B1C2A7D">
            <w:pPr>
              <w:spacing w:before="20" w:after="20" w:line="240" w:lineRule="auto"/>
            </w:pPr>
            <w:r>
              <w:rPr>
                <w:sz w:val="19"/>
              </w:rPr>
              <w:t>&lt;0.001</w:t>
            </w:r>
          </w:p>
        </w:tc>
      </w:tr>
      <w:tr w14:paraId="08D54C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2BA465A">
            <w:pPr>
              <w:spacing w:before="20" w:after="20" w:line="240" w:lineRule="auto"/>
            </w:pPr>
            <w:r>
              <w:rPr>
                <w:sz w:val="19"/>
              </w:rPr>
              <w:t>4 kHz (R)</w:t>
            </w:r>
          </w:p>
        </w:tc>
        <w:tc>
          <w:tcPr>
            <w:tcW w:w="3168" w:type="dxa"/>
          </w:tcPr>
          <w:p w14:paraId="4E33ED4A">
            <w:pPr>
              <w:spacing w:before="20" w:after="20" w:line="240" w:lineRule="auto"/>
            </w:pPr>
            <w:r>
              <w:rPr>
                <w:sz w:val="19"/>
              </w:rPr>
              <w:t>0.967 (0.948 to 0.986)</w:t>
            </w:r>
          </w:p>
        </w:tc>
        <w:tc>
          <w:tcPr>
            <w:tcW w:w="1440" w:type="dxa"/>
          </w:tcPr>
          <w:p w14:paraId="1538CB00">
            <w:pPr>
              <w:spacing w:before="20" w:after="20" w:line="240" w:lineRule="auto"/>
            </w:pPr>
            <w:r>
              <w:rPr>
                <w:sz w:val="19"/>
              </w:rPr>
              <w:t>&lt;0.001</w:t>
            </w:r>
          </w:p>
        </w:tc>
      </w:tr>
      <w:tr w14:paraId="34A9F8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0977C8B1">
            <w:pPr>
              <w:spacing w:before="20" w:after="20" w:line="240" w:lineRule="auto"/>
            </w:pPr>
            <w:r>
              <w:rPr>
                <w:sz w:val="19"/>
              </w:rPr>
              <w:t>6 kHz (R)</w:t>
            </w:r>
          </w:p>
        </w:tc>
        <w:tc>
          <w:tcPr>
            <w:tcW w:w="3168" w:type="dxa"/>
          </w:tcPr>
          <w:p w14:paraId="52C88B40">
            <w:pPr>
              <w:spacing w:before="20" w:after="20" w:line="240" w:lineRule="auto"/>
            </w:pPr>
            <w:r>
              <w:rPr>
                <w:sz w:val="19"/>
              </w:rPr>
              <w:t>0.829 (0.723 to 0.950)</w:t>
            </w:r>
          </w:p>
        </w:tc>
        <w:tc>
          <w:tcPr>
            <w:tcW w:w="1440" w:type="dxa"/>
          </w:tcPr>
          <w:p w14:paraId="68FE4081">
            <w:pPr>
              <w:spacing w:before="20" w:after="20" w:line="240" w:lineRule="auto"/>
            </w:pPr>
            <w:r>
              <w:rPr>
                <w:sz w:val="19"/>
              </w:rPr>
              <w:t>0.007</w:t>
            </w:r>
          </w:p>
        </w:tc>
      </w:tr>
      <w:tr w14:paraId="2D95CC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7B645704">
            <w:pPr>
              <w:spacing w:before="20" w:after="20" w:line="240" w:lineRule="auto"/>
            </w:pPr>
            <w:r>
              <w:rPr>
                <w:sz w:val="19"/>
              </w:rPr>
              <w:t>8 kHz (R)</w:t>
            </w:r>
          </w:p>
        </w:tc>
        <w:tc>
          <w:tcPr>
            <w:tcW w:w="3168" w:type="dxa"/>
          </w:tcPr>
          <w:p w14:paraId="796A43FF">
            <w:pPr>
              <w:spacing w:before="20" w:after="20" w:line="240" w:lineRule="auto"/>
            </w:pPr>
            <w:r>
              <w:rPr>
                <w:sz w:val="19"/>
              </w:rPr>
              <w:t>1.018 (1.011 to 1.025)</w:t>
            </w:r>
          </w:p>
        </w:tc>
        <w:tc>
          <w:tcPr>
            <w:tcW w:w="1440" w:type="dxa"/>
          </w:tcPr>
          <w:p w14:paraId="4F0326FD">
            <w:pPr>
              <w:spacing w:before="20" w:after="20" w:line="240" w:lineRule="auto"/>
            </w:pPr>
            <w:r>
              <w:rPr>
                <w:sz w:val="19"/>
              </w:rPr>
              <w:t>&lt;0.001</w:t>
            </w:r>
          </w:p>
        </w:tc>
      </w:tr>
      <w:tr w14:paraId="33859D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DC523EE">
            <w:pPr>
              <w:spacing w:before="20" w:after="20" w:line="240" w:lineRule="auto"/>
            </w:pPr>
            <w:r>
              <w:rPr>
                <w:sz w:val="19"/>
              </w:rPr>
              <w:t>0.5 kHz (L)</w:t>
            </w:r>
          </w:p>
        </w:tc>
        <w:tc>
          <w:tcPr>
            <w:tcW w:w="3168" w:type="dxa"/>
          </w:tcPr>
          <w:p w14:paraId="786875E7">
            <w:pPr>
              <w:spacing w:before="20" w:after="20" w:line="240" w:lineRule="auto"/>
            </w:pPr>
            <w:r>
              <w:rPr>
                <w:sz w:val="19"/>
              </w:rPr>
              <w:t>1.068 (0.963 to 1.185)</w:t>
            </w:r>
          </w:p>
        </w:tc>
        <w:tc>
          <w:tcPr>
            <w:tcW w:w="1440" w:type="dxa"/>
          </w:tcPr>
          <w:p w14:paraId="4AD2099E">
            <w:pPr>
              <w:spacing w:before="20" w:after="20" w:line="240" w:lineRule="auto"/>
            </w:pPr>
            <w:r>
              <w:rPr>
                <w:sz w:val="19"/>
              </w:rPr>
              <w:t>0.21</w:t>
            </w:r>
          </w:p>
        </w:tc>
      </w:tr>
      <w:tr w14:paraId="4D1707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47E568EA">
            <w:pPr>
              <w:spacing w:before="20" w:after="20" w:line="240" w:lineRule="auto"/>
            </w:pPr>
            <w:r>
              <w:rPr>
                <w:sz w:val="19"/>
              </w:rPr>
              <w:t>1 kHz (L)</w:t>
            </w:r>
          </w:p>
        </w:tc>
        <w:tc>
          <w:tcPr>
            <w:tcW w:w="3168" w:type="dxa"/>
          </w:tcPr>
          <w:p w14:paraId="199972BF">
            <w:pPr>
              <w:spacing w:before="20" w:after="20" w:line="240" w:lineRule="auto"/>
            </w:pPr>
            <w:r>
              <w:rPr>
                <w:sz w:val="19"/>
              </w:rPr>
              <w:t>1.104 (1.053 to 1.156)</w:t>
            </w:r>
          </w:p>
        </w:tc>
        <w:tc>
          <w:tcPr>
            <w:tcW w:w="1440" w:type="dxa"/>
          </w:tcPr>
          <w:p w14:paraId="1FEB4835">
            <w:pPr>
              <w:spacing w:before="20" w:after="20" w:line="240" w:lineRule="auto"/>
            </w:pPr>
            <w:r>
              <w:rPr>
                <w:sz w:val="19"/>
              </w:rPr>
              <w:t>&lt;0.001</w:t>
            </w:r>
          </w:p>
        </w:tc>
      </w:tr>
      <w:tr w14:paraId="4A38B7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66974B8B">
            <w:pPr>
              <w:spacing w:before="20" w:after="20" w:line="240" w:lineRule="auto"/>
            </w:pPr>
            <w:r>
              <w:rPr>
                <w:sz w:val="19"/>
              </w:rPr>
              <w:t>2 kHz (L)</w:t>
            </w:r>
          </w:p>
        </w:tc>
        <w:tc>
          <w:tcPr>
            <w:tcW w:w="3168" w:type="dxa"/>
          </w:tcPr>
          <w:p w14:paraId="308F5B8C">
            <w:pPr>
              <w:spacing w:before="20" w:after="20" w:line="240" w:lineRule="auto"/>
            </w:pPr>
            <w:r>
              <w:rPr>
                <w:sz w:val="19"/>
              </w:rPr>
              <w:t>0.957 (0.915 to 1.000)</w:t>
            </w:r>
          </w:p>
        </w:tc>
        <w:tc>
          <w:tcPr>
            <w:tcW w:w="1440" w:type="dxa"/>
          </w:tcPr>
          <w:p w14:paraId="16EECE3A">
            <w:pPr>
              <w:spacing w:before="20" w:after="20" w:line="240" w:lineRule="auto"/>
            </w:pPr>
            <w:r>
              <w:rPr>
                <w:sz w:val="19"/>
              </w:rPr>
              <w:t>0.050</w:t>
            </w:r>
          </w:p>
        </w:tc>
      </w:tr>
      <w:tr w14:paraId="5CCDAD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7604BA8E">
            <w:pPr>
              <w:spacing w:before="20" w:after="20" w:line="240" w:lineRule="auto"/>
            </w:pPr>
            <w:r>
              <w:rPr>
                <w:sz w:val="19"/>
              </w:rPr>
              <w:t>3 kHz (L)</w:t>
            </w:r>
          </w:p>
        </w:tc>
        <w:tc>
          <w:tcPr>
            <w:tcW w:w="3168" w:type="dxa"/>
          </w:tcPr>
          <w:p w14:paraId="5D3FDF0F">
            <w:pPr>
              <w:spacing w:before="20" w:after="20" w:line="240" w:lineRule="auto"/>
            </w:pPr>
            <w:r>
              <w:rPr>
                <w:sz w:val="19"/>
              </w:rPr>
              <w:t>0.815 (0.770 to 0.862)</w:t>
            </w:r>
          </w:p>
        </w:tc>
        <w:tc>
          <w:tcPr>
            <w:tcW w:w="1440" w:type="dxa"/>
          </w:tcPr>
          <w:p w14:paraId="67B7EE94">
            <w:pPr>
              <w:spacing w:before="20" w:after="20" w:line="240" w:lineRule="auto"/>
            </w:pPr>
            <w:r>
              <w:rPr>
                <w:sz w:val="19"/>
              </w:rPr>
              <w:t>&lt;0.001</w:t>
            </w:r>
          </w:p>
        </w:tc>
      </w:tr>
      <w:tr w14:paraId="1D9D4F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0D769395">
            <w:pPr>
              <w:spacing w:before="20" w:after="20" w:line="240" w:lineRule="auto"/>
            </w:pPr>
            <w:r>
              <w:rPr>
                <w:sz w:val="19"/>
              </w:rPr>
              <w:t>4 kHz (L)</w:t>
            </w:r>
          </w:p>
        </w:tc>
        <w:tc>
          <w:tcPr>
            <w:tcW w:w="3168" w:type="dxa"/>
          </w:tcPr>
          <w:p w14:paraId="2BDFDB75">
            <w:pPr>
              <w:spacing w:before="20" w:after="20" w:line="240" w:lineRule="auto"/>
            </w:pPr>
            <w:r>
              <w:rPr>
                <w:sz w:val="19"/>
              </w:rPr>
              <w:t>1.165 (0.888 to 1.529)</w:t>
            </w:r>
          </w:p>
        </w:tc>
        <w:tc>
          <w:tcPr>
            <w:tcW w:w="1440" w:type="dxa"/>
          </w:tcPr>
          <w:p w14:paraId="78CD1ECD">
            <w:pPr>
              <w:spacing w:before="20" w:after="20" w:line="240" w:lineRule="auto"/>
            </w:pPr>
            <w:r>
              <w:rPr>
                <w:sz w:val="19"/>
              </w:rPr>
              <w:t>0.27</w:t>
            </w:r>
          </w:p>
        </w:tc>
      </w:tr>
      <w:tr w14:paraId="549992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7843D7E7">
            <w:pPr>
              <w:spacing w:before="20" w:after="20" w:line="240" w:lineRule="auto"/>
            </w:pPr>
            <w:r>
              <w:rPr>
                <w:sz w:val="19"/>
              </w:rPr>
              <w:t>6 kHz (L)</w:t>
            </w:r>
          </w:p>
        </w:tc>
        <w:tc>
          <w:tcPr>
            <w:tcW w:w="3168" w:type="dxa"/>
          </w:tcPr>
          <w:p w14:paraId="6CEBA8EC">
            <w:pPr>
              <w:spacing w:before="20" w:after="20" w:line="240" w:lineRule="auto"/>
            </w:pPr>
            <w:r>
              <w:rPr>
                <w:sz w:val="19"/>
              </w:rPr>
              <w:t>1.097 (0.911 to 1.319)</w:t>
            </w:r>
          </w:p>
        </w:tc>
        <w:tc>
          <w:tcPr>
            <w:tcW w:w="1440" w:type="dxa"/>
          </w:tcPr>
          <w:p w14:paraId="583B3C57">
            <w:pPr>
              <w:spacing w:before="20" w:after="20" w:line="240" w:lineRule="auto"/>
            </w:pPr>
            <w:r>
              <w:rPr>
                <w:sz w:val="19"/>
              </w:rPr>
              <w:t>0.33</w:t>
            </w:r>
          </w:p>
        </w:tc>
      </w:tr>
      <w:tr w14:paraId="663554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250E9A27">
            <w:pPr>
              <w:spacing w:before="20" w:after="20" w:line="240" w:lineRule="auto"/>
            </w:pPr>
            <w:r>
              <w:rPr>
                <w:sz w:val="19"/>
              </w:rPr>
              <w:t>8 kHz (L)</w:t>
            </w:r>
          </w:p>
        </w:tc>
        <w:tc>
          <w:tcPr>
            <w:tcW w:w="3168" w:type="dxa"/>
          </w:tcPr>
          <w:p w14:paraId="33A84F5F">
            <w:pPr>
              <w:spacing w:before="20" w:after="20" w:line="240" w:lineRule="auto"/>
            </w:pPr>
            <w:r>
              <w:rPr>
                <w:sz w:val="19"/>
              </w:rPr>
              <w:t>1.088 (0.799 to 1.482)</w:t>
            </w:r>
          </w:p>
        </w:tc>
        <w:tc>
          <w:tcPr>
            <w:tcW w:w="1440" w:type="dxa"/>
          </w:tcPr>
          <w:p w14:paraId="5AEB0AED">
            <w:pPr>
              <w:spacing w:before="20" w:after="20" w:line="240" w:lineRule="auto"/>
            </w:pPr>
            <w:r>
              <w:rPr>
                <w:sz w:val="19"/>
              </w:rPr>
              <w:t>0.59</w:t>
            </w:r>
          </w:p>
        </w:tc>
      </w:tr>
      <w:tr w14:paraId="4C3FA0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5B12DB3E">
            <w:pPr>
              <w:spacing w:before="20" w:after="20" w:line="240" w:lineRule="auto"/>
            </w:pPr>
            <w:r>
              <w:rPr>
                <w:sz w:val="19"/>
              </w:rPr>
              <w:t>Other Hispanic</w:t>
            </w:r>
          </w:p>
        </w:tc>
        <w:tc>
          <w:tcPr>
            <w:tcW w:w="3168" w:type="dxa"/>
          </w:tcPr>
          <w:p w14:paraId="5A864404">
            <w:pPr>
              <w:spacing w:before="20" w:after="20" w:line="240" w:lineRule="auto"/>
            </w:pPr>
            <w:r>
              <w:rPr>
                <w:sz w:val="19"/>
              </w:rPr>
              <w:t>1.101 (1.068 to 1.135)</w:t>
            </w:r>
          </w:p>
        </w:tc>
        <w:tc>
          <w:tcPr>
            <w:tcW w:w="1440" w:type="dxa"/>
          </w:tcPr>
          <w:p w14:paraId="3D2A0BA3">
            <w:pPr>
              <w:spacing w:before="20" w:after="20" w:line="240" w:lineRule="auto"/>
            </w:pPr>
            <w:r>
              <w:rPr>
                <w:sz w:val="19"/>
              </w:rPr>
              <w:t>&lt;0.001</w:t>
            </w:r>
          </w:p>
        </w:tc>
      </w:tr>
      <w:tr w14:paraId="55B04D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7220B179">
            <w:pPr>
              <w:spacing w:before="20" w:after="20" w:line="240" w:lineRule="auto"/>
            </w:pPr>
            <w:r>
              <w:rPr>
                <w:sz w:val="19"/>
              </w:rPr>
              <w:t>Non-Hispanic White</w:t>
            </w:r>
          </w:p>
        </w:tc>
        <w:tc>
          <w:tcPr>
            <w:tcW w:w="3168" w:type="dxa"/>
          </w:tcPr>
          <w:p w14:paraId="28B49825">
            <w:pPr>
              <w:spacing w:before="20" w:after="20" w:line="240" w:lineRule="auto"/>
            </w:pPr>
            <w:r>
              <w:rPr>
                <w:sz w:val="19"/>
              </w:rPr>
              <w:t>1.159 (1.121 to 1.198)</w:t>
            </w:r>
          </w:p>
        </w:tc>
        <w:tc>
          <w:tcPr>
            <w:tcW w:w="1440" w:type="dxa"/>
          </w:tcPr>
          <w:p w14:paraId="40E63951">
            <w:pPr>
              <w:spacing w:before="20" w:after="20" w:line="240" w:lineRule="auto"/>
            </w:pPr>
            <w:r>
              <w:rPr>
                <w:sz w:val="19"/>
              </w:rPr>
              <w:t>&lt;0.001</w:t>
            </w:r>
          </w:p>
        </w:tc>
      </w:tr>
      <w:tr w14:paraId="7FFE8C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032" w:type="dxa"/>
          </w:tcPr>
          <w:p w14:paraId="79AB83A5">
            <w:pPr>
              <w:spacing w:before="20" w:after="20" w:line="240" w:lineRule="auto"/>
            </w:pPr>
            <w:r>
              <w:rPr>
                <w:sz w:val="19"/>
              </w:rPr>
              <w:t>Non-Hispanic Black</w:t>
            </w:r>
          </w:p>
        </w:tc>
        <w:tc>
          <w:tcPr>
            <w:tcW w:w="3168" w:type="dxa"/>
          </w:tcPr>
          <w:p w14:paraId="5E1E2042">
            <w:pPr>
              <w:spacing w:before="20" w:after="20" w:line="240" w:lineRule="auto"/>
            </w:pPr>
            <w:r>
              <w:rPr>
                <w:sz w:val="19"/>
              </w:rPr>
              <w:t>1.279 (1.248 to 1.311)</w:t>
            </w:r>
          </w:p>
        </w:tc>
        <w:tc>
          <w:tcPr>
            <w:tcW w:w="1440" w:type="dxa"/>
          </w:tcPr>
          <w:p w14:paraId="72E56C6D">
            <w:pPr>
              <w:spacing w:before="20" w:after="20" w:line="240" w:lineRule="auto"/>
            </w:pPr>
            <w:r>
              <w:rPr>
                <w:sz w:val="19"/>
              </w:rPr>
              <w:t>&lt;0.001</w:t>
            </w:r>
          </w:p>
        </w:tc>
      </w:tr>
      <w:tr w14:paraId="5237B0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0DDC75F7">
            <w:pPr>
              <w:spacing w:before="20" w:after="20" w:line="240" w:lineRule="auto"/>
            </w:pPr>
            <w:r>
              <w:rPr>
                <w:sz w:val="19"/>
              </w:rPr>
              <w:t>Non-Hispanic Asian</w:t>
            </w:r>
          </w:p>
        </w:tc>
        <w:tc>
          <w:tcPr>
            <w:tcW w:w="3168" w:type="dxa"/>
          </w:tcPr>
          <w:p w14:paraId="32A49CAD">
            <w:pPr>
              <w:spacing w:before="20" w:after="20" w:line="240" w:lineRule="auto"/>
            </w:pPr>
            <w:r>
              <w:rPr>
                <w:sz w:val="19"/>
              </w:rPr>
              <w:t>1.016 (0.982 to 1.052)</w:t>
            </w:r>
          </w:p>
        </w:tc>
        <w:tc>
          <w:tcPr>
            <w:tcW w:w="1440" w:type="dxa"/>
          </w:tcPr>
          <w:p w14:paraId="5F9F4978">
            <w:pPr>
              <w:spacing w:before="20" w:after="20" w:line="240" w:lineRule="auto"/>
            </w:pPr>
            <w:r>
              <w:rPr>
                <w:sz w:val="19"/>
              </w:rPr>
              <w:t>0.37</w:t>
            </w:r>
          </w:p>
        </w:tc>
      </w:tr>
      <w:tr w14:paraId="3C17F2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tcPr>
          <w:p w14:paraId="1B1C14E1">
            <w:pPr>
              <w:spacing w:before="20" w:after="20" w:line="240" w:lineRule="auto"/>
            </w:pPr>
            <w:r>
              <w:rPr>
                <w:sz w:val="19"/>
              </w:rPr>
              <w:t>Other or multiracial</w:t>
            </w:r>
          </w:p>
        </w:tc>
        <w:tc>
          <w:tcPr>
            <w:tcW w:w="3168" w:type="dxa"/>
          </w:tcPr>
          <w:p w14:paraId="7FAE0E98">
            <w:pPr>
              <w:spacing w:before="20" w:after="20" w:line="240" w:lineRule="auto"/>
            </w:pPr>
            <w:r>
              <w:rPr>
                <w:sz w:val="19"/>
              </w:rPr>
              <w:t>0.887 (0.785 to 1.002)</w:t>
            </w:r>
          </w:p>
        </w:tc>
        <w:tc>
          <w:tcPr>
            <w:tcW w:w="1440" w:type="dxa"/>
          </w:tcPr>
          <w:p w14:paraId="24AFFD7D">
            <w:pPr>
              <w:spacing w:before="20" w:after="20" w:line="240" w:lineRule="auto"/>
            </w:pPr>
            <w:r>
              <w:rPr>
                <w:sz w:val="19"/>
              </w:rPr>
              <w:t>0.05</w:t>
            </w:r>
          </w:p>
        </w:tc>
      </w:tr>
    </w:tbl>
    <w:p w14:paraId="76F99CA0">
      <w:pPr>
        <w:rPr>
          <w:b/>
          <w:sz w:val="28"/>
        </w:rPr>
      </w:pPr>
      <w:r>
        <w:rPr>
          <w:b w:val="0"/>
          <w:sz w:val="18"/>
        </w:rPr>
        <w:t>All variables were standardised; hazard ratios are per 1 standard deviation. For the hearing age gap (SD 10.7 years), the estimate corresponds to HR 1.019 (95% CI 1.003 to 1.035, p = 0.018) per 1-year greater gap. Race and ethnicity categories are relative to Mexican American. Models used scaled examination weights with robust standard errors clustered on primary sampling units.</w:t>
      </w:r>
    </w:p>
    <w:p w14:paraId="11E0B024">
      <w:pPr>
        <w:rPr>
          <w:b/>
          <w:sz w:val="28"/>
        </w:rPr>
      </w:pPr>
      <w:r>
        <w:drawing>
          <wp:inline distT="0" distB="0" distL="114300" distR="114300">
            <wp:extent cx="5120640" cy="3028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6"/>
                    <a:srcRect t="11272"/>
                    <a:stretch>
                      <a:fillRect/>
                    </a:stretch>
                  </pic:blipFill>
                  <pic:spPr>
                    <a:xfrm>
                      <a:off x="0" y="0"/>
                      <a:ext cx="5120640" cy="3028950"/>
                    </a:xfrm>
                    <a:prstGeom prst="rect">
                      <a:avLst/>
                    </a:prstGeom>
                  </pic:spPr>
                </pic:pic>
              </a:graphicData>
            </a:graphic>
          </wp:inline>
        </w:drawing>
      </w:r>
    </w:p>
    <w:p w14:paraId="517E045D">
      <w:pPr>
        <w:rPr>
          <w:sz w:val="21"/>
        </w:rPr>
      </w:pPr>
      <w:r>
        <w:rPr>
          <w:b/>
          <w:sz w:val="21"/>
        </w:rPr>
        <w:t>Figure S</w:t>
      </w:r>
      <w:r>
        <w:rPr>
          <w:rFonts w:hint="eastAsia"/>
          <w:b/>
          <w:sz w:val="21"/>
          <w:lang w:val="en-US" w:eastAsia="zh-CN"/>
        </w:rPr>
        <w:t>1</w:t>
      </w:r>
      <w:r>
        <w:rPr>
          <w:b/>
          <w:sz w:val="21"/>
        </w:rPr>
        <w:t xml:space="preserve">. </w:t>
      </w:r>
      <w:r>
        <w:rPr>
          <w:sz w:val="21"/>
        </w:rPr>
        <w:t>Absolute error of the hearing age model across chronological age. Points show 4,000 randomly sampled participants; the red line shows the mean absolute error with 95% confidence intervals in 5-year age bins. Prediction error is stable across adulthood, with a modest increase at the oldest ages.</w:t>
      </w:r>
    </w:p>
    <w:p w14:paraId="30B6C6BC">
      <w:pPr>
        <w:rPr>
          <w:rFonts w:hint="eastAsia" w:eastAsia="宋体"/>
          <w:sz w:val="21"/>
          <w:lang w:eastAsia="zh-CN"/>
        </w:rPr>
      </w:pPr>
      <w:r>
        <w:rPr>
          <w:rFonts w:hint="eastAsia" w:eastAsia="宋体"/>
          <w:sz w:val="21"/>
          <w:lang w:eastAsia="zh-CN"/>
        </w:rPr>
        <w:drawing>
          <wp:inline distT="0" distB="0" distL="114300" distR="114300">
            <wp:extent cx="5271770" cy="3862705"/>
            <wp:effectExtent l="0" t="0" r="5080" b="4445"/>
            <wp:docPr id="2" name="图片 2" descr="figS2_gap_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2_gap_distribution"/>
                    <pic:cNvPicPr>
                      <a:picLocks noChangeAspect="1"/>
                    </pic:cNvPicPr>
                  </pic:nvPicPr>
                  <pic:blipFill>
                    <a:blip r:embed="rId7"/>
                    <a:stretch>
                      <a:fillRect/>
                    </a:stretch>
                  </pic:blipFill>
                  <pic:spPr>
                    <a:xfrm>
                      <a:off x="0" y="0"/>
                      <a:ext cx="5271770" cy="3862705"/>
                    </a:xfrm>
                    <a:prstGeom prst="rect">
                      <a:avLst/>
                    </a:prstGeom>
                  </pic:spPr>
                </pic:pic>
              </a:graphicData>
            </a:graphic>
          </wp:inline>
        </w:drawing>
      </w:r>
    </w:p>
    <w:p w14:paraId="66F32243">
      <w:r>
        <w:rPr>
          <w:b/>
          <w:sz w:val="21"/>
        </w:rPr>
        <w:t>Figure S</w:t>
      </w:r>
      <w:r>
        <w:rPr>
          <w:rFonts w:hint="eastAsia"/>
          <w:b/>
          <w:sz w:val="21"/>
          <w:lang w:val="en-US" w:eastAsia="zh-CN"/>
        </w:rPr>
        <w:t>2</w:t>
      </w:r>
      <w:r>
        <w:rPr>
          <w:b/>
          <w:sz w:val="21"/>
        </w:rPr>
        <w:t xml:space="preserve">. </w:t>
      </w:r>
      <w:r>
        <w:rPr>
          <w:sz w:val="21"/>
        </w:rPr>
        <w:t>Distribution of the hearing age gap in the analytic cohort. The dashed red line marks a gap of zero (hearing age equal to chronological age); the blue line marks the cohort mean.</w:t>
      </w:r>
    </w:p>
    <w:p w14:paraId="3B0F057B">
      <w:pPr>
        <w:rPr>
          <w:b/>
          <w:sz w:val="28"/>
        </w:rPr>
      </w:pPr>
    </w:p>
    <w:p w14:paraId="39C3CA8B">
      <w:pPr>
        <w:rPr>
          <w:b/>
          <w:sz w:val="28"/>
        </w:rPr>
      </w:pPr>
      <w:r>
        <w:drawing>
          <wp:inline distT="0" distB="0" distL="114300" distR="114300">
            <wp:extent cx="5120640" cy="4051935"/>
            <wp:effectExtent l="0" t="0" r="381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8"/>
                    <a:stretch>
                      <a:fillRect/>
                    </a:stretch>
                  </pic:blipFill>
                  <pic:spPr>
                    <a:xfrm>
                      <a:off x="0" y="0"/>
                      <a:ext cx="5120640" cy="4052369"/>
                    </a:xfrm>
                    <a:prstGeom prst="rect">
                      <a:avLst/>
                    </a:prstGeom>
                  </pic:spPr>
                </pic:pic>
              </a:graphicData>
            </a:graphic>
          </wp:inline>
        </w:drawing>
      </w:r>
    </w:p>
    <w:p w14:paraId="63EEB6B8">
      <w:pPr>
        <w:rPr>
          <w:sz w:val="21"/>
        </w:rPr>
      </w:pPr>
      <w:r>
        <w:rPr>
          <w:b/>
          <w:sz w:val="21"/>
        </w:rPr>
        <w:t>Figure S</w:t>
      </w:r>
      <w:r>
        <w:rPr>
          <w:rFonts w:hint="eastAsia"/>
          <w:b/>
          <w:sz w:val="21"/>
          <w:lang w:val="en-US" w:eastAsia="zh-CN"/>
        </w:rPr>
        <w:t>3</w:t>
      </w:r>
      <w:r>
        <w:rPr>
          <w:b/>
          <w:sz w:val="21"/>
        </w:rPr>
        <w:t xml:space="preserve">. </w:t>
      </w:r>
      <w:r>
        <w:rPr>
          <w:sz w:val="21"/>
        </w:rPr>
        <w:t>Hearing age gap versus the four-frequency pure-tone average (PTA4) of the better ear. The two measures were essentially uncorrelated (Pearson r = -0.01), indicating that the gap captures the configuration of the audiogram rather than its overall level.</w:t>
      </w:r>
    </w:p>
    <w:p w14:paraId="0841CCB9">
      <w:pPr>
        <w:rPr>
          <w:rFonts w:hint="eastAsia" w:eastAsia="宋体"/>
          <w:sz w:val="21"/>
          <w:lang w:eastAsia="zh-CN"/>
        </w:rPr>
      </w:pPr>
      <w:r>
        <w:rPr>
          <w:rFonts w:hint="eastAsia" w:eastAsia="宋体"/>
          <w:sz w:val="21"/>
          <w:lang w:eastAsia="zh-CN"/>
        </w:rPr>
        <w:drawing>
          <wp:inline distT="0" distB="0" distL="114300" distR="114300">
            <wp:extent cx="5078730" cy="2737485"/>
            <wp:effectExtent l="0" t="0" r="0" b="0"/>
            <wp:docPr id="1" name="图片 1" descr="figS4_adjusted_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4_adjusted_survival"/>
                    <pic:cNvPicPr>
                      <a:picLocks noChangeAspect="1"/>
                    </pic:cNvPicPr>
                  </pic:nvPicPr>
                  <pic:blipFill>
                    <a:blip r:embed="rId9"/>
                    <a:srcRect t="7211"/>
                    <a:stretch>
                      <a:fillRect/>
                    </a:stretch>
                  </pic:blipFill>
                  <pic:spPr>
                    <a:xfrm>
                      <a:off x="0" y="0"/>
                      <a:ext cx="5078730" cy="2737485"/>
                    </a:xfrm>
                    <a:prstGeom prst="rect">
                      <a:avLst/>
                    </a:prstGeom>
                  </pic:spPr>
                </pic:pic>
              </a:graphicData>
            </a:graphic>
          </wp:inline>
        </w:drawing>
      </w:r>
    </w:p>
    <w:p w14:paraId="43497407">
      <w:pPr>
        <w:rPr>
          <w:rFonts w:hint="eastAsia" w:eastAsia="宋体"/>
          <w:lang w:eastAsia="zh-CN"/>
        </w:rPr>
      </w:pPr>
      <w:r>
        <w:rPr>
          <w:b/>
          <w:sz w:val="21"/>
        </w:rPr>
        <w:t>Figure S</w:t>
      </w:r>
      <w:r>
        <w:rPr>
          <w:rFonts w:hint="eastAsia"/>
          <w:b/>
          <w:sz w:val="21"/>
          <w:lang w:val="en-US" w:eastAsia="zh-CN"/>
        </w:rPr>
        <w:t>4</w:t>
      </w:r>
      <w:r>
        <w:rPr>
          <w:b/>
          <w:sz w:val="21"/>
        </w:rPr>
        <w:t xml:space="preserve">. </w:t>
      </w:r>
      <w:r>
        <w:rPr>
          <w:sz w:val="21"/>
        </w:rPr>
        <w:t>Adjusted survival curves by hearing age gap quartile, estimated from a survey-weighted Cox model adjusted for age, sex, race, education, smoking, body mass index, diabetes and hypertension, with covariates held at cohort means and the gap set to the quartile median.</w:t>
      </w:r>
    </w:p>
    <w:p w14:paraId="47C13E58">
      <w:pPr>
        <w:rPr>
          <w:rFonts w:hint="eastAsia" w:eastAsia="宋体"/>
          <w:lang w:eastAsia="zh-CN"/>
        </w:rPr>
      </w:pPr>
    </w:p>
    <w:p w14:paraId="22ED1F03">
      <w:pPr>
        <w:rPr>
          <w:sz w:val="21"/>
        </w:rPr>
      </w:pPr>
    </w:p>
    <w:p w14:paraId="13E96ED9">
      <w:pPr>
        <w:rPr>
          <w:rFonts w:hint="eastAsia" w:eastAsia="宋体"/>
          <w:b/>
          <w:sz w:val="28"/>
          <w:lang w:eastAsia="zh-CN"/>
        </w:rPr>
      </w:pPr>
      <w:r>
        <w:rPr>
          <w:rFonts w:hint="eastAsia" w:eastAsia="宋体"/>
          <w:b/>
          <w:sz w:val="28"/>
          <w:lang w:eastAsia="zh-CN"/>
        </w:rPr>
        <w:drawing>
          <wp:inline distT="0" distB="0" distL="114300" distR="114300">
            <wp:extent cx="5479415" cy="1969135"/>
            <wp:effectExtent l="0" t="0" r="0" b="0"/>
            <wp:docPr id="4" name="图片 4" descr="figS4_robustness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4_robustness_forest"/>
                    <pic:cNvPicPr>
                      <a:picLocks noChangeAspect="1"/>
                    </pic:cNvPicPr>
                  </pic:nvPicPr>
                  <pic:blipFill>
                    <a:blip r:embed="rId10"/>
                    <a:srcRect t="1273"/>
                    <a:stretch>
                      <a:fillRect/>
                    </a:stretch>
                  </pic:blipFill>
                  <pic:spPr>
                    <a:xfrm>
                      <a:off x="0" y="0"/>
                      <a:ext cx="5479415" cy="1969135"/>
                    </a:xfrm>
                    <a:prstGeom prst="rect">
                      <a:avLst/>
                    </a:prstGeom>
                  </pic:spPr>
                </pic:pic>
              </a:graphicData>
            </a:graphic>
          </wp:inline>
        </w:drawing>
      </w:r>
    </w:p>
    <w:p w14:paraId="035231C5">
      <w:pPr>
        <w:rPr>
          <w:sz w:val="21"/>
        </w:rPr>
      </w:pPr>
      <w:r>
        <w:rPr>
          <w:b/>
          <w:sz w:val="21"/>
        </w:rPr>
        <w:t>Figure S</w:t>
      </w:r>
      <w:r>
        <w:rPr>
          <w:rFonts w:hint="eastAsia"/>
          <w:b/>
          <w:sz w:val="21"/>
          <w:lang w:val="en-US" w:eastAsia="zh-CN"/>
        </w:rPr>
        <w:t>5</w:t>
      </w:r>
      <w:r>
        <w:rPr>
          <w:b/>
          <w:sz w:val="21"/>
        </w:rPr>
        <w:t xml:space="preserve">. </w:t>
      </w:r>
      <w:r>
        <w:rPr>
          <w:sz w:val="21"/>
        </w:rPr>
        <w:t>Hazard ratios for all-cause mortality per 1-year greater hearing age gap across progressively richer adjustment sets, including mutual adjustment for PTA4 and high-frequency PTA. The association remained statistically significant in all specifications.</w:t>
      </w:r>
    </w:p>
    <w:p w14:paraId="2AB8F018">
      <w:pPr>
        <w:rPr>
          <w:sz w:val="21"/>
        </w:rPr>
      </w:pPr>
      <w:r>
        <w:drawing>
          <wp:inline distT="0" distB="0" distL="114300" distR="114300">
            <wp:extent cx="5120640" cy="4559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1"/>
                    <a:srcRect t="3300"/>
                    <a:stretch>
                      <a:fillRect/>
                    </a:stretch>
                  </pic:blipFill>
                  <pic:spPr>
                    <a:xfrm>
                      <a:off x="0" y="0"/>
                      <a:ext cx="5120640" cy="4559300"/>
                    </a:xfrm>
                    <a:prstGeom prst="rect">
                      <a:avLst/>
                    </a:prstGeom>
                  </pic:spPr>
                </pic:pic>
              </a:graphicData>
            </a:graphic>
          </wp:inline>
        </w:drawing>
      </w:r>
    </w:p>
    <w:p w14:paraId="2CB5D53C">
      <w:pPr>
        <w:rPr>
          <w:sz w:val="21"/>
        </w:rPr>
      </w:pPr>
    </w:p>
    <w:p w14:paraId="7D024EDA">
      <w:r>
        <w:rPr>
          <w:b/>
          <w:sz w:val="21"/>
        </w:rPr>
        <w:t>Figure S</w:t>
      </w:r>
      <w:r>
        <w:rPr>
          <w:rFonts w:hint="eastAsia"/>
          <w:b/>
          <w:sz w:val="21"/>
          <w:lang w:val="en-US" w:eastAsia="zh-CN"/>
        </w:rPr>
        <w:t>6</w:t>
      </w:r>
      <w:r>
        <w:rPr>
          <w:b/>
          <w:sz w:val="21"/>
        </w:rPr>
        <w:t xml:space="preserve">. </w:t>
      </w:r>
      <w:r>
        <w:rPr>
          <w:sz w:val="21"/>
        </w:rPr>
        <w:t>SHAP value distribution for each audiometric feature in the hearing age model, computed on 3,000 randomly sampled participants. Each point is one participant; color indicates the threshold value (red = poorer hearing). Extended high-frequency thresholds (8 kHz) contributed the largest share of the predicted hearing age.</w:t>
      </w:r>
    </w:p>
    <w:p w14:paraId="4CFD08FC">
      <w:pPr>
        <w:rPr>
          <w:sz w:val="21"/>
        </w:rPr>
      </w:pPr>
    </w:p>
    <w:p w14:paraId="7AE767C1">
      <w:pPr>
        <w:rPr>
          <w:sz w:val="21"/>
        </w:rPr>
      </w:pPr>
      <w:r>
        <w:rPr>
          <w:rFonts w:hint="eastAsia" w:eastAsia="宋体"/>
          <w:lang w:eastAsia="zh-CN"/>
        </w:rPr>
        <w:drawing>
          <wp:inline distT="0" distB="0" distL="114300" distR="114300">
            <wp:extent cx="5478145" cy="2729865"/>
            <wp:effectExtent l="0" t="0" r="0" b="0"/>
            <wp:docPr id="16" name="图片 16" descr="figS9_enet_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S9_enet_path"/>
                    <pic:cNvPicPr>
                      <a:picLocks noChangeAspect="1"/>
                    </pic:cNvPicPr>
                  </pic:nvPicPr>
                  <pic:blipFill>
                    <a:blip r:embed="rId12"/>
                    <a:srcRect t="7826"/>
                    <a:stretch>
                      <a:fillRect/>
                    </a:stretch>
                  </pic:blipFill>
                  <pic:spPr>
                    <a:xfrm>
                      <a:off x="0" y="0"/>
                      <a:ext cx="5478145" cy="2729865"/>
                    </a:xfrm>
                    <a:prstGeom prst="rect">
                      <a:avLst/>
                    </a:prstGeom>
                  </pic:spPr>
                </pic:pic>
              </a:graphicData>
            </a:graphic>
          </wp:inline>
        </w:drawing>
      </w:r>
    </w:p>
    <w:p w14:paraId="4DB5EA29">
      <w:pPr>
        <w:rPr>
          <w:sz w:val="21"/>
        </w:rPr>
      </w:pPr>
      <w:r>
        <w:rPr>
          <w:b/>
          <w:sz w:val="21"/>
        </w:rPr>
        <w:t>Figure S</w:t>
      </w:r>
      <w:r>
        <w:rPr>
          <w:rFonts w:hint="eastAsia"/>
          <w:b/>
          <w:sz w:val="21"/>
          <w:lang w:val="en-US" w:eastAsia="zh-CN"/>
        </w:rPr>
        <w:t>7</w:t>
      </w:r>
      <w:r>
        <w:rPr>
          <w:b/>
          <w:sz w:val="21"/>
        </w:rPr>
        <w:t xml:space="preserve">. </w:t>
      </w:r>
      <w:r>
        <w:rPr>
          <w:sz w:val="21"/>
        </w:rPr>
        <w:t>Elastic-net Cox feature selection from the full pool of 31 candidate variables (n = 12,129; 763 deaths; L1 ratio 0.9). Each line traces the standardised coefficient of one candidate variable across increasing penalty strengths. The hearing age gap (red) was retained at every penalty examined, whereas PTA4 (blue) and the individual 8 kHz thresholds were eliminated at stronger penalties. Age (dashed grey) and male sex (dashed brown) are shown for reference; all other candidates are shown in light grey.</w:t>
      </w:r>
      <w:bookmarkStart w:id="0" w:name="_GoBack"/>
      <w:bookmarkEnd w:id="0"/>
    </w:p>
    <w:p w14:paraId="3648CEA6">
      <w:pPr>
        <w:rPr>
          <w:sz w:val="21"/>
        </w:rPr>
      </w:pPr>
      <w:r>
        <w:rPr>
          <w:rFonts w:hint="eastAsia" w:eastAsia="宋体"/>
          <w:lang w:eastAsia="zh-CN"/>
        </w:rPr>
        <w:drawing>
          <wp:inline distT="0" distB="0" distL="114300" distR="114300">
            <wp:extent cx="4399915" cy="3138805"/>
            <wp:effectExtent l="0" t="0" r="635" b="4445"/>
            <wp:docPr id="17" name="图片 17" descr="figS8_c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S8_cindex"/>
                    <pic:cNvPicPr>
                      <a:picLocks noChangeAspect="1"/>
                    </pic:cNvPicPr>
                  </pic:nvPicPr>
                  <pic:blipFill>
                    <a:blip r:embed="rId13"/>
                    <a:stretch>
                      <a:fillRect/>
                    </a:stretch>
                  </pic:blipFill>
                  <pic:spPr>
                    <a:xfrm>
                      <a:off x="0" y="0"/>
                      <a:ext cx="4399915" cy="3138805"/>
                    </a:xfrm>
                    <a:prstGeom prst="rect">
                      <a:avLst/>
                    </a:prstGeom>
                  </pic:spPr>
                </pic:pic>
              </a:graphicData>
            </a:graphic>
          </wp:inline>
        </w:drawing>
      </w:r>
    </w:p>
    <w:p w14:paraId="11097CFD">
      <w:pPr>
        <w:rPr>
          <w:sz w:val="21"/>
        </w:rPr>
      </w:pPr>
      <w:r>
        <w:rPr>
          <w:b/>
          <w:sz w:val="21"/>
        </w:rPr>
        <w:t>Figure S</w:t>
      </w:r>
      <w:r>
        <w:rPr>
          <w:rFonts w:hint="eastAsia"/>
          <w:b/>
          <w:sz w:val="21"/>
          <w:lang w:val="en-US" w:eastAsia="zh-CN"/>
        </w:rPr>
        <w:t>8</w:t>
      </w:r>
      <w:r>
        <w:rPr>
          <w:b/>
          <w:sz w:val="21"/>
        </w:rPr>
        <w:t xml:space="preserve">. </w:t>
      </w:r>
      <w:r>
        <w:rPr>
          <w:sz w:val="21"/>
        </w:rPr>
        <w:t>C-index of survey-weighted Cox models for all-cause mortality. Adding the hearing age gap to age and sex improved discrimination comparably to adding PTA4; the model containing both achieved the highest C-index (0.797).</w:t>
      </w:r>
    </w:p>
    <w:p w14:paraId="4BEDB359">
      <w:pPr>
        <w:rPr>
          <w:sz w:val="21"/>
        </w:rPr>
      </w:pPr>
      <w:r>
        <w:drawing>
          <wp:inline distT="0" distB="0" distL="114300" distR="114300">
            <wp:extent cx="5120640" cy="43726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a:srcRect t="8272"/>
                    <a:stretch>
                      <a:fillRect/>
                    </a:stretch>
                  </pic:blipFill>
                  <pic:spPr>
                    <a:xfrm>
                      <a:off x="0" y="0"/>
                      <a:ext cx="5120640" cy="4372610"/>
                    </a:xfrm>
                    <a:prstGeom prst="rect">
                      <a:avLst/>
                    </a:prstGeom>
                  </pic:spPr>
                </pic:pic>
              </a:graphicData>
            </a:graphic>
          </wp:inline>
        </w:drawing>
      </w:r>
    </w:p>
    <w:p w14:paraId="3B4F2FF1">
      <w:r>
        <w:rPr>
          <w:b/>
          <w:sz w:val="21"/>
        </w:rPr>
        <w:t>Figure S</w:t>
      </w:r>
      <w:r>
        <w:rPr>
          <w:rFonts w:hint="eastAsia"/>
          <w:b/>
          <w:sz w:val="21"/>
          <w:lang w:val="en-US" w:eastAsia="zh-CN"/>
        </w:rPr>
        <w:t>9</w:t>
      </w:r>
      <w:r>
        <w:rPr>
          <w:b/>
          <w:sz w:val="21"/>
        </w:rPr>
        <w:t xml:space="preserve">. </w:t>
      </w:r>
      <w:r>
        <w:rPr>
          <w:sz w:val="21"/>
        </w:rPr>
        <w:t>Reclassification of predicted 10-year mortality risk when the hearing age gap is added to a model containing age, sex, and PTA4. Each point is one of 5,000 randomly sampled participants; deceased participants (red) lie predominantly above the identity line, indicating appropriate upward reclassification (continuous NRI = 0.247).</w:t>
      </w:r>
    </w:p>
    <w:p w14:paraId="60F07C9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047CE2"/>
    <w:rsid w:val="117C0D84"/>
    <w:rsid w:val="1D0D1432"/>
    <w:rsid w:val="27723A43"/>
    <w:rsid w:val="2D047CE2"/>
    <w:rsid w:val="39F7720F"/>
    <w:rsid w:val="67E759A9"/>
    <w:rsid w:val="7DC513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宋体" w:cstheme="minorBidi"/>
      <w:sz w:val="24"/>
      <w:szCs w:val="22"/>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427</Words>
  <Characters>2148</Characters>
  <Lines>0</Lines>
  <Paragraphs>0</Paragraphs>
  <TotalTime>1</TotalTime>
  <ScaleCrop>false</ScaleCrop>
  <LinksUpToDate>false</LinksUpToDate>
  <CharactersWithSpaces>2464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2026-08-13T06:04:00Z</dcterms:created>
  <dc:creator>DrQ</dc:creator>
  <cp:lastModifiedBy>DrQ</cp:lastModifiedBy>
  <dcterms:modified xsi:type="dcterms:W3CDTF">2026-08-15T15:24:07Z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DBE038526BDE47E392579B73A997B6E1_11</vt:lpwstr>
  </property>
  <property fmtid="{D5CDD505-2E9C-101B-9397-08002B2CF9AE}" pid="4" name="KSOTemplateDocerSaveRecord">
    <vt:lpwstr>eyJoZGlkIjoiMmM4N2IzOGRiM2E4YmRiNDhiODU5NTVjMjQxMTg5MTIiLCJ1c2VySWQiOiI4MDE0NTU2MjIifQ==</vt:lpwstr>
  </property>
</Properties>
</file>