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05B" w:rsidRDefault="00AC60F6">
      <w:pPr>
        <w:pStyle w:val="aa"/>
        <w:jc w:val="center"/>
      </w:pPr>
      <w:r>
        <w:t>Supplementary material</w:t>
      </w:r>
    </w:p>
    <w:p w:rsidR="003C105B" w:rsidRDefault="00AC60F6">
      <w:pPr>
        <w:jc w:val="center"/>
      </w:pPr>
      <w:r>
        <w:rPr>
          <w:b/>
        </w:rPr>
        <w:t>Public support for national comprehensive smoke-free legislation and its setting-specific components: a multijurisdiction cross-sectional survey in China</w:t>
      </w:r>
    </w:p>
    <w:p w:rsidR="003C105B" w:rsidRDefault="00AC60F6">
      <w:r>
        <w:rPr>
          <w:b/>
        </w:rPr>
        <w:t xml:space="preserve">Supplementary Table S1A. Setting-specific support among adult general </w:t>
      </w:r>
      <w:r>
        <w:rPr>
          <w:b/>
        </w:rPr>
        <w:t>supporters (n=3,119)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785"/>
        <w:gridCol w:w="4536"/>
        <w:gridCol w:w="2268"/>
        <w:gridCol w:w="2617"/>
      </w:tblGrid>
      <w:tr w:rsidR="003C105B" w:rsidTr="00654D74">
        <w:trPr>
          <w:cantSplit/>
          <w:tblHeader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Rank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Indoor setting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Support, n (%)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Strongly support, n (%)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Indoor workplaces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2,961 (94.9)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2,406 (77.1)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Healthcare facilities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2,954 (94.7)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2,532 (81.2)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Libraries/museums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2,940 (94.3)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2,508 (80.4)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4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 xml:space="preserve">Primary/secondary schools </w:t>
            </w:r>
            <w:r>
              <w:rPr>
                <w:rFonts w:eastAsia="Arial"/>
                <w:sz w:val="17"/>
              </w:rPr>
              <w:t>and kindergartens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2,938 (94.2)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2,555 (81.9)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Public transport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2,929 (93.9)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2,446 (78.4)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Shopping malls/supermarkets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2,904 (93.1)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2,223 (71.3)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Government buildings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2,890 (92.7)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2,227 (71.4)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8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Transport terminals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2,865 (91.9)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2,289 (73.4)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9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 xml:space="preserve">Indoor </w:t>
            </w:r>
            <w:r>
              <w:rPr>
                <w:rFonts w:eastAsia="Arial"/>
                <w:sz w:val="17"/>
              </w:rPr>
              <w:t>sports/swimming venues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2,855 (91.5)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2,214 (71.0)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10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Universities/colleges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2,842 (91.1)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2,230 (71.5)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11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Restaurants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2,804 (89.9)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2,115 (67.8)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12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Hotels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2,614 (83.8)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1,793 (57.5)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13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Bars/karaoke venues/cinemas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2,332 (74.8)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1,490 (47.8)</w:t>
            </w:r>
          </w:p>
        </w:tc>
      </w:tr>
    </w:tbl>
    <w:p w:rsidR="003C105B" w:rsidRDefault="00AC60F6">
      <w:r>
        <w:t xml:space="preserve">Support combines </w:t>
      </w:r>
      <w:r>
        <w:t>ratings 4 and 5 on the five-point scale; strong support is rating 5. Rank is based on the support percentage.</w:t>
      </w:r>
    </w:p>
    <w:p w:rsidR="003C105B" w:rsidRDefault="00AC60F6">
      <w:r>
        <w:rPr>
          <w:b/>
        </w:rPr>
        <w:t>Supplementary Table S1B. Setting-specific support among all adults (N=3,187)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785"/>
        <w:gridCol w:w="4536"/>
        <w:gridCol w:w="2268"/>
        <w:gridCol w:w="2617"/>
      </w:tblGrid>
      <w:tr w:rsidR="003C105B" w:rsidTr="00654D74">
        <w:trPr>
          <w:cantSplit/>
          <w:tblHeader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Rank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Indoor setting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Support, n (%)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Strongly support, n (%)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 xml:space="preserve">Indoor </w:t>
            </w:r>
            <w:r>
              <w:rPr>
                <w:rFonts w:eastAsia="Arial"/>
                <w:sz w:val="17"/>
              </w:rPr>
              <w:t>workplaces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3,009 (94.4)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2,433 (76.3)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Healthcare facilities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3,009 (94.4)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2,575 (80.8)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Libraries/museums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2,997 (94.0)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2,553 (80.1)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4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Primary/secondary schools and kindergartens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2,993 (93.9)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2,601 (81.6)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Public transport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2,985 (93.7)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2,485 (78.0)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Shopping malls/supermarkets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2,954 (92.7)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2,257 (70.8)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Government buildings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2,934 (92.1)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2,258 (70.9)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8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Transport terminals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2,913 (91.4)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2,322 (72.9)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9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Indoor sports/swimming venues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2,905 (91.2)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2,250 (70.6)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10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Universities/colleges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2,887 (90.6)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2,261 (70.9)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11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Restaurants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2,839 (89.1)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2,133 (66.9)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12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Hotels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2,636 (82.7)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1,805 (56.6)</w:t>
            </w:r>
          </w:p>
        </w:tc>
      </w:tr>
      <w:tr w:rsidR="003C105B" w:rsidTr="00654D74">
        <w:trPr>
          <w:cantSplit/>
          <w:jc w:val="center"/>
        </w:trPr>
        <w:tc>
          <w:tcPr>
            <w:tcW w:w="6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13</w:t>
            </w:r>
          </w:p>
        </w:tc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Bars/karaoke venues/cinemas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2,352 (73.8)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1,500 (47.1)</w:t>
            </w:r>
          </w:p>
        </w:tc>
      </w:tr>
    </w:tbl>
    <w:p w:rsidR="003C105B" w:rsidRDefault="00AC60F6">
      <w:r>
        <w:rPr>
          <w:rFonts w:ascii="Times New Roman" w:eastAsia="Times New Roman" w:hAnsi="Times New Roman"/>
          <w:sz w:val="22"/>
        </w:rPr>
        <w:t xml:space="preserve">These estimates include all 3,187 adults, regardless of their response to the general-support item, and </w:t>
      </w:r>
      <w:r>
        <w:rPr>
          <w:rFonts w:ascii="Times New Roman" w:eastAsia="Times New Roman" w:hAnsi="Times New Roman"/>
          <w:sz w:val="22"/>
        </w:rPr>
        <w:t>are shown for comparison with the supporter-restricted primary analyses.</w:t>
      </w:r>
    </w:p>
    <w:p w:rsidR="003C105B" w:rsidRDefault="00AC60F6">
      <w:r>
        <w:rPr>
          <w:b/>
        </w:rPr>
        <w:t>Supplementary Table S2. Descriptive prevalence of complete setting-specific support among adult general supporters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2868"/>
        <w:gridCol w:w="2868"/>
        <w:gridCol w:w="2277"/>
        <w:gridCol w:w="2193"/>
      </w:tblGrid>
      <w:tr w:rsidR="003C105B" w:rsidTr="00654D74">
        <w:trPr>
          <w:cantSplit/>
          <w:tblHeader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Characteristic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Category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Complete support / total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Complete support, %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Smoking status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Never smoker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1,415 / 2,071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68.3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Previous smoker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444 / 716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62.0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Current smoker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184 / 332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55.4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Jurisdiction status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1,051 / 1,561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67.3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Qualifying-law jurisdiction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992 / 1,558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63.7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Prior awareness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No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269 / 476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56.5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Yes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1,774 / 2,643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67.1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Clear secondhand-smoke knowledge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No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164 / 322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50.9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Yes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1,879 / 2,797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67.2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Clear thirdhand-smoke knowledge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No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766 / 1,350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56.7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Yes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1,277 / 1,769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72.2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lastRenderedPageBreak/>
              <w:t>Recent information exposure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None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315 / 476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66.2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One medium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468 / 878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53.3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Multiple media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1,260 / 1,765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71.4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Sex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Male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967 / 1,570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61.6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Female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1,076 / 1,549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69.5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Age group</w:t>
            </w:r>
          </w:p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18-24 years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287 / 545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52.7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25-59 years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1,403 / 1,981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70.8</w:t>
            </w:r>
          </w:p>
        </w:tc>
      </w:tr>
      <w:tr w:rsidR="003C105B" w:rsidTr="00654D74">
        <w:trPr>
          <w:cantSplit/>
          <w:jc w:val="center"/>
        </w:trPr>
        <w:tc>
          <w:tcPr>
            <w:tcW w:w="2448" w:type="dxa"/>
            <w:vAlign w:val="center"/>
          </w:tcPr>
          <w:p w:rsidR="003C105B" w:rsidRDefault="003C105B"/>
        </w:tc>
        <w:tc>
          <w:tcPr>
            <w:tcW w:w="2448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&gt;=60 years</w:t>
            </w:r>
          </w:p>
        </w:tc>
        <w:tc>
          <w:tcPr>
            <w:tcW w:w="19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353 / 593</w:t>
            </w:r>
          </w:p>
        </w:tc>
        <w:tc>
          <w:tcPr>
            <w:tcW w:w="187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59.5</w:t>
            </w:r>
          </w:p>
        </w:tc>
      </w:tr>
    </w:tbl>
    <w:p w:rsidR="003C105B" w:rsidRDefault="00AC60F6">
      <w:r>
        <w:t xml:space="preserve">Denominator is adult respondents who supported national </w:t>
      </w:r>
      <w:r>
        <w:t>comprehensive smoke-free legislation (n=3,119). Recent information exposure was checked against the original three response options (never / one medium / multiple media); no missing or uncertain category was present. Its non-monotonic association was not i</w:t>
      </w:r>
      <w:r>
        <w:t>nterpreted as a focal result.</w:t>
      </w:r>
    </w:p>
    <w:p w:rsidR="003C105B" w:rsidRDefault="00AC60F6">
      <w:r>
        <w:rPr>
          <w:b/>
        </w:rPr>
        <w:t>Supplementary Table S3. Operational definitions of policy-support indicators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2810"/>
        <w:gridCol w:w="2367"/>
        <w:gridCol w:w="5029"/>
      </w:tblGrid>
      <w:tr w:rsidR="003C105B" w:rsidTr="00654D74">
        <w:trPr>
          <w:cantSplit/>
          <w:tblHeader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Indicator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Analytic population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Operational definition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Prompted general support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All adults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Binary support after the standardized preamble.</w:t>
            </w:r>
          </w:p>
        </w:tc>
      </w:tr>
      <w:tr w:rsidR="003C105B" w:rsidTr="00654D74">
        <w:trPr>
          <w:cantSplit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 xml:space="preserve">Direct </w:t>
            </w:r>
            <w:r>
              <w:rPr>
                <w:rFonts w:eastAsia="Arial"/>
                <w:sz w:val="17"/>
              </w:rPr>
              <w:t>core-domain endorsement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Adult general supporters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Selected the multiple-response summary option covering indoor public places, public transport, and indoor workplaces.</w:t>
            </w:r>
          </w:p>
        </w:tc>
      </w:tr>
      <w:tr w:rsidR="003C105B" w:rsidTr="00654D74">
        <w:trPr>
          <w:cantSplit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Setting-specific support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Adult general supporters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Rating 4 or 5 for a specified indoor s</w:t>
            </w:r>
            <w:r>
              <w:rPr>
                <w:rFonts w:eastAsia="Arial"/>
                <w:sz w:val="17"/>
              </w:rPr>
              <w:t>etting.</w:t>
            </w:r>
          </w:p>
        </w:tc>
      </w:tr>
      <w:tr w:rsidR="003C105B" w:rsidTr="00654D74">
        <w:trPr>
          <w:cantSplit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Strong setting-specific support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Adult general supporters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Rating 5 for a specified indoor setting.</w:t>
            </w:r>
          </w:p>
        </w:tc>
      </w:tr>
      <w:tr w:rsidR="003C105B" w:rsidTr="00654D74">
        <w:trPr>
          <w:cantSplit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Complete setting-specific support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Adult general supporters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Rating 4 or 5 in all 13 specified indoor settings; primary all-setting summary outcome.</w:t>
            </w:r>
          </w:p>
        </w:tc>
      </w:tr>
      <w:tr w:rsidR="003C105B" w:rsidTr="00654D74">
        <w:trPr>
          <w:cantSplit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Number of settings supported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Adult general supporters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Count of the 13 settings rated 4 or 5; range 0-13.</w:t>
            </w:r>
          </w:p>
        </w:tc>
      </w:tr>
      <w:tr w:rsidR="003C105B" w:rsidTr="00654D74">
        <w:trPr>
          <w:cantSplit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'Smoking room' preference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Adult general supporters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 xml:space="preserve">Binary support for the separately described </w:t>
            </w:r>
            <w:r>
              <w:rPr>
                <w:rFonts w:eastAsia="Arial"/>
                <w:sz w:val="17"/>
              </w:rPr>
              <w:t>吸烟室</w:t>
            </w:r>
            <w:r>
              <w:rPr>
                <w:rFonts w:eastAsia="Arial"/>
                <w:sz w:val="17"/>
              </w:rPr>
              <w:t xml:space="preserve"> option; analyzed separately because location was </w:t>
            </w:r>
            <w:r>
              <w:rPr>
                <w:rFonts w:eastAsia="Arial"/>
                <w:sz w:val="17"/>
              </w:rPr>
              <w:t>not explicitly indoor/outdoor.</w:t>
            </w:r>
          </w:p>
        </w:tc>
      </w:tr>
      <w:tr w:rsidR="003C105B" w:rsidTr="00654D74">
        <w:trPr>
          <w:cantSplit/>
          <w:jc w:val="center"/>
        </w:trPr>
        <w:tc>
          <w:tcPr>
            <w:tcW w:w="273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Exploratory Article 8-oriented combined criterion</w:t>
            </w:r>
          </w:p>
        </w:tc>
        <w:tc>
          <w:tcPr>
            <w:tcW w:w="230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Adult general supporters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 xml:space="preserve">Complete setting-specific support plus opposition to the smoking-room option; interpretation depends on whether respondents understood </w:t>
            </w:r>
            <w:r>
              <w:rPr>
                <w:rFonts w:eastAsia="Arial"/>
                <w:sz w:val="17"/>
              </w:rPr>
              <w:t>吸烟室</w:t>
            </w:r>
            <w:r>
              <w:rPr>
                <w:rFonts w:eastAsia="Arial"/>
                <w:sz w:val="17"/>
              </w:rPr>
              <w:t xml:space="preserve"> as indoor.</w:t>
            </w:r>
          </w:p>
        </w:tc>
      </w:tr>
    </w:tbl>
    <w:p w:rsidR="003C105B" w:rsidRDefault="00AC60F6">
      <w:r>
        <w:rPr>
          <w:rFonts w:ascii="Times New Roman" w:eastAsia="Times New Roman" w:hAnsi="Times New Roman"/>
          <w:sz w:val="22"/>
        </w:rPr>
        <w:t>The indicators were constructed for policy interpretation rather than as psychometric scales. The all-13 outcome is deliberately stringent.</w:t>
      </w:r>
    </w:p>
    <w:p w:rsidR="003C105B" w:rsidRDefault="00AC60F6">
      <w:r>
        <w:rPr>
          <w:b/>
        </w:rPr>
        <w:t>Supplementary Table S4A. Audit of jurisdictions classified as qualifying comprehensive smoke-free legislation at t</w:t>
      </w:r>
      <w:r>
        <w:rPr>
          <w:b/>
        </w:rPr>
        <w:t>he 31 October 2022 cut-off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1150"/>
        <w:gridCol w:w="1193"/>
        <w:gridCol w:w="2274"/>
        <w:gridCol w:w="1166"/>
        <w:gridCol w:w="2763"/>
        <w:gridCol w:w="1660"/>
      </w:tblGrid>
      <w:tr w:rsidR="003C105B" w:rsidTr="00654D74">
        <w:trPr>
          <w:cantSplit/>
          <w:tblHeader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b/>
                <w:sz w:val="14"/>
              </w:rPr>
              <w:t>Jurisdiction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b/>
                <w:sz w:val="14"/>
              </w:rPr>
              <w:t>Vehicle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b/>
                <w:sz w:val="14"/>
              </w:rPr>
              <w:t>Legal instrument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b/>
                <w:sz w:val="14"/>
              </w:rPr>
              <w:t>Qualifying year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b/>
                <w:sz w:val="14"/>
              </w:rPr>
              <w:t>Key textual basis / audit note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b/>
                <w:sz w:val="14"/>
              </w:rPr>
              <w:t>Later external check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Beijing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北京市控制吸烟条例</w:t>
            </w:r>
            <w:r>
              <w:rPr>
                <w:rFonts w:eastAsia="Arial"/>
                <w:sz w:val="14"/>
              </w:rPr>
              <w:t xml:space="preserve"> (Beijing Smoking Control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2015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9: indoor public places, indoor</w:t>
            </w:r>
            <w:r>
              <w:rPr>
                <w:rFonts w:eastAsia="Arial"/>
                <w:sz w:val="14"/>
              </w:rPr>
              <w:t xml:space="preserve"> workplaces, public transport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23-city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Shanghai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上海市公共场所控制吸烟条例</w:t>
            </w:r>
            <w:r>
              <w:rPr>
                <w:rFonts w:eastAsia="Arial"/>
                <w:sz w:val="14"/>
              </w:rPr>
              <w:t xml:space="preserve"> (Shanghai Public Places Smoking Control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2017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2016 amendment established comprehensive indoor prohibition; current law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</w:t>
            </w:r>
            <w:r>
              <w:rPr>
                <w:rFonts w:eastAsia="Arial"/>
                <w:sz w:val="14"/>
              </w:rPr>
              <w:t>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Shenzhen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深圳经济特区控制吸烟条例</w:t>
            </w:r>
            <w:r>
              <w:rPr>
                <w:rFonts w:eastAsia="Arial"/>
                <w:sz w:val="14"/>
              </w:rPr>
              <w:t xml:space="preserve"> (Shenzhen SEZ Smoking Control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2014; rev. 2019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8: indoor workplaces, indoor public places, public transport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Xi'an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 xml:space="preserve">Dedicated </w:t>
            </w:r>
            <w:r>
              <w:rPr>
                <w:rFonts w:eastAsia="Arial"/>
                <w:sz w:val="14"/>
              </w:rPr>
              <w:t>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西安市控制吸烟管理办法</w:t>
            </w:r>
            <w:r>
              <w:rPr>
                <w:rFonts w:eastAsia="Arial"/>
                <w:sz w:val="14"/>
              </w:rPr>
              <w:t xml:space="preserve"> (Xi’an Smoking Control Measures)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2018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11: comprehensive indoor scope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Lanzhou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兰州市公共场所控制吸烟条例及</w:t>
            </w:r>
            <w:r>
              <w:rPr>
                <w:rFonts w:eastAsia="Arial"/>
                <w:sz w:val="14"/>
              </w:rPr>
              <w:t>2018</w:t>
            </w:r>
            <w:r>
              <w:rPr>
                <w:rFonts w:eastAsia="Arial"/>
                <w:sz w:val="14"/>
              </w:rPr>
              <w:t>实施细则</w:t>
            </w:r>
            <w:r>
              <w:rPr>
                <w:rFonts w:eastAsia="Arial"/>
                <w:sz w:val="14"/>
              </w:rPr>
              <w:t xml:space="preserve"> (Lanzhou regulation + 2018 implementation rules)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2018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 xml:space="preserve">2018 rules </w:t>
            </w:r>
            <w:r>
              <w:rPr>
                <w:rFonts w:eastAsia="Arial"/>
                <w:sz w:val="14"/>
              </w:rPr>
              <w:t>established qualifying scope at survey cut-off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Rules expired 30 Nov 2023; excluded from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Qingdao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青岛市控制吸烟条例</w:t>
            </w:r>
            <w:r>
              <w:rPr>
                <w:rFonts w:eastAsia="Arial"/>
                <w:sz w:val="14"/>
              </w:rPr>
              <w:t xml:space="preserve"> (Qingdao Smoking Control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2013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 xml:space="preserve">Arts. 6-7: comprehensive indoor scope; no smoking rooms/areas in </w:t>
            </w:r>
            <w:r>
              <w:rPr>
                <w:rFonts w:eastAsia="Arial"/>
                <w:sz w:val="14"/>
              </w:rPr>
              <w:t>prohibited venues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Qinhuangdao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秦皇岛市控制吸烟办法</w:t>
            </w:r>
            <w:r>
              <w:rPr>
                <w:rFonts w:eastAsia="Arial"/>
                <w:sz w:val="14"/>
              </w:rPr>
              <w:t xml:space="preserve"> (Qinhuangdao Smoking Control Measures)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2019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11: comprehensive indoor scope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Zhangjiakou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张家口市公共场所控制吸烟条例</w:t>
            </w:r>
            <w:r>
              <w:rPr>
                <w:rFonts w:eastAsia="Arial"/>
                <w:sz w:val="14"/>
              </w:rPr>
              <w:t xml:space="preserve"> (Zhangjiakou Public Places Smoking Control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2020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11: comprehensive indoor scope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Wuhan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武汉市控制吸烟条例</w:t>
            </w:r>
            <w:r>
              <w:rPr>
                <w:rFonts w:eastAsia="Arial"/>
                <w:sz w:val="14"/>
              </w:rPr>
              <w:t xml:space="preserve"> (Wuhan Smoking Control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2020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 xml:space="preserve">Core scope provision covers </w:t>
            </w:r>
            <w:r>
              <w:rPr>
                <w:rFonts w:eastAsia="Arial"/>
                <w:sz w:val="14"/>
              </w:rPr>
              <w:t>indoor public/workplaces and public transport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Hangzhou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杭州市公共场所控制吸烟条例</w:t>
            </w:r>
            <w:r>
              <w:rPr>
                <w:rFonts w:eastAsia="Arial"/>
                <w:sz w:val="14"/>
              </w:rPr>
              <w:t xml:space="preserve"> (Hangzhou Public Places Smoking Control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2022 comprehensive phase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2021 amendment / 2022 phase removed remaining indoor</w:t>
            </w:r>
            <w:r>
              <w:rPr>
                <w:rFonts w:eastAsia="Arial"/>
                <w:sz w:val="14"/>
              </w:rPr>
              <w:t xml:space="preserve"> exceptions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lastRenderedPageBreak/>
              <w:t>Xining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Dedicated tobacco-control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西宁市控制吸烟条例</w:t>
            </w:r>
            <w:r>
              <w:rPr>
                <w:rFonts w:eastAsia="Arial"/>
                <w:sz w:val="14"/>
              </w:rPr>
              <w:t xml:space="preserve"> (Xining Smoking Control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2015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Core scope provisions establish comprehensive indoor protection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Changchun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Patriotic health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长春市爱国卫生条例</w:t>
            </w:r>
            <w:r>
              <w:rPr>
                <w:rFonts w:eastAsia="Arial"/>
                <w:sz w:val="14"/>
              </w:rPr>
              <w:t xml:space="preserve"> (Changchun Patriotic Health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2017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22: indoor public places, workplaces, public transport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Yangquan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Patriotic health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阳泉市爱国卫生条例</w:t>
            </w:r>
            <w:r>
              <w:rPr>
                <w:rFonts w:eastAsia="Arial"/>
                <w:sz w:val="14"/>
              </w:rPr>
              <w:t xml:space="preserve"> (Yangquan Patriotic Health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2019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23: indoor public places</w:t>
            </w:r>
            <w:r>
              <w:rPr>
                <w:rFonts w:eastAsia="Arial"/>
                <w:sz w:val="14"/>
              </w:rPr>
              <w:t>, workplaces, public transport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Zhoukou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周口市文明行为促进条例</w:t>
            </w:r>
            <w:r>
              <w:rPr>
                <w:rFonts w:eastAsia="Arial"/>
                <w:sz w:val="14"/>
              </w:rPr>
              <w:t xml:space="preserve"> (Zhoukou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2021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11(1): indoor public places, workplaces, public transport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Chenzhou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郴州市文明行为促进条例</w:t>
            </w:r>
            <w:r>
              <w:rPr>
                <w:rFonts w:eastAsia="Arial"/>
                <w:sz w:val="14"/>
              </w:rPr>
              <w:t xml:space="preserve"> (Chenzhou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2021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Smoke-free clause covers all three Article 8 domains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Xinyang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信阳市文明行为促进条例</w:t>
            </w:r>
            <w:r>
              <w:rPr>
                <w:rFonts w:eastAsia="Arial"/>
                <w:sz w:val="14"/>
              </w:rPr>
              <w:t xml:space="preserve"> (Xinyang Civilization Promotion </w:t>
            </w:r>
            <w:r>
              <w:rPr>
                <w:rFonts w:eastAsia="Arial"/>
                <w:sz w:val="14"/>
              </w:rPr>
              <w:t>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2020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Smoke-free clause covers all three Article 8 domains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Hainan Province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Patriotic health / province-level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海南省爱国卫生管理条例</w:t>
            </w:r>
            <w:r>
              <w:rPr>
                <w:rFonts w:eastAsia="Arial"/>
                <w:sz w:val="14"/>
              </w:rPr>
              <w:t xml:space="preserve"> (Hainan Patriotic Health Regulation), 2020 revision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2020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 xml:space="preserve">Province-level prohibition used in </w:t>
            </w:r>
            <w:r>
              <w:rPr>
                <w:rFonts w:eastAsia="Arial"/>
                <w:sz w:val="14"/>
              </w:rPr>
              <w:t>design-stage coding; not directly comparable with city-only inventories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Special unit; Hainan-exclusion sensitivity performed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Dandong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丹东市文明行为促进条例</w:t>
            </w:r>
            <w:r>
              <w:rPr>
                <w:rFonts w:eastAsia="Arial"/>
                <w:sz w:val="14"/>
              </w:rPr>
              <w:t xml:space="preserve"> (Dandong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2021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 xml:space="preserve">Study coding confirmed comprehensive </w:t>
            </w:r>
            <w:r>
              <w:rPr>
                <w:rFonts w:eastAsia="Arial"/>
                <w:sz w:val="14"/>
              </w:rPr>
              <w:t>indoor scope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Putian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莆田市文明行为促进条例</w:t>
            </w:r>
            <w:r>
              <w:rPr>
                <w:rFonts w:eastAsia="Arial"/>
                <w:sz w:val="14"/>
              </w:rPr>
              <w:t xml:space="preserve"> (Putian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2021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42 cross-references smoking in indoor public/workplaces/public transport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Hanzhong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</w:t>
            </w:r>
            <w:r>
              <w:rPr>
                <w:rFonts w:eastAsia="Arial"/>
                <w:sz w:val="14"/>
              </w:rPr>
              <w:t>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汉中市文明行为促进条例</w:t>
            </w:r>
            <w:r>
              <w:rPr>
                <w:rFonts w:eastAsia="Arial"/>
                <w:sz w:val="14"/>
              </w:rPr>
              <w:t xml:space="preserve"> (Hanzhong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2022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Smoke-free clause covers all three Article 8 domains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Nanping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南平市文明行为促进条例</w:t>
            </w:r>
            <w:r>
              <w:rPr>
                <w:rFonts w:eastAsia="Arial"/>
                <w:sz w:val="14"/>
              </w:rPr>
              <w:t xml:space="preserve"> (Nanping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2022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Art. 11(6): no smoking in indoor public places, workplaces, public transport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Yulin (Shaanxi)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榆林市文明行为促进条例</w:t>
            </w:r>
            <w:r>
              <w:rPr>
                <w:rFonts w:eastAsia="Arial"/>
                <w:sz w:val="14"/>
              </w:rPr>
              <w:t xml:space="preserve"> (Yulin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2022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 xml:space="preserve">Study coding confirmed comprehensive indoor </w:t>
            </w:r>
            <w:r>
              <w:rPr>
                <w:rFonts w:eastAsia="Arial"/>
                <w:sz w:val="14"/>
              </w:rPr>
              <w:t>scope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Hebi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鹤壁市文明行为促进条例</w:t>
            </w:r>
            <w:r>
              <w:rPr>
                <w:rFonts w:eastAsia="Arial"/>
                <w:sz w:val="14"/>
              </w:rPr>
              <w:t xml:space="preserve"> (Hebi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2019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Study coding confirmed comprehensive indoor scope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  <w:tr w:rsidR="003C105B" w:rsidTr="00654D74">
        <w:trPr>
          <w:cantSplit/>
          <w:jc w:val="center"/>
        </w:trPr>
        <w:tc>
          <w:tcPr>
            <w:tcW w:w="1224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Xinxiang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Civilization promotion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新乡市文明行为促进条例</w:t>
            </w:r>
            <w:r>
              <w:rPr>
                <w:rFonts w:eastAsia="Arial"/>
                <w:sz w:val="14"/>
              </w:rPr>
              <w:t xml:space="preserve"> </w:t>
            </w:r>
            <w:r>
              <w:rPr>
                <w:rFonts w:eastAsia="Arial"/>
                <w:sz w:val="14"/>
              </w:rPr>
              <w:t>(Xinxiang Civilization Promotion Regulation)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2022</w:t>
            </w:r>
          </w:p>
        </w:tc>
        <w:tc>
          <w:tcPr>
            <w:tcW w:w="360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Core smoke-free clause covers all three Article 8 domains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4"/>
              </w:rPr>
              <w:t>Corroborated in 2026 inventory</w:t>
            </w:r>
          </w:p>
        </w:tc>
      </w:tr>
    </w:tbl>
    <w:p w:rsidR="003C105B" w:rsidRDefault="00AC60F6">
      <w:r>
        <w:rPr>
          <w:rFonts w:ascii="Times New Roman" w:eastAsia="Times New Roman" w:hAnsi="Times New Roman"/>
          <w:sz w:val="22"/>
        </w:rPr>
        <w:t>Study classification required complete prohibition in all indoor public places, all indoor workplaces, and public tr</w:t>
      </w:r>
      <w:r>
        <w:rPr>
          <w:rFonts w:ascii="Times New Roman" w:eastAsia="Times New Roman" w:hAnsi="Times New Roman"/>
          <w:sz w:val="22"/>
        </w:rPr>
        <w:t xml:space="preserve">ansport, without indoor smoking rooms. Two graduate researchers independently reviewed the legal texts at the 2022 cut-off and reached the same classifications. The later cross-check used Chen et al. (2026), which analyzed cities identified by the Healthy </w:t>
      </w:r>
      <w:r>
        <w:rPr>
          <w:rFonts w:ascii="Times New Roman" w:eastAsia="Times New Roman" w:hAnsi="Times New Roman"/>
          <w:sz w:val="22"/>
        </w:rPr>
        <w:t xml:space="preserve">China Smoke-Free Legislation platform. Twenty-two of the 24 city-level qualifying jurisdictions in the present sampling frame appear in that 2026 inventory. Lanzhou is a time-specific exception: its 2018 implementation rules met the study criterion at the </w:t>
      </w:r>
      <w:r>
        <w:rPr>
          <w:rFonts w:ascii="Times New Roman" w:eastAsia="Times New Roman" w:hAnsi="Times New Roman"/>
          <w:sz w:val="22"/>
        </w:rPr>
        <w:t>survey cut-off but expired on 30 November 2023. Hainan is the only province-level unit and is examined separately in sensitivity analysis. Where an article number was not retained in the archived study files, the table reports the legal basis that could be</w:t>
      </w:r>
      <w:r>
        <w:rPr>
          <w:rFonts w:ascii="Times New Roman" w:eastAsia="Times New Roman" w:hAnsi="Times New Roman"/>
          <w:sz w:val="22"/>
        </w:rPr>
        <w:t xml:space="preserve"> recovered and leaves the article number unspecified.</w:t>
      </w:r>
    </w:p>
    <w:p w:rsidR="003C105B" w:rsidRDefault="00AC60F6">
      <w:r>
        <w:rPr>
          <w:b/>
        </w:rPr>
        <w:t>Supplementary Table S4B. Comparison jurisdictions in the 2022 sampling frame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4118"/>
        <w:gridCol w:w="6088"/>
      </w:tblGrid>
      <w:tr w:rsidR="003C105B" w:rsidTr="00654D74">
        <w:trPr>
          <w:cantSplit/>
          <w:tblHeader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Jurisdiction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Design-stage classification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Tianjin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Nanjing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Guangzhou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Zhengzhou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Hohhot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Jinan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Xingtai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Hengshui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Chongqing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Shenyang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 xml:space="preserve">Comparison </w:t>
            </w:r>
            <w:r>
              <w:rPr>
                <w:rFonts w:eastAsia="Arial"/>
                <w:sz w:val="17"/>
              </w:rPr>
              <w:t>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Ningbo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Yinchuan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Datong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lastRenderedPageBreak/>
              <w:t>Xuchang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Zhuzhou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Zhumadian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Xiamen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Liaoyang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Longyan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Baoji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Sanming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Ordos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Puyang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  <w:tr w:rsidR="003C105B" w:rsidTr="00654D74">
        <w:trPr>
          <w:cantSplit/>
          <w:jc w:val="center"/>
        </w:trPr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Anyang</w:t>
            </w:r>
          </w:p>
        </w:tc>
        <w:tc>
          <w:tcPr>
            <w:tcW w:w="4896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Comparison jurisdiction</w:t>
            </w:r>
          </w:p>
        </w:tc>
      </w:tr>
    </w:tbl>
    <w:p w:rsidR="003C105B" w:rsidRDefault="00AC60F6">
      <w:r>
        <w:rPr>
          <w:rFonts w:ascii="Times New Roman" w:eastAsia="Times New Roman" w:hAnsi="Times New Roman"/>
          <w:sz w:val="22"/>
        </w:rPr>
        <w:t xml:space="preserve">These jurisdictions did not meet the </w:t>
      </w:r>
      <w:r>
        <w:rPr>
          <w:rFonts w:ascii="Times New Roman" w:eastAsia="Times New Roman" w:hAnsi="Times New Roman"/>
          <w:sz w:val="22"/>
        </w:rPr>
        <w:t>study's strict qualifying definition at the 31 October 2022 cut-off. This does not mean that they lacked tobacco-control rules; some had partial or venue-specific smoke-free provisions.</w:t>
      </w:r>
    </w:p>
    <w:p w:rsidR="003C105B" w:rsidRDefault="00AC60F6">
      <w:r w:rsidRPr="004E1AD0">
        <w:rPr>
          <w:b/>
        </w:rPr>
        <w:t xml:space="preserve">Supplementary Table S5. Distribution of the number of indoor settings </w:t>
      </w:r>
      <w:r w:rsidRPr="004E1AD0">
        <w:rPr>
          <w:b/>
        </w:rPr>
        <w:t>supported among adult general supporters (n=3,119).</w:t>
      </w:r>
      <w:r>
        <w:rPr>
          <w:rFonts w:ascii="Times New Roman" w:eastAsia="Times New Roman" w:hAnsi="Times New Roman"/>
          <w:sz w:val="22"/>
        </w:rPr>
        <w:t xml:space="preserve"> The distribution is also shown in Supplementary Figure S1.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5768"/>
        <w:gridCol w:w="2219"/>
        <w:gridCol w:w="2219"/>
      </w:tblGrid>
      <w:tr w:rsidR="003C105B" w:rsidTr="00654D74">
        <w:trPr>
          <w:cantSplit/>
          <w:tblHeader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Number of settings supported (0-13)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n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%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0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80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2.6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13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0.4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0.2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0.2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4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0.2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13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0.4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24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0.8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34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1.1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8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57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1.8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9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70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2.2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10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157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5.0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11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232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7.4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12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379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12.2</w:t>
            </w:r>
          </w:p>
        </w:tc>
      </w:tr>
      <w:tr w:rsidR="003C105B" w:rsidTr="00654D74">
        <w:trPr>
          <w:cantSplit/>
          <w:jc w:val="center"/>
        </w:trPr>
        <w:tc>
          <w:tcPr>
            <w:tcW w:w="374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13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2,043</w:t>
            </w:r>
          </w:p>
        </w:tc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65.5</w:t>
            </w:r>
          </w:p>
        </w:tc>
      </w:tr>
    </w:tbl>
    <w:p w:rsidR="003C105B" w:rsidRDefault="00AC60F6" w:rsidP="00654D74">
      <w:pPr>
        <w:spacing w:before="240"/>
      </w:pPr>
      <w:r>
        <w:rPr>
          <w:b/>
        </w:rPr>
        <w:t>Supplementary Table S6. Full modified Poisson model for complete setting-specific support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5346"/>
        <w:gridCol w:w="1134"/>
        <w:gridCol w:w="2430"/>
        <w:gridCol w:w="1296"/>
      </w:tblGrid>
      <w:tr w:rsidR="003C105B" w:rsidTr="00654D74">
        <w:trPr>
          <w:cantSplit/>
          <w:tblHeader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Characteristic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aPR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95% CI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P value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Smoking: previous vs never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0.918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0.862-0.978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0.008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Smoking: current vs never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0.828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0.744-0.923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&lt;0.001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Qualifying-law jurisdiction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0.941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0.889-0.996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0.037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Prior awareness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1.091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0.981-1.213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0.109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Clear secondhand-smoke knowledge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1.119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1.013-1.236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0.027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Clear thirdhand-smoke knowledge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1.205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1.129-1.286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&lt;0.001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 xml:space="preserve">Recent information: one </w:t>
            </w:r>
            <w:r>
              <w:rPr>
                <w:rFonts w:eastAsia="Arial"/>
                <w:sz w:val="16"/>
              </w:rPr>
              <w:t>medium vs none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0.827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0.744-0.919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&lt;0.001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Recent information: multiple media vs none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1.014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0.933-1.102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0.736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Female sex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1.052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1.002-1.103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0.040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Age 25-59 vs 18-24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1.290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1.186-1.404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&lt;0.001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Age &gt;=60 vs 18-24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1.101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0.993-1.221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0.067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College diploma vs high</w:t>
            </w:r>
            <w:r>
              <w:rPr>
                <w:rFonts w:eastAsia="Arial"/>
                <w:sz w:val="16"/>
              </w:rPr>
              <w:t xml:space="preserve"> school/lower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1.003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0.926-1.087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0.941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Bachelor+ vs high school/lower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0.984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0.917-1.057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0.662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Rural vs urban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0.986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0.937-1.037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0.574</w:t>
            </w:r>
          </w:p>
        </w:tc>
      </w:tr>
      <w:tr w:rsidR="003C105B" w:rsidTr="00654D74">
        <w:trPr>
          <w:cantSplit/>
          <w:jc w:val="center"/>
        </w:trPr>
        <w:tc>
          <w:tcPr>
            <w:tcW w:w="47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Urban-rural fringe vs urban</w:t>
            </w:r>
          </w:p>
        </w:tc>
        <w:tc>
          <w:tcPr>
            <w:tcW w:w="100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1.088</w:t>
            </w:r>
          </w:p>
        </w:tc>
        <w:tc>
          <w:tcPr>
            <w:tcW w:w="216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0.985-1.202</w:t>
            </w:r>
          </w:p>
        </w:tc>
        <w:tc>
          <w:tcPr>
            <w:tcW w:w="115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0.097</w:t>
            </w:r>
          </w:p>
        </w:tc>
      </w:tr>
    </w:tbl>
    <w:p w:rsidR="003C105B" w:rsidRDefault="00AC60F6">
      <w:r>
        <w:rPr>
          <w:rFonts w:ascii="Times New Roman" w:eastAsia="Times New Roman" w:hAnsi="Times New Roman"/>
          <w:sz w:val="22"/>
        </w:rPr>
        <w:t xml:space="preserve">No multiplicity adjustment was applied; interpretation focuses on </w:t>
      </w:r>
      <w:r>
        <w:rPr>
          <w:rFonts w:ascii="Times New Roman" w:eastAsia="Times New Roman" w:hAnsi="Times New Roman"/>
          <w:sz w:val="22"/>
        </w:rPr>
        <w:t xml:space="preserve">effect estimates and confidence intervals. Recent-information coding was checked against the original three response options and contained no missing/unknown category. The exact estimates for current smoking and one-medium exposure differ despite rounding </w:t>
      </w:r>
      <w:r>
        <w:rPr>
          <w:rFonts w:ascii="Times New Roman" w:eastAsia="Times New Roman" w:hAnsi="Times New Roman"/>
          <w:sz w:val="22"/>
        </w:rPr>
        <w:t>to the same 0.83 (0.74-0.92) in the main text. The full model is also shown in Supplementary Figure S2.</w:t>
      </w:r>
    </w:p>
    <w:p w:rsidR="003C105B" w:rsidRDefault="00AC60F6">
      <w:r>
        <w:rPr>
          <w:b/>
        </w:rPr>
        <w:t>Supplementary Table S7. Sensitivity analyses addressing sampling and outcome specification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2741"/>
        <w:gridCol w:w="2777"/>
        <w:gridCol w:w="2247"/>
        <w:gridCol w:w="2441"/>
      </w:tblGrid>
      <w:tr w:rsidR="003C105B" w:rsidTr="00654D74">
        <w:trPr>
          <w:cantSplit/>
          <w:tblHeader/>
          <w:jc w:val="center"/>
        </w:trPr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lastRenderedPageBreak/>
              <w:t>Sensitivity analysis</w:t>
            </w:r>
          </w:p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Estimate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Result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Comment</w:t>
            </w:r>
          </w:p>
        </w:tc>
      </w:tr>
      <w:tr w:rsidR="003C105B" w:rsidTr="00654D74">
        <w:trPr>
          <w:cantSplit/>
          <w:jc w:val="center"/>
        </w:trPr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 xml:space="preserve">Targeted </w:t>
            </w:r>
            <w:r>
              <w:rPr>
                <w:rFonts w:eastAsia="Arial"/>
                <w:sz w:val="16"/>
              </w:rPr>
              <w:t>current-smoking calibration: 2018 sex-specific margins</w:t>
            </w:r>
          </w:p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Prompted general support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96.7%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Male current smoking 50.5%; female 2.1%</w:t>
            </w:r>
          </w:p>
        </w:tc>
      </w:tr>
      <w:tr w:rsidR="003C105B" w:rsidTr="00654D74">
        <w:trPr>
          <w:cantSplit/>
          <w:jc w:val="center"/>
        </w:trPr>
        <w:tc>
          <w:tcPr>
            <w:tcW w:w="3456" w:type="dxa"/>
            <w:vAlign w:val="center"/>
          </w:tcPr>
          <w:p w:rsidR="003C105B" w:rsidRDefault="003C105B"/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Complete all-13 support among prompted supporters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64.3%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Primary unweighted estimate 65.5%</w:t>
            </w:r>
          </w:p>
        </w:tc>
      </w:tr>
      <w:tr w:rsidR="003C105B" w:rsidTr="00654D74">
        <w:trPr>
          <w:cantSplit/>
          <w:jc w:val="center"/>
        </w:trPr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Targeted current-smoking calibration:</w:t>
            </w:r>
            <w:r>
              <w:rPr>
                <w:rFonts w:eastAsia="Arial"/>
                <w:sz w:val="16"/>
              </w:rPr>
              <w:t xml:space="preserve"> 2024 sex-specific margins</w:t>
            </w:r>
          </w:p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Prompted general support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96.9%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Male current smoking 43.9%; female 1.8%</w:t>
            </w:r>
          </w:p>
        </w:tc>
      </w:tr>
      <w:tr w:rsidR="003C105B" w:rsidTr="00654D74">
        <w:trPr>
          <w:cantSplit/>
          <w:jc w:val="center"/>
        </w:trPr>
        <w:tc>
          <w:tcPr>
            <w:tcW w:w="3456" w:type="dxa"/>
            <w:vAlign w:val="center"/>
          </w:tcPr>
          <w:p w:rsidR="003C105B" w:rsidRDefault="003C105B"/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Complete all-13 support among prompted supporters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64.6%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Primary unweighted estimate 65.5%</w:t>
            </w:r>
          </w:p>
        </w:tc>
      </w:tr>
      <w:tr w:rsidR="003C105B" w:rsidTr="00654D74">
        <w:trPr>
          <w:cantSplit/>
          <w:jc w:val="center"/>
        </w:trPr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Poisson count model (0-13 settings)</w:t>
            </w:r>
          </w:p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Current smoking vs never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 xml:space="preserve">IRR </w:t>
            </w:r>
            <w:r>
              <w:rPr>
                <w:rFonts w:eastAsia="Arial"/>
                <w:sz w:val="16"/>
              </w:rPr>
              <w:t>0.956 (0.931-0.982)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p=0.001</w:t>
            </w:r>
          </w:p>
        </w:tc>
      </w:tr>
      <w:tr w:rsidR="003C105B" w:rsidTr="00654D74">
        <w:trPr>
          <w:cantSplit/>
          <w:jc w:val="center"/>
        </w:trPr>
        <w:tc>
          <w:tcPr>
            <w:tcW w:w="3456" w:type="dxa"/>
            <w:vAlign w:val="center"/>
          </w:tcPr>
          <w:p w:rsidR="003C105B" w:rsidRDefault="003C105B"/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Clear secondhand-smoke knowledge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IRR 1.038 (1.005-1.071)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p=0.022</w:t>
            </w:r>
          </w:p>
        </w:tc>
      </w:tr>
      <w:tr w:rsidR="003C105B" w:rsidTr="00654D74">
        <w:trPr>
          <w:cantSplit/>
          <w:jc w:val="center"/>
        </w:trPr>
        <w:tc>
          <w:tcPr>
            <w:tcW w:w="3456" w:type="dxa"/>
            <w:vAlign w:val="center"/>
          </w:tcPr>
          <w:p w:rsidR="003C105B" w:rsidRDefault="003C105B"/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Clear thirdhand-smoke knowledge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IRR 1.028 (1.010-1.045)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p=0.002</w:t>
            </w:r>
          </w:p>
        </w:tc>
      </w:tr>
      <w:tr w:rsidR="003C105B" w:rsidTr="00654D74">
        <w:trPr>
          <w:cantSplit/>
          <w:jc w:val="center"/>
        </w:trPr>
        <w:tc>
          <w:tcPr>
            <w:tcW w:w="3456" w:type="dxa"/>
            <w:vAlign w:val="center"/>
          </w:tcPr>
          <w:p w:rsidR="003C105B" w:rsidRDefault="003C105B"/>
        </w:tc>
        <w:tc>
          <w:tcPr>
            <w:tcW w:w="3456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Qualifying-law jurisdiction</w:t>
            </w:r>
          </w:p>
        </w:tc>
        <w:tc>
          <w:tcPr>
            <w:tcW w:w="288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IRR 0.998 (0.977-1.019)</w:t>
            </w:r>
          </w:p>
        </w:tc>
        <w:tc>
          <w:tcPr>
            <w:tcW w:w="3024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p=0.814</w:t>
            </w:r>
          </w:p>
        </w:tc>
      </w:tr>
    </w:tbl>
    <w:p w:rsidR="003C105B" w:rsidRDefault="00AC60F6">
      <w:r>
        <w:rPr>
          <w:rFonts w:ascii="Times New Roman" w:eastAsia="Times New Roman" w:hAnsi="Times New Roman"/>
          <w:sz w:val="22"/>
        </w:rPr>
        <w:t xml:space="preserve">Calibration altered current </w:t>
      </w:r>
      <w:r>
        <w:rPr>
          <w:rFonts w:ascii="Times New Roman" w:eastAsia="Times New Roman" w:hAnsi="Times New Roman"/>
          <w:sz w:val="22"/>
        </w:rPr>
        <w:t>versus non-current weights within sex while retaining the sample sex distribution. Full age-sex-smoking-status raking was not performed because the survey's previous-smoking category is not directly comparable with standard former-smoker surveillance categ</w:t>
      </w:r>
      <w:r>
        <w:rPr>
          <w:rFonts w:ascii="Times New Roman" w:eastAsia="Times New Roman" w:hAnsi="Times New Roman"/>
          <w:sz w:val="22"/>
        </w:rPr>
        <w:t>ories.</w:t>
      </w:r>
    </w:p>
    <w:p w:rsidR="003C105B" w:rsidRDefault="00AC60F6">
      <w:r>
        <w:rPr>
          <w:b/>
        </w:rPr>
        <w:t>Supplementary Table S8. Cluster and jurisdiction robustness checks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918"/>
        <w:gridCol w:w="2906"/>
        <w:gridCol w:w="3040"/>
      </w:tblGrid>
      <w:tr w:rsidR="003C105B">
        <w:trPr>
          <w:cantSplit/>
          <w:tblHeader/>
          <w:jc w:val="center"/>
        </w:trPr>
        <w:tc>
          <w:tcPr>
            <w:tcW w:w="4320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Check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Parameter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b/>
                <w:sz w:val="16"/>
              </w:rPr>
              <w:t>Result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Leave-one-jurisdiction-out cluster jackknife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Previous smoking vs never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aPR 0.918 (approx. 95% CI 0.861-0.980)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3C105B"/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Current smoking vs never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 xml:space="preserve">aPR 0.828 </w:t>
            </w:r>
            <w:r>
              <w:rPr>
                <w:rFonts w:eastAsia="Arial"/>
                <w:sz w:val="16"/>
              </w:rPr>
              <w:t>(0.741-0.926)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3C105B"/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Clear secondhand-smoke knowledge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aPR 1.119 (1.009-1.240)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3C105B"/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Clear thirdhand-smoke knowledge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aPR 1.205 (1.127-1.289)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Excluding Hainan Province (47 jurisdictions; n=3,052 supporters)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Previous smoking vs never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aPR 0.922 (0.865-0.983)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3C105B"/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Current</w:t>
            </w:r>
            <w:r>
              <w:rPr>
                <w:rFonts w:eastAsia="Arial"/>
                <w:sz w:val="16"/>
              </w:rPr>
              <w:t xml:space="preserve"> smoking vs never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aPR 0.843 (0.760-0.935)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3C105B"/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Qualifying-law jurisdiction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aPR 0.942 (0.889-0.999)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3C105B"/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Clear secondhand-smoke knowledge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aPR 1.119 (1.010-1.239)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3C105B"/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Clear thirdhand-smoke knowledge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aPR 1.216 (1.140-1.297)</w:t>
            </w:r>
          </w:p>
        </w:tc>
      </w:tr>
      <w:tr w:rsidR="003C105B">
        <w:trPr>
          <w:cantSplit/>
          <w:jc w:val="center"/>
        </w:trPr>
        <w:tc>
          <w:tcPr>
            <w:tcW w:w="4320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GEE exchangeable working correlation</w:t>
            </w:r>
          </w:p>
        </w:tc>
        <w:tc>
          <w:tcPr>
            <w:tcW w:w="3168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Withi</w:t>
            </w:r>
            <w:r>
              <w:rPr>
                <w:rFonts w:eastAsia="Arial"/>
                <w:sz w:val="16"/>
              </w:rPr>
              <w:t>n-jurisdiction correlation</w:t>
            </w:r>
          </w:p>
        </w:tc>
        <w:tc>
          <w:tcPr>
            <w:tcW w:w="3312" w:type="dxa"/>
            <w:vAlign w:val="center"/>
          </w:tcPr>
          <w:p w:rsidR="003C105B" w:rsidRDefault="00AC60F6">
            <w:r>
              <w:rPr>
                <w:rFonts w:eastAsia="Arial"/>
                <w:sz w:val="16"/>
              </w:rPr>
              <w:t>approximately 0.008</w:t>
            </w:r>
          </w:p>
        </w:tc>
      </w:tr>
    </w:tbl>
    <w:p w:rsidR="003C105B" w:rsidRDefault="00AC60F6">
      <w:r>
        <w:rPr>
          <w:rFonts w:ascii="Times New Roman" w:eastAsia="Times New Roman" w:hAnsi="Times New Roman"/>
          <w:sz w:val="22"/>
        </w:rPr>
        <w:t xml:space="preserve">The low GEE working correlation indicates little residual clustering for the modeled outcome within this online quota sample and should not be generalized to population-level jurisdictional similarity. </w:t>
      </w:r>
      <w:r>
        <w:rPr>
          <w:rFonts w:ascii="Times New Roman" w:eastAsia="Times New Roman" w:hAnsi="Times New Roman"/>
          <w:sz w:val="22"/>
        </w:rPr>
        <w:t>Leave-one-jurisdiction-out intervals use a cluster jackknife approximation. Key estimates across specifications are shown in Supplementary Figure S3.</w:t>
      </w:r>
    </w:p>
    <w:p w:rsidR="003C105B" w:rsidRDefault="00AC60F6">
      <w:r>
        <w:rPr>
          <w:b/>
        </w:rPr>
        <w:t>Supplementary Table S9. Multicollinearity diagnostics</w:t>
      </w:r>
    </w:p>
    <w:tbl>
      <w:tblPr>
        <w:tblStyle w:val="aff1"/>
        <w:tblW w:w="10206" w:type="dxa"/>
        <w:jc w:val="center"/>
        <w:tblLook w:val="04A0" w:firstRow="1" w:lastRow="0" w:firstColumn="1" w:lastColumn="0" w:noHBand="0" w:noVBand="1"/>
      </w:tblPr>
      <w:tblGrid>
        <w:gridCol w:w="7817"/>
        <w:gridCol w:w="2389"/>
      </w:tblGrid>
      <w:tr w:rsidR="003C105B" w:rsidTr="00654D74">
        <w:trPr>
          <w:cantSplit/>
          <w:tblHeader/>
          <w:jc w:val="center"/>
        </w:trPr>
        <w:tc>
          <w:tcPr>
            <w:tcW w:w="5184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Diagnostic</w:t>
            </w:r>
          </w:p>
        </w:tc>
        <w:tc>
          <w:tcPr>
            <w:tcW w:w="1584" w:type="dxa"/>
            <w:vAlign w:val="center"/>
          </w:tcPr>
          <w:p w:rsidR="003C105B" w:rsidRDefault="00AC60F6">
            <w:r>
              <w:rPr>
                <w:rFonts w:eastAsia="Arial"/>
                <w:b/>
                <w:sz w:val="17"/>
              </w:rPr>
              <w:t>Value</w:t>
            </w:r>
          </w:p>
        </w:tc>
      </w:tr>
      <w:tr w:rsidR="003C105B" w:rsidTr="00654D74">
        <w:trPr>
          <w:cantSplit/>
          <w:jc w:val="center"/>
        </w:trPr>
        <w:tc>
          <w:tcPr>
            <w:tcW w:w="518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Prior awareness</w:t>
            </w:r>
          </w:p>
        </w:tc>
        <w:tc>
          <w:tcPr>
            <w:tcW w:w="158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1.10</w:t>
            </w:r>
          </w:p>
        </w:tc>
      </w:tr>
      <w:tr w:rsidR="003C105B" w:rsidTr="00654D74">
        <w:trPr>
          <w:cantSplit/>
          <w:jc w:val="center"/>
        </w:trPr>
        <w:tc>
          <w:tcPr>
            <w:tcW w:w="518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Clear second</w:t>
            </w:r>
            <w:r>
              <w:rPr>
                <w:rFonts w:eastAsia="Arial"/>
                <w:sz w:val="17"/>
              </w:rPr>
              <w:t>hand-smoke knowledge</w:t>
            </w:r>
          </w:p>
        </w:tc>
        <w:tc>
          <w:tcPr>
            <w:tcW w:w="158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1.12</w:t>
            </w:r>
          </w:p>
        </w:tc>
      </w:tr>
      <w:tr w:rsidR="003C105B" w:rsidTr="00654D74">
        <w:trPr>
          <w:cantSplit/>
          <w:jc w:val="center"/>
        </w:trPr>
        <w:tc>
          <w:tcPr>
            <w:tcW w:w="518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Clear thirdhand-smoke knowledge</w:t>
            </w:r>
            <w:bookmarkStart w:id="0" w:name="_GoBack"/>
            <w:bookmarkEnd w:id="0"/>
          </w:p>
        </w:tc>
        <w:tc>
          <w:tcPr>
            <w:tcW w:w="158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1.21</w:t>
            </w:r>
          </w:p>
        </w:tc>
      </w:tr>
      <w:tr w:rsidR="003C105B" w:rsidTr="00654D74">
        <w:trPr>
          <w:cantSplit/>
          <w:jc w:val="center"/>
        </w:trPr>
        <w:tc>
          <w:tcPr>
            <w:tcW w:w="518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Maximum VIF across all model predictors</w:t>
            </w:r>
          </w:p>
        </w:tc>
        <w:tc>
          <w:tcPr>
            <w:tcW w:w="1584" w:type="dxa"/>
            <w:vAlign w:val="center"/>
          </w:tcPr>
          <w:p w:rsidR="003C105B" w:rsidRDefault="00AC60F6">
            <w:r>
              <w:rPr>
                <w:rFonts w:eastAsia="Arial"/>
                <w:sz w:val="17"/>
              </w:rPr>
              <w:t>2.11</w:t>
            </w:r>
          </w:p>
        </w:tc>
      </w:tr>
    </w:tbl>
    <w:p w:rsidR="003C105B" w:rsidRDefault="00AC60F6">
      <w:r>
        <w:t xml:space="preserve">All variance inflation factors were below 2.2. Pairwise correlations among prior awareness, clear secondhand-smoke knowledge, and clear </w:t>
      </w:r>
      <w:r>
        <w:t>thirdhand-smoke knowledge were small; no material multicollinearity was detected.</w:t>
      </w:r>
    </w:p>
    <w:p w:rsidR="003C105B" w:rsidRDefault="00AC60F6">
      <w:pPr>
        <w:pStyle w:val="1"/>
      </w:pPr>
      <w:r>
        <w:lastRenderedPageBreak/>
        <w:t>Supplementary figures</w:t>
      </w:r>
    </w:p>
    <w:p w:rsidR="003C105B" w:rsidRPr="004E1AD0" w:rsidRDefault="004E1AD0">
      <w:pPr>
        <w:rPr>
          <w:b/>
        </w:rPr>
      </w:pPr>
      <w:r>
        <w:rPr>
          <w:noProof/>
        </w:rPr>
        <w:drawing>
          <wp:inline distT="0" distB="0" distL="0" distR="0" wp14:anchorId="7B644313" wp14:editId="506E2A2F">
            <wp:extent cx="5852160" cy="33569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1_Number_of_settings_support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35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60F6" w:rsidRPr="004E1AD0">
        <w:rPr>
          <w:b/>
        </w:rPr>
        <w:t>Supplementary Figure S1. Distribution of the number of indoor settings supported (0-13) among adult general supporters (n=3,119).</w:t>
      </w:r>
    </w:p>
    <w:p w:rsidR="003C105B" w:rsidRDefault="003C105B">
      <w:pPr>
        <w:jc w:val="center"/>
      </w:pPr>
    </w:p>
    <w:p w:rsidR="003C105B" w:rsidRDefault="00AC60F6">
      <w:r>
        <w:t xml:space="preserve">Percentage of adult </w:t>
      </w:r>
      <w:r>
        <w:t>general supporters by the number of specified indoor settings rated 4 or 5. The dark bar identifies complete setting-specific support (13/13 settings; 2,043/3,119, 65.5%). The inset enlarges the distribution for 0-12 settings. Shading identifies the primar</w:t>
      </w:r>
      <w:r>
        <w:t>y all-setting outcome and does not imply that 13 is a normatively correct response.</w:t>
      </w:r>
    </w:p>
    <w:p w:rsidR="003C105B" w:rsidRPr="004E1AD0" w:rsidRDefault="004E1AD0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536E31F3" wp14:editId="457F135D">
            <wp:extent cx="5852160" cy="630702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2_Full_model_forest_plo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630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60F6" w:rsidRPr="004E1AD0">
        <w:rPr>
          <w:b/>
        </w:rPr>
        <w:t>Supplementary Figure S2. Full modified Poisson model for complete setting-specific support among adult general supporters (n=3,119).</w:t>
      </w:r>
    </w:p>
    <w:p w:rsidR="003C105B" w:rsidRDefault="003C105B">
      <w:pPr>
        <w:jc w:val="center"/>
      </w:pPr>
    </w:p>
    <w:p w:rsidR="003C105B" w:rsidRDefault="00AC60F6">
      <w:r>
        <w:t>Adjusted prevalence ratios with 95% c</w:t>
      </w:r>
      <w:r>
        <w:t>onfidence intervals for all variables included simultaneously in the model. Focal correlates are shown in dark blue; additional adjustment variables are shown in grey. The open square marks the reference category, the dashed vertical line marks the null va</w:t>
      </w:r>
      <w:r>
        <w:t>lue of 1.0, and the x-axis is logarithmic. Associations are cross-sectional and are not interpreted causally.</w:t>
      </w:r>
    </w:p>
    <w:p w:rsidR="003C105B" w:rsidRDefault="004E1AD0">
      <w:r>
        <w:rPr>
          <w:noProof/>
        </w:rPr>
        <w:lastRenderedPageBreak/>
        <w:drawing>
          <wp:inline distT="0" distB="0" distL="0" distR="0" wp14:anchorId="38D52997" wp14:editId="64A95787">
            <wp:extent cx="5852160" cy="45480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3_Sensitivity_analysi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548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60F6" w:rsidRPr="004E1AD0">
        <w:rPr>
          <w:b/>
        </w:rPr>
        <w:t>Supplementary Figure S3. Robustness of key adjusted prevalence ratios across model specifications</w:t>
      </w:r>
      <w:r w:rsidR="00AC60F6">
        <w:t>.</w:t>
      </w:r>
    </w:p>
    <w:p w:rsidR="003C105B" w:rsidRDefault="003C105B">
      <w:pPr>
        <w:jc w:val="center"/>
      </w:pPr>
    </w:p>
    <w:p w:rsidR="003C105B" w:rsidRDefault="00AC60F6">
      <w:r>
        <w:t>Adjusted prevalence ratios with 95% confidenc</w:t>
      </w:r>
      <w:r>
        <w:t>e intervals for four key correlates under the primary model, a leave-one-jurisdiction-out cluster jackknife, and a model excluding Hainan Province (47 jurisdictions; n=3,052 supporters). Leave-one-jurisdiction-out intervals use a cluster jackknife approxim</w:t>
      </w:r>
      <w:r>
        <w:t>ation. The dashed vertical line marks the null value of 1.0 and the x-axis is logarithmic. No formal statistical comparison between specifications is implied.</w:t>
      </w:r>
    </w:p>
    <w:p w:rsidR="004E1AD0" w:rsidRDefault="004E1AD0">
      <w:pPr>
        <w:rPr>
          <w:b/>
        </w:rPr>
        <w:sectPr w:rsidR="004E1AD0">
          <w:footerReference w:type="default" r:id="rId11"/>
          <w:pgSz w:w="12240" w:h="15840"/>
          <w:pgMar w:top="1152" w:right="1152" w:bottom="1080" w:left="1440" w:header="720" w:footer="720" w:gutter="0"/>
          <w:cols w:space="720"/>
          <w:docGrid w:linePitch="360"/>
        </w:sectPr>
      </w:pPr>
    </w:p>
    <w:p w:rsidR="003C105B" w:rsidRDefault="00AC60F6">
      <w:r>
        <w:rPr>
          <w:b/>
        </w:rPr>
        <w:lastRenderedPageBreak/>
        <w:t>Supplementary Appendix S1. Fielded Chinese wording and English translation of questionnaire items</w:t>
      </w:r>
      <w:r>
        <w:rPr>
          <w:b/>
        </w:rPr>
        <w:t xml:space="preserve"> used in this analysis</w:t>
      </w:r>
    </w:p>
    <w:p w:rsidR="003C105B" w:rsidRDefault="00AC60F6">
      <w:r>
        <w:rPr>
          <w:rFonts w:ascii="Times New Roman" w:eastAsia="Times New Roman" w:hAnsi="Times New Roman"/>
          <w:sz w:val="22"/>
        </w:rPr>
        <w:t>Chinese wording is reproduced for the key items, particularly Q6 and Q45. English translations are functional translations used for the manuscript; response-order randomization is described in Methods.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244"/>
        <w:gridCol w:w="4321"/>
        <w:gridCol w:w="4299"/>
      </w:tblGrid>
      <w:tr w:rsidR="003C105B">
        <w:trPr>
          <w:cantSplit/>
          <w:tblHeader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b/>
                <w:sz w:val="15"/>
              </w:rPr>
              <w:t>Item</w:t>
            </w:r>
          </w:p>
        </w:tc>
        <w:tc>
          <w:tcPr>
            <w:tcW w:w="6048" w:type="dxa"/>
            <w:vAlign w:val="center"/>
          </w:tcPr>
          <w:p w:rsidR="003C105B" w:rsidRDefault="00AC60F6">
            <w:r>
              <w:rPr>
                <w:rFonts w:eastAsia="Arial"/>
                <w:b/>
                <w:sz w:val="15"/>
              </w:rPr>
              <w:t>Fielded Chinese wording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b/>
                <w:sz w:val="15"/>
              </w:rPr>
              <w:t>English translation / analytic note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Opening preamble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全面无烟立法是指应通过立法，完全禁止在全部室内公共场所、公共交通工具、室内工作场所吸烟，包括不能设置吸烟室。我国二手烟暴露率高达</w:t>
            </w:r>
            <w:r>
              <w:rPr>
                <w:rFonts w:eastAsia="Arial"/>
                <w:sz w:val="15"/>
                <w:lang w:eastAsia="zh-CN"/>
              </w:rPr>
              <w:t>68.1%</w:t>
            </w:r>
            <w:r>
              <w:rPr>
                <w:rFonts w:eastAsia="Arial"/>
                <w:sz w:val="15"/>
                <w:lang w:eastAsia="zh-CN"/>
              </w:rPr>
              <w:t>，但至今仍未有全国无烟立法。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"Comprehensive smoke-free legislation" means legislation completely prohibiting smoking in all indoor public places, p</w:t>
            </w:r>
            <w:r>
              <w:rPr>
                <w:rFonts w:eastAsia="Arial"/>
                <w:sz w:val="15"/>
              </w:rPr>
              <w:t>ublic transport, and indoor workplaces, including no smoking rooms. The preamble also stated that secondhand-smoke exposure in China was high and that national comprehensive legislation was absent.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Q1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您是否支持我国在全国层面进行全面无烟立法？</w:t>
            </w:r>
            <w:r>
              <w:rPr>
                <w:rFonts w:eastAsia="Arial"/>
                <w:sz w:val="15"/>
                <w:lang w:eastAsia="zh-CN"/>
              </w:rPr>
              <w:t xml:space="preserve"> </w:t>
            </w:r>
            <w:r>
              <w:rPr>
                <w:rFonts w:eastAsia="Arial"/>
                <w:sz w:val="15"/>
                <w:lang w:eastAsia="zh-CN"/>
              </w:rPr>
              <w:t>选项：支持；不支持。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Do you support nation</w:t>
            </w:r>
            <w:r>
              <w:rPr>
                <w:rFonts w:eastAsia="Arial"/>
                <w:sz w:val="15"/>
              </w:rPr>
              <w:t>al comprehensive smoke-free legislation in China? Support / Do not support.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Q2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您支持在以下哪类场所全面禁止吸烟（可多选）？关键选项：全面无烟立法规定的场所（室内公共场所、公共交通工具、室内工作场所）。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In which types of places do you support complete smoking prohibition? Multiple response. Key option: places covere</w:t>
            </w:r>
            <w:r>
              <w:rPr>
                <w:rFonts w:eastAsia="Arial"/>
                <w:sz w:val="15"/>
              </w:rPr>
              <w:t>d by comprehensive smoke-free legislation (indoor public places, public transport, indoor workplaces).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Q3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对于在以下具体室内公共场所全面禁烟，您有多支持，请打分（</w:t>
            </w:r>
            <w:r>
              <w:rPr>
                <w:rFonts w:eastAsia="Arial"/>
                <w:sz w:val="15"/>
                <w:lang w:eastAsia="zh-CN"/>
              </w:rPr>
              <w:t>5</w:t>
            </w:r>
            <w:r>
              <w:rPr>
                <w:rFonts w:eastAsia="Arial"/>
                <w:sz w:val="15"/>
                <w:lang w:eastAsia="zh-CN"/>
              </w:rPr>
              <w:t>分为强烈支持，</w:t>
            </w:r>
            <w:r>
              <w:rPr>
                <w:rFonts w:eastAsia="Arial"/>
                <w:sz w:val="15"/>
                <w:lang w:eastAsia="zh-CN"/>
              </w:rPr>
              <w:t>4</w:t>
            </w:r>
            <w:r>
              <w:rPr>
                <w:rFonts w:eastAsia="Arial"/>
                <w:sz w:val="15"/>
                <w:lang w:eastAsia="zh-CN"/>
              </w:rPr>
              <w:t>分为比较支持，</w:t>
            </w:r>
            <w:r>
              <w:rPr>
                <w:rFonts w:eastAsia="Arial"/>
                <w:sz w:val="15"/>
                <w:lang w:eastAsia="zh-CN"/>
              </w:rPr>
              <w:t>3</w:t>
            </w:r>
            <w:r>
              <w:rPr>
                <w:rFonts w:eastAsia="Arial"/>
                <w:sz w:val="15"/>
                <w:lang w:eastAsia="zh-CN"/>
              </w:rPr>
              <w:t>分为都可以，</w:t>
            </w:r>
            <w:r>
              <w:rPr>
                <w:rFonts w:eastAsia="Arial"/>
                <w:sz w:val="15"/>
                <w:lang w:eastAsia="zh-CN"/>
              </w:rPr>
              <w:t>2</w:t>
            </w:r>
            <w:r>
              <w:rPr>
                <w:rFonts w:eastAsia="Arial"/>
                <w:sz w:val="15"/>
                <w:lang w:eastAsia="zh-CN"/>
              </w:rPr>
              <w:t>分为比较反对，</w:t>
            </w:r>
            <w:r>
              <w:rPr>
                <w:rFonts w:eastAsia="Arial"/>
                <w:sz w:val="15"/>
                <w:lang w:eastAsia="zh-CN"/>
              </w:rPr>
              <w:t>1</w:t>
            </w:r>
            <w:r>
              <w:rPr>
                <w:rFonts w:eastAsia="Arial"/>
                <w:sz w:val="15"/>
                <w:lang w:eastAsia="zh-CN"/>
              </w:rPr>
              <w:t>分为强烈反对）。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Rate support for complete smoking prohibition in each specified indoor setting o</w:t>
            </w:r>
            <w:r>
              <w:rPr>
                <w:rFonts w:eastAsia="Arial"/>
                <w:sz w:val="15"/>
              </w:rPr>
              <w:t>n a 1-5 scale (5 strongly support to 1 strongly oppose).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Q6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您是否支持在禁止吸烟的公共场所设置吸烟室？</w:t>
            </w:r>
            <w:r>
              <w:rPr>
                <w:rFonts w:eastAsia="Arial"/>
                <w:sz w:val="15"/>
                <w:lang w:eastAsia="zh-CN"/>
              </w:rPr>
              <w:t xml:space="preserve"> </w:t>
            </w:r>
            <w:r>
              <w:rPr>
                <w:rFonts w:eastAsia="Arial"/>
                <w:sz w:val="15"/>
                <w:lang w:eastAsia="zh-CN"/>
              </w:rPr>
              <w:t>选项：支持；不支持，全面禁烟就不能设置吸烟室。补充说明：符合消防安全要求；设置明显的标识；与非吸烟室、非吸烟区隔离；远离人员密集区域和行人必经的主要通道。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 xml:space="preserve">Do you support setting up a smoking room in public places where smoking is prohibited? Support </w:t>
            </w:r>
            <w:r>
              <w:rPr>
                <w:rFonts w:eastAsia="Arial"/>
                <w:sz w:val="15"/>
              </w:rPr>
              <w:t>/ Do not support (complete prohibition should not allow smoking rooms). Additional description: meets fire-safety requirements; clear signage; separated from nonsmoking rooms/areas; away from crowded areas and major pedestrian routes.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Q15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您是否知道什么是二手烟？</w:t>
            </w:r>
            <w:r>
              <w:rPr>
                <w:rFonts w:eastAsia="Arial"/>
                <w:sz w:val="15"/>
                <w:lang w:eastAsia="zh-CN"/>
              </w:rPr>
              <w:t xml:space="preserve"> </w:t>
            </w:r>
            <w:r>
              <w:rPr>
                <w:rFonts w:eastAsia="Arial"/>
                <w:sz w:val="15"/>
                <w:lang w:eastAsia="zh-CN"/>
              </w:rPr>
              <w:t>选项：</w:t>
            </w:r>
            <w:r>
              <w:rPr>
                <w:rFonts w:eastAsia="Arial"/>
                <w:sz w:val="15"/>
                <w:lang w:eastAsia="zh-CN"/>
              </w:rPr>
              <w:t>明确知道；听说过但概念较模糊；完全没听过。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Do you know what secondhand smoke is? Clearly know / Heard of it but concept is vague / Never heard of it.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Q17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您是否知道什么是三手烟？</w:t>
            </w:r>
            <w:r>
              <w:rPr>
                <w:rFonts w:eastAsia="Arial"/>
                <w:sz w:val="15"/>
                <w:lang w:eastAsia="zh-CN"/>
              </w:rPr>
              <w:t xml:space="preserve"> </w:t>
            </w:r>
            <w:r>
              <w:rPr>
                <w:rFonts w:eastAsia="Arial"/>
                <w:sz w:val="15"/>
                <w:lang w:eastAsia="zh-CN"/>
              </w:rPr>
              <w:t>选项：明确知道；听说过但概念较模糊；完全没听过。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Do you know what thirdhand smoke is? Clearly know / Heard of it but concept is vague</w:t>
            </w:r>
            <w:r>
              <w:rPr>
                <w:rFonts w:eastAsia="Arial"/>
                <w:sz w:val="15"/>
              </w:rPr>
              <w:t xml:space="preserve"> / Never heard of it.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Q18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在本次调查前，你是否听说过全面无烟立法？</w:t>
            </w:r>
            <w:r>
              <w:rPr>
                <w:rFonts w:eastAsia="Arial"/>
                <w:sz w:val="15"/>
                <w:lang w:eastAsia="zh-CN"/>
              </w:rPr>
              <w:t xml:space="preserve"> </w:t>
            </w:r>
            <w:r>
              <w:rPr>
                <w:rFonts w:eastAsia="Arial"/>
                <w:sz w:val="15"/>
                <w:lang w:eastAsia="zh-CN"/>
              </w:rPr>
              <w:t>选项：听说过；没有听过。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Before this survey, had you heard of comprehensive smoke-free legislation? Yes / No.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Q45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您的吸烟情况：</w:t>
            </w:r>
            <w:r>
              <w:rPr>
                <w:rFonts w:eastAsia="Arial"/>
                <w:sz w:val="15"/>
                <w:lang w:eastAsia="zh-CN"/>
              </w:rPr>
              <w:t xml:space="preserve">A. </w:t>
            </w:r>
            <w:r>
              <w:rPr>
                <w:rFonts w:eastAsia="Arial"/>
                <w:sz w:val="15"/>
                <w:lang w:eastAsia="zh-CN"/>
              </w:rPr>
              <w:t>当前吸烟（现在每天或偶尔吸烟），烟龄为</w:t>
            </w:r>
            <w:r>
              <w:rPr>
                <w:rFonts w:eastAsia="Arial"/>
                <w:sz w:val="15"/>
                <w:lang w:eastAsia="zh-CN"/>
              </w:rPr>
              <w:t>____</w:t>
            </w:r>
            <w:r>
              <w:rPr>
                <w:rFonts w:eastAsia="Arial"/>
                <w:sz w:val="15"/>
                <w:lang w:eastAsia="zh-CN"/>
              </w:rPr>
              <w:t>年；</w:t>
            </w:r>
            <w:r>
              <w:rPr>
                <w:rFonts w:eastAsia="Arial"/>
                <w:sz w:val="15"/>
                <w:lang w:eastAsia="zh-CN"/>
              </w:rPr>
              <w:t xml:space="preserve">B. </w:t>
            </w:r>
            <w:r>
              <w:rPr>
                <w:rFonts w:eastAsia="Arial"/>
                <w:sz w:val="15"/>
                <w:lang w:eastAsia="zh-CN"/>
              </w:rPr>
              <w:t>以前吸烟（过去一年或一年以前吸烟，现在已戒烟），以前共吸烟</w:t>
            </w:r>
            <w:r>
              <w:rPr>
                <w:rFonts w:eastAsia="Arial"/>
                <w:sz w:val="15"/>
                <w:lang w:eastAsia="zh-CN"/>
              </w:rPr>
              <w:t>____</w:t>
            </w:r>
            <w:r>
              <w:rPr>
                <w:rFonts w:eastAsia="Arial"/>
                <w:sz w:val="15"/>
                <w:lang w:eastAsia="zh-CN"/>
              </w:rPr>
              <w:t>年，已戒烟</w:t>
            </w:r>
            <w:r>
              <w:rPr>
                <w:rFonts w:eastAsia="Arial"/>
                <w:sz w:val="15"/>
                <w:lang w:eastAsia="zh-CN"/>
              </w:rPr>
              <w:t>____</w:t>
            </w:r>
            <w:r>
              <w:rPr>
                <w:rFonts w:eastAsia="Arial"/>
                <w:sz w:val="15"/>
                <w:lang w:eastAsia="zh-CN"/>
              </w:rPr>
              <w:t>年；</w:t>
            </w:r>
            <w:r>
              <w:rPr>
                <w:rFonts w:eastAsia="Arial"/>
                <w:sz w:val="15"/>
                <w:lang w:eastAsia="zh-CN"/>
              </w:rPr>
              <w:t xml:space="preserve">C. </w:t>
            </w:r>
            <w:r>
              <w:rPr>
                <w:rFonts w:eastAsia="Arial"/>
                <w:sz w:val="15"/>
                <w:lang w:eastAsia="zh-CN"/>
              </w:rPr>
              <w:t>从未吸烟。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Smoking status</w:t>
            </w:r>
            <w:r>
              <w:rPr>
                <w:rFonts w:eastAsia="Arial"/>
                <w:sz w:val="15"/>
              </w:rPr>
              <w:t>: A. Current smoking (now smokes daily or occasionally); B. Previous smoking (smoked previously, whether within the past year or earlier, and has now quit); C. Never smoked. No lifetime-consumption threshold was specified.</w:t>
            </w:r>
          </w:p>
        </w:tc>
      </w:tr>
      <w:tr w:rsidR="003C105B">
        <w:trPr>
          <w:cantSplit/>
          <w:jc w:val="center"/>
        </w:trPr>
        <w:tc>
          <w:tcPr>
            <w:tcW w:w="144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Q47</w:t>
            </w:r>
          </w:p>
        </w:tc>
        <w:tc>
          <w:tcPr>
            <w:tcW w:w="6048" w:type="dxa"/>
            <w:vAlign w:val="center"/>
          </w:tcPr>
          <w:p w:rsidR="003C105B" w:rsidRDefault="00AC60F6">
            <w:pPr>
              <w:rPr>
                <w:lang w:eastAsia="zh-CN"/>
              </w:rPr>
            </w:pPr>
            <w:r>
              <w:rPr>
                <w:rFonts w:eastAsia="Arial"/>
                <w:sz w:val="15"/>
                <w:lang w:eastAsia="zh-CN"/>
              </w:rPr>
              <w:t>在过去</w:t>
            </w:r>
            <w:r>
              <w:rPr>
                <w:rFonts w:eastAsia="Arial"/>
                <w:sz w:val="15"/>
                <w:lang w:eastAsia="zh-CN"/>
              </w:rPr>
              <w:t>30</w:t>
            </w:r>
            <w:r>
              <w:rPr>
                <w:rFonts w:eastAsia="Arial"/>
                <w:sz w:val="15"/>
                <w:lang w:eastAsia="zh-CN"/>
              </w:rPr>
              <w:t>天内，您是否在电视、手机、报纸或杂志、街边广告牌、社区宣传栏等地方中见到有关吸烟危险、鼓励戒烟或宣传在公共场所禁烟的信息？</w:t>
            </w:r>
            <w:r>
              <w:rPr>
                <w:rFonts w:eastAsia="Arial"/>
                <w:sz w:val="15"/>
                <w:lang w:eastAsia="zh-CN"/>
              </w:rPr>
              <w:t xml:space="preserve"> </w:t>
            </w:r>
            <w:r>
              <w:rPr>
                <w:rFonts w:eastAsia="Arial"/>
                <w:sz w:val="15"/>
                <w:lang w:eastAsia="zh-CN"/>
              </w:rPr>
              <w:t>选项：从未见到过；在一种媒介中见到过；在多种媒介中见到过。</w:t>
            </w:r>
          </w:p>
        </w:tc>
        <w:tc>
          <w:tcPr>
            <w:tcW w:w="5760" w:type="dxa"/>
            <w:vAlign w:val="center"/>
          </w:tcPr>
          <w:p w:rsidR="003C105B" w:rsidRDefault="00AC60F6">
            <w:r>
              <w:rPr>
                <w:rFonts w:eastAsia="Arial"/>
                <w:sz w:val="15"/>
              </w:rPr>
              <w:t>In the past 30 days, have you seen information about smoking harms, cessation, or smoke-free public places? Never / In one type of medium / In multiple media.</w:t>
            </w:r>
          </w:p>
        </w:tc>
      </w:tr>
    </w:tbl>
    <w:p w:rsidR="004E1AD0" w:rsidRDefault="004E1AD0">
      <w:pPr>
        <w:rPr>
          <w:b/>
        </w:rPr>
      </w:pPr>
    </w:p>
    <w:p w:rsidR="003C105B" w:rsidRDefault="00AC60F6">
      <w:r>
        <w:rPr>
          <w:b/>
        </w:rPr>
        <w:t>Supplementary references</w:t>
      </w:r>
    </w:p>
    <w:p w:rsidR="003C105B" w:rsidRDefault="00AC60F6">
      <w:r>
        <w:t>1. Chen Y, Zhao X, Chen Z, Zhang X, Li J, Lan J, et al. A comparative analysis of smoke-free regulations in 23 Chinese cities, 2015-2022. Tob Induc Dis. 2026;24(July):131. doi:10.18332/tid/221923.</w:t>
      </w:r>
    </w:p>
    <w:p w:rsidR="003C105B" w:rsidRDefault="00AC60F6">
      <w:r>
        <w:t>2. Chinese Center for Disease Con</w:t>
      </w:r>
      <w:r>
        <w:t>trol and Prevention. 2018 China Adult Tobacco Survey: Executive Summary. Beijing: Chinese Center for Disease Control and Prevention; 2019.</w:t>
      </w:r>
    </w:p>
    <w:p w:rsidR="003C105B" w:rsidRDefault="00AC60F6">
      <w:r>
        <w:t>3. Zeng X, Liu S, Liu Y, Xiao L. Smoking prevalence in urban and rural areas - China, 2024. China CDC Wkly. 2025;7(22</w:t>
      </w:r>
      <w:r>
        <w:t>):751-759. doi:10.46234/ccdcw2025.124.</w:t>
      </w:r>
    </w:p>
    <w:sectPr w:rsidR="003C105B">
      <w:pgSz w:w="12240" w:h="15840"/>
      <w:pgMar w:top="1152" w:right="1152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0F6" w:rsidRDefault="00AC60F6" w:rsidP="004E1AD0">
      <w:pPr>
        <w:spacing w:after="0" w:line="240" w:lineRule="auto"/>
      </w:pPr>
      <w:r>
        <w:separator/>
      </w:r>
    </w:p>
  </w:endnote>
  <w:endnote w:type="continuationSeparator" w:id="0">
    <w:p w:rsidR="00AC60F6" w:rsidRDefault="00AC60F6" w:rsidP="004E1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AD0" w:rsidRDefault="004E1AD0">
    <w:pPr>
      <w:pStyle w:val="a7"/>
      <w:tabs>
        <w:tab w:val="clear" w:pos="4680"/>
        <w:tab w:val="clear" w:pos="9360"/>
      </w:tabs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zh-CN" w:eastAsia="zh-CN"/>
      </w:rPr>
      <w:t>2</w:t>
    </w:r>
    <w:r>
      <w:rPr>
        <w:caps/>
        <w:color w:val="4F81BD" w:themeColor="accent1"/>
      </w:rPr>
      <w:fldChar w:fldCharType="end"/>
    </w:r>
  </w:p>
  <w:p w:rsidR="004E1AD0" w:rsidRDefault="004E1A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0F6" w:rsidRDefault="00AC60F6" w:rsidP="004E1AD0">
      <w:pPr>
        <w:spacing w:after="0" w:line="240" w:lineRule="auto"/>
      </w:pPr>
      <w:r>
        <w:separator/>
      </w:r>
    </w:p>
  </w:footnote>
  <w:footnote w:type="continuationSeparator" w:id="0">
    <w:p w:rsidR="00AC60F6" w:rsidRDefault="00AC60F6" w:rsidP="004E1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105B"/>
    <w:rsid w:val="004E1AD0"/>
    <w:rsid w:val="00654D74"/>
    <w:rsid w:val="00AA1D8D"/>
    <w:rsid w:val="00AC60F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FAF6F"/>
  <w14:defaultImageDpi w14:val="300"/>
  <w15:docId w15:val="{3DFA60FB-80EB-41A9-9DBF-C01004FB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4D1CA4-B750-4D87-A444-9BFF21C05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3153</Words>
  <Characters>17974</Characters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2013-12-23T23:15:00Z</dcterms:created>
  <dcterms:modified xsi:type="dcterms:W3CDTF">2026-08-15T14:56:00Z</dcterms:modified>
  <cp:category/>
</cp:coreProperties>
</file>