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26C60" w14:textId="77777777" w:rsidR="00D5699C" w:rsidRPr="00D5699C" w:rsidRDefault="00D5699C" w:rsidP="00D5699C">
      <w:r w:rsidRPr="00D5699C">
        <w:t>Revised Methods: Classification, severity grading, and reliability</w:t>
      </w:r>
    </w:p>
    <w:p w14:paraId="5BF47857" w14:textId="77777777" w:rsidR="00D5699C" w:rsidRPr="00D5699C" w:rsidRDefault="00D5699C" w:rsidP="00D5699C">
      <w:r w:rsidRPr="00D5699C">
        <w:t xml:space="preserve">Classification, severity grading, and reliability: Identified discrepancies were classified as medication reconciliation errors if they were: (1) unintended, (2) clinically significant, and (3) not explained by intentional documented changes. Errors were classified using the PCNE V9.1 classification system [8] (drug selection, dose, duration, form, administration, etc.) and graded for severity using the WHO-ISMP/NCC MERP severity scale [9] (Level 1 minor/no harm; Level 2 moderate/monitoring required; Level 3 serious/intervention required; Level 4 critical/permanent harm or death). The WHO-ISMP/NCC MERP index was adapted to categorize potential harm (potential adverse drug events) rather than actual harm, aligning with standard medication reconciliation research methodology (Feldman et al., [10]; NCC MERP, [9]). Standardization was maintained through formal PI training prior to data collection, predefined classification criteria, and manual verification of all automated outputs. Immediate safety intervention was performed for all Level 3 and Level 4 </w:t>
      </w:r>
      <w:proofErr w:type="gramStart"/>
      <w:r w:rsidRPr="00D5699C">
        <w:t>errors</w:t>
      </w:r>
      <w:proofErr w:type="gramEnd"/>
      <w:r w:rsidRPr="00D5699C">
        <w:t xml:space="preserve"> and all were successfully implemented before the patient left the facility (100% acceptance rate).</w:t>
      </w:r>
    </w:p>
    <w:p w14:paraId="4CB976CC" w14:textId="77777777" w:rsidR="00D5699C" w:rsidRPr="00D5699C" w:rsidRDefault="00D5699C" w:rsidP="00D5699C">
      <w:r w:rsidRPr="00D5699C">
        <w:t xml:space="preserve">Intra-rater reliability was assessed using a local, </w:t>
      </w:r>
      <w:proofErr w:type="gramStart"/>
      <w:r w:rsidRPr="00D5699C">
        <w:t>quantized</w:t>
      </w:r>
      <w:proofErr w:type="gramEnd"/>
      <w:r w:rsidRPr="00D5699C">
        <w:t xml:space="preserve"> DeepSeek 1.5B large language model (LLM) as an </w:t>
      </w:r>
      <w:proofErr w:type="gramStart"/>
      <w:r w:rsidRPr="00D5699C">
        <w:t>exploratory</w:t>
      </w:r>
      <w:proofErr w:type="gramEnd"/>
      <w:r w:rsidRPr="00D5699C">
        <w:t xml:space="preserve"> tool to evaluate prompt consistency. Quantization is a technique that reduces the size of a large language model by approximating its </w:t>
      </w:r>
      <w:proofErr w:type="gramStart"/>
      <w:r w:rsidRPr="00D5699C">
        <w:t>weights</w:t>
      </w:r>
      <w:proofErr w:type="gramEnd"/>
      <w:r w:rsidRPr="00D5699C">
        <w:t xml:space="preserve"> with lower precision, allowing it to run on local hardware without cloud connectivity. This approach was chosen because (1) it has no persistent memory, ensuring true blinding across sessions, (2) it is open-source and reproducible, and (3) it could be run locally without sending patient data to external servers. Twenty pilot cases were presented to the model for PCNE and severity classification, then re-presented after a 7-day washout period, blinded to previous decisions. The 20-case pilot was chosen as a practical sample size for testing reliability; while no formal power calculation was performed, the high agreement (kappa 0.91) suggests the sample was sufficient. Raw PCNE agreement was 95% (19/20) with Cohen's kappa of 0.91 (almost perfect agreement); severity agreement was 100% (20/20). Crucially, all primary clinical data extraction, PCNE categorizations, and WHO-ISMP severity ratings were 100% manually assigned and verified by the principal investigator (a licensed clinical pharmacist) to ensure clinical accuracy. Additionally, the researcher performed intra-rater checks on a 10% sample (n = 30) after a 7-day washout to </w:t>
      </w:r>
      <w:proofErr w:type="spellStart"/>
      <w:r w:rsidRPr="00D5699C">
        <w:t>minimise</w:t>
      </w:r>
      <w:proofErr w:type="spellEnd"/>
      <w:r w:rsidRPr="00D5699C">
        <w:t xml:space="preserve"> recall bias, achieving 94% agreement on PCNE codes and 91% on severity.</w:t>
      </w:r>
    </w:p>
    <w:p w14:paraId="020F5E1C" w14:textId="77777777" w:rsidR="00D5699C" w:rsidRPr="00D5699C" w:rsidRDefault="00D5699C" w:rsidP="00D5699C">
      <w:r w:rsidRPr="00D5699C">
        <w:t>Revised Methods: Eligibility criteria and sampling</w:t>
      </w:r>
    </w:p>
    <w:p w14:paraId="2299FE2A" w14:textId="77777777" w:rsidR="00D5699C" w:rsidRPr="00D5699C" w:rsidRDefault="00D5699C" w:rsidP="00D5699C">
      <w:r w:rsidRPr="00D5699C">
        <w:t xml:space="preserve">Eligibility criteria and sampling: Eligible participants were adults aged ≥18 years with a confirmed diagnosis of type 2 diabetes and at least one additional chronic condition, who attended Clinic 5 during the study period and provided written informed consent. Patients </w:t>
      </w:r>
      <w:r w:rsidRPr="00D5699C">
        <w:lastRenderedPageBreak/>
        <w:t>were excluded if they had cognitive impairment without a caregiver present to support participation, or if their clinical file had not been updated for &gt;2 years, precluding reliable clinical ascertainment. Less than 5% of patients were excluded because their files had not been updated for more than 2 years.</w:t>
      </w:r>
    </w:p>
    <w:p w14:paraId="08B84843" w14:textId="77777777" w:rsidR="00D5699C" w:rsidRPr="00D5699C" w:rsidRDefault="00D5699C" w:rsidP="00D5699C">
      <w:r w:rsidRPr="00D5699C">
        <w:t>Sample size was estimated using Cochran's formula for prevalence studies, n = Z²P(1-P)/d². Assuming a 95% confidence level (Z = 1.96), an estimated prevalence of 25% (a conservative estimate due to the absence of Zambian data) based on prior regional studies, and a 5% margin of error (d = 0.05), the minimum required sample was 288 participants. To account for an anticipated 10% non-response rate, the final target sample size was inflated to 300. The final achieved sample was 300, with complete data for the primary analysis.</w:t>
      </w:r>
    </w:p>
    <w:p w14:paraId="20B8E2E5" w14:textId="77777777" w:rsidR="00D5699C" w:rsidRPr="00D5699C" w:rsidRDefault="00D5699C" w:rsidP="00D5699C">
      <w:r w:rsidRPr="00D5699C">
        <w:t xml:space="preserve">Participants were selected using systematic random sampling. Based on clinic records indicating an average daily flow of 30 eligible patients, a sampling interval of k = 2 was applied. At the start of each clinic day, the first participant was selected by simple random sampling between 1 and 2, and subsequent eligible patients were approached at every second interval thereafter. To prevent potential queue manipulation and ensure representativeness, the daily random starting index (1 or 2) </w:t>
      </w:r>
      <w:proofErr w:type="gramStart"/>
      <w:r w:rsidRPr="00D5699C">
        <w:t>was varied</w:t>
      </w:r>
      <w:proofErr w:type="gramEnd"/>
      <w:r w:rsidRPr="00D5699C">
        <w:t xml:space="preserve"> each morning. Patient arrival order was considered independent of clinical severity, further minimizing potential bias. A daily recruitment log was maintained to document all refusals and exclusions to ensure transparency and assess potential selection bias. The refusal rate was less than 10% (approximately 25 patients), and the main reasons for exclusion were: files not updated &gt;2 years (&lt;5%) and cognitive impairment without a caregiver (&lt;2%).</w:t>
      </w:r>
    </w:p>
    <w:p w14:paraId="6FE539A4" w14:textId="77777777" w:rsidR="00D5699C" w:rsidRPr="00D5699C" w:rsidRDefault="00D5699C" w:rsidP="00D5699C">
      <w:r w:rsidRPr="00D5699C">
        <w:t>Revised Methods: Variables and statistical analysis</w:t>
      </w:r>
    </w:p>
    <w:p w14:paraId="47E1293C" w14:textId="77777777" w:rsidR="00D5699C" w:rsidRPr="00D5699C" w:rsidRDefault="00D5699C" w:rsidP="00D5699C">
      <w:r w:rsidRPr="00D5699C">
        <w:t>Variables and statistical analysis: The primary dependent variable was the occurrence of a MR error, coded as a binary outcome (yes/no) defined as the presence of at least one clinically significant MR error, regardless of severity. Independent variables were selected a priori based on existing literature and clinical relevance and included: age as a continuous variable, gender as a categorical variable, polypharmacy defined as the concomitant use of five or more chronic medications (binary), comorbidity count as a continuous variable, number of specialty clinics attended as a continuous variable (range 1–4), documented cross-clinic communication (binary: present/absent), documented cost-related non-adherence (binary: present/absent), and prescription of a high-risk medication flagged as any medication on the Institute for Safe Medication Practices (ISMP) high-alert list (binary: present/absent).</w:t>
      </w:r>
    </w:p>
    <w:p w14:paraId="23F7C8ED" w14:textId="77777777" w:rsidR="00D5699C" w:rsidRPr="00D5699C" w:rsidRDefault="00D5699C" w:rsidP="00D5699C">
      <w:r w:rsidRPr="00D5699C">
        <w:lastRenderedPageBreak/>
        <w:t xml:space="preserve">Data </w:t>
      </w:r>
      <w:proofErr w:type="gramStart"/>
      <w:r w:rsidRPr="00D5699C">
        <w:t>were</w:t>
      </w:r>
      <w:proofErr w:type="gramEnd"/>
      <w:r w:rsidRPr="00D5699C">
        <w:t xml:space="preserve"> analyzed using IBM SPSS Statistics for Windows, Version 27.0. Prevalence was calculated with 95% confidence intervals using the Wilson score method. Univariable and multivariable logistic regression were performed to identify predictors of MR errors. A conservative p &lt; 0.20 was used for entry into the multivariable model to avoid excluding potentially important variables that might become significant after adjustment. Variables with p &lt; 0.20 in univariable analysis were entered into the multivariable model. Multicollinearity was assessed using Variance Inflation Factors (VIF); VIF values </w:t>
      </w:r>
      <w:proofErr w:type="gramStart"/>
      <w:r w:rsidRPr="00D5699C">
        <w:t>were:</w:t>
      </w:r>
      <w:proofErr w:type="gramEnd"/>
      <w:r w:rsidRPr="00D5699C">
        <w:t xml:space="preserve"> comorbidity count (2.8), polypharmacy (2.3), and specialty clinics (2.1), all below the threshold of 10, indicating no significant collinearity. Adjusted odds ratios (</w:t>
      </w:r>
      <w:proofErr w:type="spellStart"/>
      <w:r w:rsidRPr="00D5699C">
        <w:t>aOR</w:t>
      </w:r>
      <w:proofErr w:type="spellEnd"/>
      <w:r w:rsidRPr="00D5699C">
        <w:t>) with 95% confidence intervals were reported. Internal model validation was performed using 1,000 bootstrap resamples to assess the stability and potential overfitting of the multivariable logistic regression model. Statistical significance was set at p &lt; 0.05. Model fit was assessed using Nagelkerke R², the Hosmer-</w:t>
      </w:r>
      <w:proofErr w:type="spellStart"/>
      <w:r w:rsidRPr="00D5699C">
        <w:t>Lemeshow</w:t>
      </w:r>
      <w:proofErr w:type="spellEnd"/>
      <w:r w:rsidRPr="00D5699C">
        <w:t xml:space="preserve"> goodness-of-fit test, and classification accuracy.</w:t>
      </w:r>
    </w:p>
    <w:p w14:paraId="73E3F5AD" w14:textId="77777777" w:rsidR="00D5699C" w:rsidRPr="00D5699C" w:rsidRDefault="00D5699C" w:rsidP="00D5699C">
      <w:r w:rsidRPr="00D5699C">
        <w:t>Revised Results: Error characteristics—prevalence, severity, error types, and medication classes</w:t>
      </w:r>
    </w:p>
    <w:p w14:paraId="0B54D5ED" w14:textId="77777777" w:rsidR="00D5699C" w:rsidRPr="00D5699C" w:rsidRDefault="00D5699C" w:rsidP="00D5699C">
      <w:r w:rsidRPr="00D5699C">
        <w:t>Overall, 70.0% (210/300) of patients had at least one MR error (95% CI: 64.6–74.9%). Among the 210 errors identified, the severity distribution was: Level 1 (minor, no potential harm): 31.9% (n = 67); Level 2 (moderate, monitoring required): 42.9% (n = 90); Level 3 (serious, intervention required): 25.2% (n = 53); Level 4 (critical/permanent harm): 0%.</w:t>
      </w:r>
    </w:p>
    <w:p w14:paraId="509FA41D" w14:textId="77777777" w:rsidR="00D5699C" w:rsidRPr="00D5699C" w:rsidRDefault="00D5699C" w:rsidP="00D5699C">
      <w:r w:rsidRPr="00D5699C">
        <w:t xml:space="preserve">Using PCNE V9.1, the distribution of error types is presented in Table 2. Omissions (P1.1: 21.4%) and under-dosing (P1.2: 19.5%) dominated, accounting for 60.1% of classified errors. The 67 cases labeled as 'PCNE code not recorded' represented minor administrative or documentation discrepancies (e.g., missing signature, incorrect date format) that did not match discrete PCNE sub-categories for drug-related problems. These were clinically assessed as having no potential for patient harm and were thus </w:t>
      </w:r>
      <w:proofErr w:type="gramStart"/>
      <w:r w:rsidRPr="00D5699C">
        <w:t>recoded</w:t>
      </w:r>
      <w:proofErr w:type="gramEnd"/>
      <w:r w:rsidRPr="00D5699C">
        <w:t xml:space="preserve"> as WHO-ISMP Level 1 (minor) errors.</w:t>
      </w:r>
    </w:p>
    <w:p w14:paraId="1767BD29" w14:textId="77777777" w:rsidR="00D5699C" w:rsidRPr="00D5699C" w:rsidRDefault="00D5699C" w:rsidP="00D5699C">
      <w:r w:rsidRPr="00D5699C">
        <w:t>Revised Discussion</w:t>
      </w:r>
    </w:p>
    <w:p w14:paraId="01D09275" w14:textId="77777777" w:rsidR="00D5699C" w:rsidRPr="00D5699C" w:rsidRDefault="00D5699C" w:rsidP="00D5699C">
      <w:r w:rsidRPr="00D5699C">
        <w:t xml:space="preserve">This is the first study to systematically quantify MR errors among type 2 diabetes outpatients with comorbidities in Zambia. The 70.0% prevalence is substantially higher than the 20–41% reported in other African settings [4, 5]. This disparity likely reflects several factors: our cohort consisted exclusively of T2DM patients with comorbidities (mean 2.64), a high-risk population with multiple medications, multiple specialists, and fragmented care; our outpatient setting differs from hospital admission/discharge studies, where reconciliation is more structured; and our triple-source audit captured </w:t>
      </w:r>
      <w:r w:rsidRPr="00D5699C">
        <w:lastRenderedPageBreak/>
        <w:t>discrepancies, particularly silent omissions and out-of-pocket purchases, that would have been missed by file-only or prescription-only reviews.</w:t>
      </w:r>
    </w:p>
    <w:p w14:paraId="398F4DB3" w14:textId="77777777" w:rsidR="00D5699C" w:rsidRPr="00D5699C" w:rsidRDefault="00D5699C" w:rsidP="00D5699C">
      <w:r w:rsidRPr="00D5699C">
        <w:t>The finding that 25.2% of errors were serious (Level 3), requiring immediate intervention, is clinically concerning. These included omissions of warfarin in atrial fibrillation, insulin in type 2 diabetes patients requiring insulin therapy, and metformin in chronic kidney disease — errors that could have caused permanent harm. All 53 Level 3 errors were corrected before the patient left the facility, with a 100% acceptance rate by clinicians.</w:t>
      </w:r>
    </w:p>
    <w:p w14:paraId="49A49289" w14:textId="77777777" w:rsidR="00D5699C" w:rsidRPr="00D5699C" w:rsidRDefault="00D5699C" w:rsidP="00D5699C">
      <w:r w:rsidRPr="00D5699C">
        <w:t>The predominance of omission and under-dosing errors (60.1% of classified errors) aligns with other African studies [4, 5] and is consistent with the findings of Gleason et al. [11]. Metformin and insulin accounted for nearly half of drug-specific errors, reflecting both their high prescribing frequency and the clinical complexity of dose adjustment, particularly in patients with renal impairment. Cost-related omissions (economic barriers) affecting 2.7% of patients highlight the intersection of medication safety and economic barriers, consistent with previous Zambian research, in which 48% of hypertensive patients were nonadherent and 55.8% of those cited cost as the reason [12]. The lower rate in our study may reflect under-documentation or different patient populations.</w:t>
      </w:r>
    </w:p>
    <w:p w14:paraId="49967FB0" w14:textId="77777777" w:rsidR="00D5699C" w:rsidRPr="00D5699C" w:rsidRDefault="00D5699C" w:rsidP="00D5699C">
      <w:r w:rsidRPr="00D5699C">
        <w:t>Our finding that each additional comorbidity increased error odds by 3.6-fold (</w:t>
      </w:r>
      <w:proofErr w:type="spellStart"/>
      <w:r w:rsidRPr="00D5699C">
        <w:t>aOR</w:t>
      </w:r>
      <w:proofErr w:type="spellEnd"/>
      <w:r w:rsidRPr="00D5699C">
        <w:t xml:space="preserve"> 3.59) is consistent with literature showing comorbidity burden as a key driver of medication discrepancies [11, 13], though the magnitude is larger in our study, possibly due to amplified fragmentation in a paper-based, multi-specialty system.</w:t>
      </w:r>
    </w:p>
    <w:p w14:paraId="2DAD6EB0" w14:textId="77777777" w:rsidR="00D5699C" w:rsidRPr="00D5699C" w:rsidRDefault="00D5699C" w:rsidP="00D5699C">
      <w:r w:rsidRPr="00D5699C">
        <w:t>The novel exploratory finding of “assumed responsibility” omissions (22.4% of error patients) represents a previously undocumented system-level coordination failure. Only 10.7% of patients attending multiple clinics had documented cross-clinic communication, meaning 89.3% had no documented coordination between their specialty clinics. This fragmentation directly leads to medication omissions, where one clinic assumes another will continue medications, but without communication, the medications are lost. Even when assumptions were documented (6 cases), omissions still occurred, suggesting that documentation alone is insufficient without active cross-clinic communication.</w:t>
      </w:r>
    </w:p>
    <w:p w14:paraId="717C110E" w14:textId="77777777" w:rsidR="00D5699C" w:rsidRPr="00D5699C" w:rsidRDefault="00D5699C" w:rsidP="00D5699C">
      <w:r w:rsidRPr="00D5699C">
        <w:t>The number of specialty clinics attended was a strong independent predictor (</w:t>
      </w:r>
      <w:proofErr w:type="spellStart"/>
      <w:r w:rsidRPr="00D5699C">
        <w:t>aOR</w:t>
      </w:r>
      <w:proofErr w:type="spellEnd"/>
      <w:r w:rsidRPr="00D5699C">
        <w:t xml:space="preserve"> 2.78 per additional clinic), providing the first quantitative evidence linking care fragmentation to MR errors in Zambia.</w:t>
      </w:r>
    </w:p>
    <w:p w14:paraId="3FA72BFD" w14:textId="77777777" w:rsidR="00D5699C" w:rsidRPr="00D5699C" w:rsidRDefault="00D5699C" w:rsidP="00D5699C">
      <w:r w:rsidRPr="00D5699C">
        <w:t xml:space="preserve">Another novel exploratory finding was the identification of economic barriers as an independent predictor of medication reconciliation errors. Cost-related nonadherence was documented in 2.7% of patients, with statins omitted due to out-of-pocket costs of ZMW 450. This highlights the intersection of medication safety and economic constraints. While </w:t>
      </w:r>
      <w:r w:rsidRPr="00D5699C">
        <w:lastRenderedPageBreak/>
        <w:t>cost-related nonadherence has been previously documented in Zambia [12], our study is the first to demonstrate its independent association with reconciliation errors (</w:t>
      </w:r>
      <w:proofErr w:type="spellStart"/>
      <w:r w:rsidRPr="00D5699C">
        <w:t>aOR</w:t>
      </w:r>
      <w:proofErr w:type="spellEnd"/>
      <w:r w:rsidRPr="00D5699C">
        <w:t xml:space="preserve"> 3.35, p = 0.032). This finding suggests that affordability is not just an adherence issue but a patient safety issue that requires systemic policy responses, including ensuring the continuous availability of essential NCD medications and expanding NHIMA coverage.</w:t>
      </w:r>
    </w:p>
    <w:p w14:paraId="0B4F63F4" w14:textId="77777777" w:rsidR="00D5699C" w:rsidRPr="00D5699C" w:rsidRDefault="00D5699C" w:rsidP="00D5699C">
      <w:r w:rsidRPr="00D5699C">
        <w:t>The protective effect of high-risk medications (</w:t>
      </w:r>
      <w:proofErr w:type="spellStart"/>
      <w:r w:rsidRPr="00D5699C">
        <w:t>aOR</w:t>
      </w:r>
      <w:proofErr w:type="spellEnd"/>
      <w:r w:rsidRPr="00D5699C">
        <w:t xml:space="preserve"> 0.49) may reflect increased clinician vigilance rather than a true biological effect. Clinicians are generally more careful when prescribing insulin, warfarin, and other high-alert medications; they may double-check doses, document more thoroughly, and ensure patient understanding.</w:t>
      </w:r>
    </w:p>
    <w:p w14:paraId="7FBA2F59" w14:textId="77777777" w:rsidR="00D5699C" w:rsidRPr="00D5699C" w:rsidRDefault="00D5699C" w:rsidP="00D5699C">
      <w:r w:rsidRPr="00D5699C">
        <w:t>Revised Limitations</w:t>
      </w:r>
    </w:p>
    <w:p w14:paraId="24B773E0" w14:textId="77777777" w:rsidR="00D5699C" w:rsidRPr="00D5699C" w:rsidRDefault="00D5699C" w:rsidP="00D5699C">
      <w:r w:rsidRPr="00D5699C">
        <w:t xml:space="preserve">This study has several limitations. The single-site design limits generalizability to other Zambian settings, particularly rural or private clinics with different patient volumes and staffing. The cross-sectional design cannot establish causality. The absence of inter-rater reliability with a second human rater—we used an LLM for intra-rater reliability instead—is acknowledged. The 31.9% PCNE code unclassified rate was a data collection limitation, but these errors were </w:t>
      </w:r>
      <w:proofErr w:type="gramStart"/>
      <w:r w:rsidRPr="00D5699C">
        <w:t>recoded</w:t>
      </w:r>
      <w:proofErr w:type="gramEnd"/>
      <w:r w:rsidRPr="00D5699C">
        <w:t xml:space="preserve"> as Level 1 minor errors and do not affect the primary prevalence finding. The novel exploratory findings on assumed responsibility and economic barriers require confirmation in future prospective studies. Additionally, the quality of cross-clinic communication was not assessed beyond presence/absence, and private pharmacy purchases were not independently verified.</w:t>
      </w:r>
    </w:p>
    <w:p w14:paraId="2CE52CAC" w14:textId="77777777" w:rsidR="00D5699C" w:rsidRPr="00D5699C" w:rsidRDefault="00D5699C" w:rsidP="00D5699C">
      <w:r w:rsidRPr="00D5699C">
        <w:t>Specific limitations identified:</w:t>
      </w:r>
    </w:p>
    <w:p w14:paraId="6EEF8338" w14:textId="77777777" w:rsidR="00D5699C" w:rsidRPr="00D5699C" w:rsidRDefault="00D5699C" w:rsidP="00D5699C">
      <w:r w:rsidRPr="00D5699C">
        <w:t>The quality of cross-clinic communication was not assessed beyond presence/absence, a pragmatic limitation given the paper-based record system.</w:t>
      </w:r>
    </w:p>
    <w:p w14:paraId="7589F925" w14:textId="77777777" w:rsidR="00D5699C" w:rsidRPr="00D5699C" w:rsidRDefault="00D5699C" w:rsidP="00D5699C">
      <w:r w:rsidRPr="00D5699C">
        <w:t>Private pharmacy purchases were not independently verified, relying on patient self-report due to the lack of a centralized electronic pharmacy record system.</w:t>
      </w:r>
    </w:p>
    <w:p w14:paraId="4927FFBF" w14:textId="77777777" w:rsidR="00D5699C" w:rsidRPr="00D5699C" w:rsidRDefault="00D5699C" w:rsidP="00D5699C">
      <w:r w:rsidRPr="00D5699C">
        <w:t>NHIMA coverage was not assessed, which could influence medication affordability and adherence.</w:t>
      </w:r>
    </w:p>
    <w:p w14:paraId="1E8B0D3E" w14:textId="77777777" w:rsidR="00D5699C" w:rsidRPr="00D5699C" w:rsidRDefault="00D5699C" w:rsidP="00D5699C">
      <w:r w:rsidRPr="00D5699C">
        <w:t>Registrar rotations may have influenced prescribing practices, introducing variability not captured in this study.</w:t>
      </w:r>
    </w:p>
    <w:p w14:paraId="5787C89B" w14:textId="77777777" w:rsidR="00D5699C" w:rsidRPr="00D5699C" w:rsidRDefault="00D5699C" w:rsidP="00D5699C">
      <w:r w:rsidRPr="00D5699C">
        <w:t>Cost-coping strategies (tablet splitting, reducing visits) were not assessed, which could provide further insight into economic barriers.</w:t>
      </w:r>
    </w:p>
    <w:p w14:paraId="0F27CE49" w14:textId="77777777" w:rsidR="00D5699C" w:rsidRPr="00D5699C" w:rsidRDefault="00D5699C" w:rsidP="00D5699C">
      <w:r w:rsidRPr="00D5699C">
        <w:t>The small number of patients with polypharmacy (n = 21, 7%) limited power to detect an independent effect.</w:t>
      </w:r>
    </w:p>
    <w:p w14:paraId="4673F1E9" w14:textId="77777777" w:rsidR="00222F56" w:rsidRDefault="00222F56"/>
    <w:sectPr w:rsidR="00222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99C"/>
    <w:rsid w:val="00222F56"/>
    <w:rsid w:val="003B01ED"/>
    <w:rsid w:val="004C3DC8"/>
    <w:rsid w:val="0095353A"/>
    <w:rsid w:val="00D56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D3D85"/>
  <w15:chartTrackingRefBased/>
  <w15:docId w15:val="{532A49DE-864D-4E37-8481-7715E4068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69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9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9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9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9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9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9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9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9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9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9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9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9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9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9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9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9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99C"/>
    <w:rPr>
      <w:rFonts w:eastAsiaTheme="majorEastAsia" w:cstheme="majorBidi"/>
      <w:color w:val="272727" w:themeColor="text1" w:themeTint="D8"/>
    </w:rPr>
  </w:style>
  <w:style w:type="paragraph" w:styleId="Title">
    <w:name w:val="Title"/>
    <w:basedOn w:val="Normal"/>
    <w:next w:val="Normal"/>
    <w:link w:val="TitleChar"/>
    <w:uiPriority w:val="10"/>
    <w:qFormat/>
    <w:rsid w:val="00D569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9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9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9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99C"/>
    <w:pPr>
      <w:spacing w:before="160"/>
      <w:jc w:val="center"/>
    </w:pPr>
    <w:rPr>
      <w:i/>
      <w:iCs/>
      <w:color w:val="404040" w:themeColor="text1" w:themeTint="BF"/>
    </w:rPr>
  </w:style>
  <w:style w:type="character" w:customStyle="1" w:styleId="QuoteChar">
    <w:name w:val="Quote Char"/>
    <w:basedOn w:val="DefaultParagraphFont"/>
    <w:link w:val="Quote"/>
    <w:uiPriority w:val="29"/>
    <w:rsid w:val="00D5699C"/>
    <w:rPr>
      <w:i/>
      <w:iCs/>
      <w:color w:val="404040" w:themeColor="text1" w:themeTint="BF"/>
    </w:rPr>
  </w:style>
  <w:style w:type="paragraph" w:styleId="ListParagraph">
    <w:name w:val="List Paragraph"/>
    <w:basedOn w:val="Normal"/>
    <w:uiPriority w:val="34"/>
    <w:qFormat/>
    <w:rsid w:val="00D5699C"/>
    <w:pPr>
      <w:ind w:left="720"/>
      <w:contextualSpacing/>
    </w:pPr>
  </w:style>
  <w:style w:type="character" w:styleId="IntenseEmphasis">
    <w:name w:val="Intense Emphasis"/>
    <w:basedOn w:val="DefaultParagraphFont"/>
    <w:uiPriority w:val="21"/>
    <w:qFormat/>
    <w:rsid w:val="00D5699C"/>
    <w:rPr>
      <w:i/>
      <w:iCs/>
      <w:color w:val="0F4761" w:themeColor="accent1" w:themeShade="BF"/>
    </w:rPr>
  </w:style>
  <w:style w:type="paragraph" w:styleId="IntenseQuote">
    <w:name w:val="Intense Quote"/>
    <w:basedOn w:val="Normal"/>
    <w:next w:val="Normal"/>
    <w:link w:val="IntenseQuoteChar"/>
    <w:uiPriority w:val="30"/>
    <w:qFormat/>
    <w:rsid w:val="00D569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99C"/>
    <w:rPr>
      <w:i/>
      <w:iCs/>
      <w:color w:val="0F4761" w:themeColor="accent1" w:themeShade="BF"/>
    </w:rPr>
  </w:style>
  <w:style w:type="character" w:styleId="IntenseReference">
    <w:name w:val="Intense Reference"/>
    <w:basedOn w:val="DefaultParagraphFont"/>
    <w:uiPriority w:val="32"/>
    <w:qFormat/>
    <w:rsid w:val="00D569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2082</Words>
  <Characters>11874</Characters>
  <Application>Microsoft Office Word</Application>
  <DocSecurity>0</DocSecurity>
  <Lines>98</Lines>
  <Paragraphs>27</Paragraphs>
  <ScaleCrop>false</ScaleCrop>
  <Company>Springer Nature</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Bevins</dc:creator>
  <cp:keywords/>
  <dc:description/>
  <cp:lastModifiedBy>Karina Bevins</cp:lastModifiedBy>
  <cp:revision>1</cp:revision>
  <dcterms:created xsi:type="dcterms:W3CDTF">2026-10-20T15:34:00Z</dcterms:created>
  <dcterms:modified xsi:type="dcterms:W3CDTF">2026-10-20T15:34:00Z</dcterms:modified>
</cp:coreProperties>
</file>