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jc w:val="left"/>
      </w:pPr>
      <w:r>
        <w:t>Additional file 1: Supplementary methods, quality control and analysis-state documentation</w:t>
      </w:r>
    </w:p>
    <w:p>
      <w:pPr>
        <w:widowControl/>
        <w:spacing w:line="360" w:lineRule="auto" w:after="120"/>
      </w:pPr>
      <w:r>
        <w:t>This supplementary file provides additional computational methods, quality-control details and analysis-state documentation supporting the main manuscript.</w:t>
      </w:r>
    </w:p>
    <w:p>
      <w:pPr>
        <w:pStyle w:val="Heading1"/>
        <w:widowControl/>
      </w:pPr>
      <w:r>
        <w:t>S1. Analysis scope and final dataset</w:t>
      </w:r>
    </w:p>
    <w:p>
      <w:pPr>
        <w:widowControl/>
        <w:spacing w:line="360" w:lineRule="auto" w:after="120"/>
      </w:pPr>
      <w:r>
        <w:t>The final analysis comprised 23435 NCBI prokaryotic reference assemblies (22606 Bacteria and 829 Archaea). The row-level file 24_global_profile_presence_states_v2.tsv.gz was used as the final genome-state matrix after completion of the MutS/SMR classifier correction and final quality-control checks. All summary counts reported in the main manuscript refer to this final analysis dataset.</w:t>
      </w:r>
    </w:p>
    <w:p>
      <w:pPr>
        <w:pStyle w:val="Heading1"/>
        <w:widowControl/>
      </w:pPr>
      <w:r>
        <w:t>S2. Operational profile criteria</w:t>
      </w:r>
    </w:p>
    <w:p>
      <w:pPr>
        <w:keepNext/>
        <w:widowControl/>
        <w:spacing w:line="360" w:lineRule="auto" w:after="120"/>
      </w:pPr>
      <w:r>
        <w:rPr>
          <w:b/>
        </w:rPr>
        <w:t>Supplementary Table S1. Operational profile criteria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rPr>
          <w:tblHeader w:val="true"/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Component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Required profile evidence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Additional rule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NucS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PF21003 (NucS_N) + PF01939 (NucS_C) on at least one candidate protein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Both profiles required for the two-domain NucS call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Canonical MutS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PF01624 + PF05188 + PF05192 + PF05190 + PF00488 on the same candidate protein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PF01713 (SMR) was used only as a same-protein warning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MutL</w:t>
            </w:r>
          </w:p>
        </w:tc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PF01119 + PF08676 on at least one candidate protein</w:t>
            </w:r>
          </w:p>
        </w:tc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PF13589 was recorded as supplementary support and was not mandatory</w:t>
            </w:r>
          </w:p>
        </w:tc>
      </w:tr>
    </w:tbl>
    <w:p>
      <w:pPr>
        <w:widowControl/>
        <w:spacing w:line="360" w:lineRule="auto" w:after="120"/>
      </w:pPr>
      <w:r>
        <w:t>Candidates were evaluated with the Pfam profile models and HMMER workflow described in the main Methods. Profile non-detection was not treated as proof of biological absence.</w:t>
      </w:r>
    </w:p>
    <w:p>
      <w:pPr>
        <w:pStyle w:val="Heading1"/>
        <w:widowControl/>
      </w:pPr>
      <w:r>
        <w:t>S3. Candidate-protein retrieval integrity</w:t>
      </w:r>
    </w:p>
    <w:p>
      <w:pPr>
        <w:keepNext/>
        <w:widowControl/>
        <w:spacing w:line="360" w:lineRule="auto" w:after="120"/>
      </w:pPr>
      <w:r>
        <w:rPr>
          <w:b/>
        </w:rPr>
        <w:t>Supplementary Table S2. Accession retrieval audit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rPr>
          <w:tblHeader w:val="true"/>
          <w:cantSplit/>
        </w:trPr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Candidate set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Expected accessions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Retrieved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Missing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Unexpected</w:t>
            </w:r>
          </w:p>
        </w:tc>
      </w:tr>
      <w:tr>
        <w:trPr>
          <w:cantSplit/>
        </w:trPr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NucS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6270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6270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0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0</w:t>
            </w:r>
          </w:p>
        </w:tc>
      </w:tr>
      <w:tr>
        <w:trPr>
          <w:cantSplit/>
        </w:trPr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MutS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17742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17742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0</w:t>
            </w:r>
          </w:p>
        </w:tc>
        <w:tc>
          <w:tcPr>
            <w:tcW w:type="dxa" w:w="1930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0</w:t>
            </w:r>
          </w:p>
        </w:tc>
      </w:tr>
      <w:tr>
        <w:trPr>
          <w:cantSplit/>
        </w:trPr>
        <w:tc>
          <w:tcPr>
            <w:tcW w:type="dxa" w:w="1930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MutL</w:t>
            </w:r>
          </w:p>
        </w:tc>
        <w:tc>
          <w:tcPr>
            <w:tcW w:type="dxa" w:w="1930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17608</w:t>
            </w:r>
          </w:p>
        </w:tc>
        <w:tc>
          <w:tcPr>
            <w:tcW w:type="dxa" w:w="1930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17608</w:t>
            </w:r>
          </w:p>
        </w:tc>
        <w:tc>
          <w:tcPr>
            <w:tcW w:type="dxa" w:w="1930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0</w:t>
            </w:r>
          </w:p>
        </w:tc>
        <w:tc>
          <w:tcPr>
            <w:tcW w:type="dxa" w:w="1930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0</w:t>
            </w:r>
          </w:p>
        </w:tc>
      </w:tr>
    </w:tbl>
    <w:p>
      <w:pPr>
        <w:widowControl/>
        <w:spacing w:line="360" w:lineRule="auto" w:after="120"/>
      </w:pPr>
      <w:r>
        <w:t>For NucS, the initial batch retrieval contained 5976 of 6270 expected accessions. The remaining 294 were recovered through exact-accession retries and NCBI EFetch fallback before profile classification. Annotation-positive loci with no protein accession were retained as unresolved and were not counted as failed retrievals.</w:t>
      </w:r>
    </w:p>
    <w:p>
      <w:pPr>
        <w:pStyle w:val="Heading1"/>
        <w:widowControl/>
      </w:pPr>
      <w:r>
        <w:t>S4. Final MutS/SMR classifier correction</w:t>
      </w:r>
    </w:p>
    <w:p>
      <w:pPr>
        <w:widowControl/>
        <w:spacing w:line="360" w:lineRule="auto" w:after="120"/>
      </w:pPr>
      <w:r>
        <w:t>Quality control identified an overly broad implementation in an earlier MutS classifier: a genome-level PF01713 (SMR) flag could penalize a canonical five-domain MutS candidate when the SMR domain was located on a different protein in the same genome. The final classifier therefore applied the SMR warning only when PF01713 occurred on the same protein that carried all five canonical MutS profiles.</w:t>
      </w:r>
    </w:p>
    <w:p>
      <w:pPr>
        <w:widowControl/>
        <w:spacing w:line="360" w:lineRule="auto" w:after="120"/>
      </w:pPr>
      <w:r>
        <w:t>This correction changed the global MutS classification, but it did not change the central coexistence result: the final dataset still contained 470 genomes meeting the defined criteria for two-domain NucS, canonical MutS and MutL. The main manuscript reports only the corrected final classifier outputs.</w:t>
      </w:r>
    </w:p>
    <w:p>
      <w:pPr>
        <w:pStyle w:val="Heading1"/>
        <w:widowControl/>
      </w:pPr>
      <w:r>
        <w:t>S5. Final profile-supported genome counts</w:t>
      </w:r>
    </w:p>
    <w:p>
      <w:pPr>
        <w:keepNext/>
        <w:widowControl/>
        <w:spacing w:line="360" w:lineRule="auto" w:after="120"/>
      </w:pPr>
      <w:r>
        <w:rPr>
          <w:b/>
        </w:rPr>
        <w:t>Supplementary Table S3. Final profile-supported counts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tblHeader w:val="true"/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Result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Genomes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Strong canonical MutS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17023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Strong MutL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17136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Two-domain NucS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5367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NucS + canonical MutS + MutL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470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Strong MutS-MutL; NucS not profile-positive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16166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NucS profile-positive; MutS-MutL not both strong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4895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Mixed profile state</w:t>
            </w:r>
          </w:p>
        </w:tc>
        <w:tc>
          <w:tcPr>
            <w:tcW w:type="dxa" w:w="4824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887</w:t>
            </w:r>
          </w:p>
        </w:tc>
      </w:tr>
      <w:tr>
        <w:trPr>
          <w:cantSplit/>
        </w:trPr>
        <w:tc>
          <w:tcPr>
            <w:tcW w:type="dxa" w:w="4824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No strong profile-positive system</w:t>
            </w:r>
          </w:p>
        </w:tc>
        <w:tc>
          <w:tcPr>
            <w:tcW w:type="dxa" w:w="4824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1017</w:t>
            </w:r>
          </w:p>
        </w:tc>
      </w:tr>
    </w:tbl>
    <w:p>
      <w:pPr>
        <w:widowControl/>
        <w:spacing w:line="360" w:lineRule="auto" w:after="120"/>
      </w:pPr>
      <w:r>
        <w:t>The five mutually exclusive combined profile states in the lower part of the table sum to 23435 genomes. “Not profile-positive” refers only to failure to meet the operational criterion used in this screen.</w:t>
      </w:r>
    </w:p>
    <w:p>
      <w:pPr>
        <w:pStyle w:val="Heading1"/>
        <w:widowControl/>
      </w:pPr>
      <w:r>
        <w:t>S6. NucS annotation-tier concordance</w:t>
      </w:r>
    </w:p>
    <w:p>
      <w:pPr>
        <w:keepNext/>
        <w:widowControl/>
        <w:spacing w:line="360" w:lineRule="auto" w:after="120"/>
      </w:pPr>
      <w:r>
        <w:rPr>
          <w:b/>
        </w:rPr>
        <w:t>Supplementary Table S4. NucS annotation wording and two-domain support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rPr>
          <w:tblHeader w:val="true"/>
          <w:cantSplit/>
        </w:trPr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Annotation tier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Genomes evaluated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Two-domain passes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Pass rate</w:t>
            </w:r>
          </w:p>
        </w:tc>
      </w:tr>
      <w:tr>
        <w:trPr>
          <w:cantSplit/>
        </w:trPr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Explicit nucS gene annotation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5381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5361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99.63%</w:t>
            </w:r>
          </w:p>
        </w:tc>
      </w:tr>
      <w:tr>
        <w:trPr>
          <w:cantSplit/>
        </w:trPr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Generic NucS domain-containing annotation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682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2412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0.73%</w:t>
            </w:r>
          </w:p>
        </w:tc>
      </w:tr>
      <w:tr>
        <w:trPr>
          <w:cantSplit/>
        </w:trPr>
        <w:tc>
          <w:tcPr>
            <w:tcW w:type="dxa" w:w="2412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Explicit product-only annotation</w:t>
            </w:r>
          </w:p>
        </w:tc>
        <w:tc>
          <w:tcPr>
            <w:tcW w:type="dxa" w:w="2412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2412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2412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16.67%</w:t>
            </w:r>
          </w:p>
        </w:tc>
      </w:tr>
    </w:tbl>
    <w:p>
      <w:pPr>
        <w:widowControl/>
        <w:spacing w:line="360" w:lineRule="auto" w:after="120"/>
      </w:pPr>
      <w:r>
        <w:t xml:space="preserve">The large reduction in apparent coexistence after NucS validation was therefore driven mainly by generic domain-containing annotations rather than by rejection of explicit </w:t>
      </w:r>
      <w:r>
        <w:rPr>
          <w:i/>
        </w:rPr>
        <w:t>nucS</w:t>
      </w:r>
      <w:r>
        <w:t xml:space="preserve"> gene annotations.</w:t>
      </w:r>
    </w:p>
    <w:p>
      <w:pPr>
        <w:pStyle w:val="Heading1"/>
        <w:widowControl/>
      </w:pPr>
      <w:r>
        <w:t>S7. Unresolved annotation bookkeeping</w:t>
      </w:r>
    </w:p>
    <w:p>
      <w:pPr>
        <w:widowControl/>
        <w:spacing w:line="360" w:lineRule="auto" w:after="120"/>
      </w:pPr>
      <w:r>
        <w:t>Unresolved annotations were retained rather than converted into profile failures. For NucS, 22 genomes contained at least one annotation-positive locus without a retrievable protein accession in the final NucS evidence table. During the final cleanup, locus-level quality-control flags also identified 235 MutS genomes and 257 MutL genomes with at least one unresolved annotated locus.</w:t>
      </w:r>
    </w:p>
    <w:p>
      <w:pPr>
        <w:widowControl/>
        <w:spacing w:line="360" w:lineRule="auto" w:after="120"/>
      </w:pPr>
      <w:r>
        <w:t>These locus-level flags are not equivalent to the mutually exclusive final genome-state categories reported in the main Results. The final mutually exclusive MutS classification includes 200 annotation-positive genomes lacking a protein accession, and the corresponding MutL classification includes 163. The locus-level counts should therefore not be substituted for, added to, or subtracted from those final genome-state categories; they are retained as supplementary bookkeeping of unresolved annotated loci.</w:t>
      </w:r>
    </w:p>
    <w:p>
      <w:pPr>
        <w:pStyle w:val="Heading1"/>
        <w:widowControl/>
      </w:pPr>
      <w:r>
        <w:t>S8. Taxonomic concentration and exceptional assembly</w:t>
      </w:r>
    </w:p>
    <w:p>
      <w:pPr>
        <w:keepNext/>
        <w:widowControl/>
        <w:spacing w:line="360" w:lineRule="auto" w:after="120"/>
      </w:pPr>
      <w:r>
        <w:rPr>
          <w:b/>
        </w:rPr>
        <w:t>Supplementary Table S5. Composition of the 470 coexistence genomes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rPr>
          <w:tblHeader w:val="true"/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Taxonomic group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Genomes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Percent of coexistence set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Halobacteria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421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89.57%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Deinococcota (class Deinococci)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48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10.21%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Pseudomonadota candidate</w:t>
            </w:r>
          </w:p>
        </w:tc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0.21%</w:t>
            </w:r>
          </w:p>
        </w:tc>
      </w:tr>
    </w:tbl>
    <w:p>
      <w:pPr>
        <w:widowControl/>
        <w:spacing w:line="360" w:lineRule="auto" w:after="120"/>
      </w:pPr>
      <w:r>
        <w:t xml:space="preserve">The single Pseudomonadota case was assigned to </w:t>
      </w:r>
      <w:r>
        <w:rPr>
          <w:i/>
        </w:rPr>
        <w:t>Lysobacter korlensis</w:t>
      </w:r>
      <w:r>
        <w:t xml:space="preserve"> assembly GCF_042434515.1. The NCBI assembly-quality report contained a CheckM contamination estimate of 76.26%. The assembly was therefore retained as an unresolved assembly-level candidate and not treated as evidence of an established additional coexistence lineage.</w:t>
      </w:r>
    </w:p>
    <w:p>
      <w:pPr>
        <w:pStyle w:val="Heading1"/>
        <w:widowControl/>
      </w:pPr>
      <w:r>
        <w:t>S9. Arithmetic and consistency checks</w:t>
      </w:r>
    </w:p>
    <w:p>
      <w:pPr>
        <w:keepNext/>
        <w:widowControl/>
        <w:spacing w:line="360" w:lineRule="auto" w:after="120"/>
      </w:pPr>
      <w:r>
        <w:rPr>
          <w:b/>
        </w:rPr>
        <w:t>Supplementary Table S6. Internal count reconciliation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rPr>
          <w:tblHeader w:val="true"/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Partition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Component counts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b/>
                <w:sz w:val="17"/>
              </w:rPr>
              <w:t>Sum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Annotation-screen states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16388 + 4839 + 1145 + 898 + 165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23435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NucS evidence states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5367 + 680 + 22 + 17366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23435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Final combined profile states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16166 + 4895 + 887 + 1017 + 470</w:t>
            </w:r>
          </w:p>
        </w:tc>
        <w:tc>
          <w:tcPr>
            <w:tcW w:type="dxa" w:w="3216"/>
          </w:tcPr>
          <w:p>
            <w:pPr>
              <w:keepNext/>
              <w:spacing w:line="240" w:lineRule="auto" w:after="0"/>
            </w:pPr>
            <w:r>
              <w:rPr>
                <w:rFonts w:ascii="Arial" w:hAnsi="Arial"/>
                <w:sz w:val="17"/>
              </w:rPr>
              <w:t>23435</w:t>
            </w:r>
          </w:p>
        </w:tc>
      </w:tr>
      <w:tr>
        <w:trPr>
          <w:cantSplit/>
        </w:trPr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Coexistence taxonomic composition</w:t>
            </w:r>
          </w:p>
        </w:tc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421 + 48 + 1</w:t>
            </w:r>
          </w:p>
        </w:tc>
        <w:tc>
          <w:tcPr>
            <w:tcW w:type="dxa" w:w="3216"/>
          </w:tcPr>
          <w:p>
            <w:pPr>
              <w:spacing w:line="240" w:lineRule="auto" w:after="0"/>
            </w:pPr>
            <w:r>
              <w:rPr>
                <w:rFonts w:ascii="Arial" w:hAnsi="Arial"/>
                <w:sz w:val="17"/>
              </w:rPr>
              <w:t>470</w:t>
            </w:r>
          </w:p>
        </w:tc>
      </w:tr>
    </w:tbl>
    <w:p>
      <w:pPr>
        <w:widowControl/>
        <w:spacing w:line="360" w:lineRule="auto" w:after="120"/>
      </w:pPr>
      <w:r>
        <w:t>These reconciliations were rechecked during final manuscript preparation. Percentages in the manuscript are descriptive percentages of the 23435-assembly reference collection, not estimates of species-level prevalence.</w:t>
      </w:r>
    </w:p>
    <w:p>
      <w:pPr>
        <w:pStyle w:val="Heading1"/>
        <w:widowControl/>
      </w:pPr>
      <w:r>
        <w:t>S10. Analyses deliberately outside the scope of the study</w:t>
      </w:r>
    </w:p>
    <w:p>
      <w:pPr>
        <w:widowControl/>
        <w:spacing w:line="360" w:lineRule="auto" w:after="120"/>
      </w:pPr>
      <w:r>
        <w:t>The finalized study was intentionally limited to annotation-guided candidate discovery followed by positive protein-profile validation. It did not include an exhaustive translated-genome absence survey, a species phylogeny, a NucS gene or protein phylogeny, ancestral-state reconstruction, lineage-specific gain/loss inference, or horizontal-gene-transfer reconstruction. These analyses would be required for stronger evolutionary claims and were not used to support the present manuscript.</w:t>
      </w:r>
    </w:p>
    <w:p>
      <w:pPr>
        <w:widowControl/>
        <w:spacing w:line="360" w:lineRule="auto" w:after="120"/>
      </w:pPr>
      <w:r>
        <w:t>Accordingly, annotation-negative or profile-negative states are treated as screening classifications. Additional protein-level and translated-genome searches would be required to distinguish true biological absence from annotation failure, assembly fragmentation, pseudogenization, incomplete gene models or highly divergent homologues.</w:t>
      </w:r>
    </w:p>
    <w:p>
      <w:pPr>
        <w:pStyle w:val="Heading1"/>
        <w:widowControl/>
      </w:pPr>
      <w:r>
        <w:t>S11. Analysis files for public archiving</w:t>
      </w:r>
    </w:p>
    <w:p>
      <w:pPr>
        <w:widowControl/>
        <w:spacing w:line="360" w:lineRule="auto" w:after="120"/>
      </w:pPr>
      <w:r>
        <w:t>To support reproducibility, the public repository accompanying the manuscript should contain the following final or directly supporting analysis files, as applicable:</w:t>
      </w:r>
    </w:p>
    <w:p>
      <w:pPr>
        <w:pStyle w:val="ListBullet"/>
        <w:widowControl/>
      </w:pPr>
      <w:r>
        <w:t>24_global_profile_presence_states_v2.tsv.gz — frozen final genome-level profile-state matrix.</w:t>
      </w:r>
    </w:p>
    <w:p>
      <w:pPr>
        <w:pStyle w:val="ListBullet"/>
        <w:widowControl/>
      </w:pPr>
      <w:r>
        <w:t>mmr_annotation_screen.tsv.gz — annotation-level discovery screen.</w:t>
      </w:r>
    </w:p>
    <w:p>
      <w:pPr>
        <w:pStyle w:val="ListBullet"/>
        <w:widowControl/>
      </w:pPr>
      <w:r>
        <w:t>21_taxonomy_summary_all.tsv — taxonomy summary joined to the reference assemblies.</w:t>
      </w:r>
    </w:p>
    <w:p>
      <w:pPr>
        <w:pStyle w:val="ListBullet"/>
        <w:widowControl/>
      </w:pPr>
      <w:r>
        <w:t>07_all_candidate_NucS_protein_Pfam_classification.tsv — candidate-level NucS profile classification.</w:t>
      </w:r>
    </w:p>
    <w:p>
      <w:pPr>
        <w:pStyle w:val="ListBullet"/>
        <w:widowControl/>
      </w:pPr>
      <w:r>
        <w:t>pfam_results.zip — retained Pfam/HMM outputs used for profile classification.</w:t>
      </w:r>
    </w:p>
    <w:p>
      <w:pPr>
        <w:pStyle w:val="ListBullet"/>
        <w:widowControl/>
      </w:pPr>
      <w:r>
        <w:t>validation_inputs.zip — retained validation inputs required to reproduce the candidate checks.</w:t>
      </w:r>
    </w:p>
    <w:p>
      <w:pPr>
        <w:pStyle w:val="ListBullet"/>
        <w:widowControl/>
      </w:pPr>
      <w:r>
        <w:t>Analysis scripts and exact accession lists used to build the final state matrix.</w:t>
      </w:r>
    </w:p>
    <w:p>
      <w:pPr>
        <w:widowControl/>
        <w:spacing w:line="360" w:lineRule="auto" w:after="120"/>
      </w:pPr>
      <w:r>
        <w:t>Only final and directly supporting outputs should be designated as the reproducible analysis set. Superseded intermediate state files should not be presented as final results.</w:t>
      </w:r>
    </w:p>
    <w:sectPr>
      <w:footerReference w:type="default" r:id="rId9"/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 w:line="276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 w:line="276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76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1: Supplementary methods, quality control and analysis-state documentation</dc:title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