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120"/>
      </w:pPr>
      <w:r>
        <w:rPr>
          <w:rFonts w:ascii="Times New Roman" w:hAnsi="Times New Roman"/>
          <w:b/>
          <w:i w:val="0"/>
          <w:sz w:val="24"/>
        </w:rPr>
        <w:t>Supplementary Information: Appendix A. Suggestive mediation evidence</w:t>
      </w:r>
    </w:p>
    <w:p>
      <w:pPr>
        <w:spacing w:before="0" w:after="120" w:line="440" w:lineRule="exact"/>
        <w:jc w:val="both"/>
      </w:pPr>
      <w:r>
        <w:rPr>
          <w:rFonts w:ascii="Times New Roman" w:hAnsi="Times New Roman"/>
          <w:b w:val="0"/>
          <w:i w:val="0"/>
          <w:sz w:val="22"/>
        </w:rPr>
        <w:t>This appendix reports the mediation exercise referenced in Section 3.3. Two mediators are examined: perceived importance of the internet as an information source (qu802, 1–5 scale) and the probability of holding a formal labour contract (qg5, binary). Indirect effects follow the three-step Baron–Kenny (1986) procedure with non-parametric bootstrap confidence intervals (2,000 replications; Preacher &amp; Hayes, 2008), and each channel is accompanied by the Imai, Keele and Yamamoto (2010) linear sensitivity parameter ρ*—the residual mediator–outcome correlation that would drive the indirect effect to zero.</w:t>
      </w:r>
    </w:p>
    <w:p>
      <w:pPr>
        <w:spacing w:before="0" w:after="120" w:line="440" w:lineRule="exact"/>
        <w:jc w:val="both"/>
      </w:pPr>
      <w:r>
        <w:rPr>
          <w:rFonts w:ascii="Times New Roman" w:hAnsi="Times New Roman"/>
          <w:b w:val="0"/>
          <w:i w:val="0"/>
          <w:sz w:val="22"/>
        </w:rPr>
        <w:t>Table 7 reports the mediation analysis. We adopt bootstrap confidence intervals (2,000 replications) rather than the asymptotic Sobel test, as bootstrap CIs are valid without assuming normality of the indirect effect distribution (Preacher &amp; Hayes, 2008). An indirect effect is considered statistically significant if its 95% bootstrap CI excludes zero. Both mediators are measured observationally, and the Baron–Kenny procedure requires the absence of unobserved confounding between each mediator and log income—an assumption that cannot be formally verified—so the estimates are best treated as indicative of plausible transmission channels. In addition, the formal-contract mediator may itself be partly a consequence of higher income rather than a cause of it (a ‘bad control’), so the formalisation channel in particular should be read as suggestive rather than as a precise causal decomposition.</w:t>
      </w:r>
    </w:p>
    <w:p>
      <w:pPr>
        <w:spacing w:before="0" w:after="120" w:line="440" w:lineRule="exact"/>
        <w:ind w:firstLine="432"/>
        <w:jc w:val="both"/>
      </w:pPr>
      <w:r>
        <w:rPr>
          <w:rFonts w:ascii="Times New Roman" w:hAnsi="Times New Roman"/>
          <w:b w:val="0"/>
          <w:i w:val="0"/>
          <w:sz w:val="22"/>
        </w:rPr>
        <w:t>Panel A: Information acquisition channel. Internet adoption raises perceived importance of the internet as an information source by 1.062 on the five-point scale (path a, p &lt; 0.01). The information-importance variable in turn raises log income by 0.024 (path b, p &lt; 0.05). After including the mediator, the direct effect of internet adoption (c′) falls from 0.103 to 0.079 (p &lt; 0.05). The indirect effect a×b = 0.0251, with a bootstrap 95% CI of [0.0058, 0.0454] that excludes zero, confirming partial mediation. The information channel accounts for 24.3% of the cross-sectional total effect. This channel reflects internet use lowering job-search costs and improving job–worker matching.</w:t>
      </w:r>
    </w:p>
    <w:p>
      <w:pPr>
        <w:spacing w:before="0" w:after="120" w:line="440" w:lineRule="exact"/>
        <w:ind w:firstLine="432"/>
        <w:jc w:val="both"/>
      </w:pPr>
      <w:r>
        <w:rPr>
          <w:rFonts w:ascii="Times New Roman" w:hAnsi="Times New Roman"/>
          <w:b w:val="0"/>
          <w:i w:val="0"/>
          <w:sz w:val="22"/>
        </w:rPr>
        <w:t>Panel B: Employment formalisation channel. Internet adoption increases the probability of holding a formal labour contract by 6.8 percentage points (path a, p &lt; 0.01). Contract holders earn 28.4% more in log terms (path b, p &lt; 0.01). Adding the contract indicator reduces the direct effect from 0.103 to 0.091. The indirect effect is 0.0195, bootstrap 95% CI [0.0089, 0.0303], significant and accounting for 18.9% of the cross-sectional total. This channel reflects internet-enabled access to formal employment platforms and greater awareness of labour rights.</w:t>
      </w:r>
    </w:p>
    <w:p>
      <w:pPr>
        <w:spacing w:before="0" w:after="120" w:line="440" w:lineRule="exact"/>
        <w:ind w:firstLine="432"/>
        <w:jc w:val="both"/>
      </w:pPr>
      <w:r>
        <w:rPr>
          <w:rFonts w:ascii="Times New Roman" w:hAnsi="Times New Roman"/>
          <w:b w:val="0"/>
          <w:i w:val="0"/>
          <w:sz w:val="22"/>
        </w:rPr>
        <w:t>Together, the two channels account for 43.2% of the cross-sectional income association. Because that association is itself partly selection (Section 4.2), these shares should be read not as a decomposition of a clean causal effect but as the plausible routes through which internet use, where it does raise income, operates—an interpretation supported by the parallel learning→information path estimated within users. Sensitivity analysis tempers these channels further: the residual mediator–outcome correlation that would nullify each indirect effect is only ρ* = 0.03 for the information channel and ρ* = 0.05 for the learning→information path, against a more reassuring ρ* = 0.17 for employment formalisation. Formalisation is thus the more robust of the two, whereas the information channel would be overturned by even modest unobserved confounding. The remaining ≈56.8% may operate through additional pathways—consumer market participation, entrepreneurial income from e-commerce, social capital formation—that are not directly measured in CFPS 2020. The two identified channels reinforce the paper’s core argument: productive internet use (learning and information seeking) raises income via skill accumulation and labour-market matching improvements, while consumptive use lacks both pathways.</w:t>
      </w:r>
    </w:p>
    <w:p>
      <w:pPr>
        <w:spacing w:before="200" w:after="40"/>
        <w:jc w:val="center"/>
      </w:pPr>
      <w:r>
        <w:rPr>
          <w:rFonts w:ascii="Times New Roman" w:hAnsi="Times New Roman"/>
          <w:b/>
          <w:i w:val="0"/>
          <w:sz w:val="20"/>
        </w:rPr>
        <w:t>Table A1. Mechanism Analysis: Bootstrap Mediation Results</w:t>
      </w:r>
    </w:p>
    <w:tbl>
      <w:tblPr>
        <w:tblW w:type="auto" w:w="0"/>
        <w:tblLook w:firstColumn="1" w:firstRow="1" w:lastColumn="0" w:lastRow="0" w:noHBand="0" w:noVBand="1" w:val="04A0"/>
        <w:tblBorders>
          <w:top w:val="none"/>
          <w:left w:val="none"/>
          <w:bottom w:val="none"/>
          <w:right w:val="none"/>
          <w:insideH w:val="none"/>
          <w:insideV w:val="none"/>
        </w:tblBorders>
      </w:tblPr>
      <w:tblGrid>
        <w:gridCol w:w="1134"/>
        <w:gridCol w:w="1134"/>
        <w:gridCol w:w="1134"/>
        <w:gridCol w:w="1134"/>
        <w:gridCol w:w="1134"/>
        <w:gridCol w:w="1134"/>
        <w:gridCol w:w="1134"/>
        <w:gridCol w:w="1134"/>
      </w:tblGrid>
      <w:tr>
        <w:tc>
          <w:tcPr>
            <w:tcW w:type="dxa" w:w="1134"/>
            <w:tcBorders>
              <w:top w:val="single" w:sz="12" w:color="000000" w:space="0"/>
              <w:left w:val="none"/>
              <w:bottom w:val="single" w:sz="6" w:color="000000" w:space="0"/>
              <w:right w:val="none"/>
              <w:insideH w:val="none"/>
              <w:insideV w:val="none"/>
            </w:tcBorders>
          </w:tcPr>
          <w:p>
            <w:pPr>
              <w:jc w:val="left"/>
            </w:pPr>
            <w:r>
              <w:rPr>
                <w:rFonts w:ascii="Times New Roman" w:hAnsi="Times New Roman"/>
                <w:b/>
                <w:sz w:val="18"/>
              </w:rPr>
            </w:r>
          </w:p>
        </w:tc>
        <w:tc>
          <w:tcPr>
            <w:tcW w:type="dxa" w:w="1134"/>
            <w:tcBorders>
              <w:top w:val="single" w:sz="12" w:color="000000" w:space="0"/>
              <w:left w:val="none"/>
              <w:bottom w:val="single" w:sz="6" w:color="000000" w:space="0"/>
              <w:right w:val="none"/>
              <w:insideH w:val="none"/>
              <w:insideV w:val="none"/>
            </w:tcBorders>
          </w:tcPr>
          <w:p>
            <w:pPr>
              <w:jc w:val="center"/>
            </w:pPr>
            <w:r>
              <w:rPr>
                <w:rFonts w:ascii="Times New Roman" w:hAnsi="Times New Roman"/>
                <w:b/>
                <w:sz w:val="18"/>
              </w:rPr>
              <w:t>c</w:t>
              <w:br/>
              <w:t>(total)</w:t>
            </w:r>
          </w:p>
        </w:tc>
        <w:tc>
          <w:tcPr>
            <w:tcW w:type="dxa" w:w="1134"/>
            <w:tcBorders>
              <w:top w:val="single" w:sz="12" w:color="000000" w:space="0"/>
              <w:left w:val="none"/>
              <w:bottom w:val="single" w:sz="6" w:color="000000" w:space="0"/>
              <w:right w:val="none"/>
              <w:insideH w:val="none"/>
              <w:insideV w:val="none"/>
            </w:tcBorders>
          </w:tcPr>
          <w:p>
            <w:pPr>
              <w:jc w:val="center"/>
            </w:pPr>
            <w:r>
              <w:rPr>
                <w:rFonts w:ascii="Times New Roman" w:hAnsi="Times New Roman"/>
                <w:b/>
                <w:sz w:val="18"/>
              </w:rPr>
              <w:t>a</w:t>
              <w:br/>
              <w:t>(treat→med)</w:t>
            </w:r>
          </w:p>
        </w:tc>
        <w:tc>
          <w:tcPr>
            <w:tcW w:type="dxa" w:w="1134"/>
            <w:tcBorders>
              <w:top w:val="single" w:sz="12" w:color="000000" w:space="0"/>
              <w:left w:val="none"/>
              <w:bottom w:val="single" w:sz="6" w:color="000000" w:space="0"/>
              <w:right w:val="none"/>
              <w:insideH w:val="none"/>
              <w:insideV w:val="none"/>
            </w:tcBorders>
          </w:tcPr>
          <w:p>
            <w:pPr>
              <w:jc w:val="center"/>
            </w:pPr>
            <w:r>
              <w:rPr>
                <w:rFonts w:ascii="Times New Roman" w:hAnsi="Times New Roman"/>
                <w:b/>
                <w:sz w:val="18"/>
              </w:rPr>
              <w:t>b</w:t>
              <w:br/>
              <w:t>(med→income)</w:t>
            </w:r>
          </w:p>
        </w:tc>
        <w:tc>
          <w:tcPr>
            <w:tcW w:type="dxa" w:w="1134"/>
            <w:tcBorders>
              <w:top w:val="single" w:sz="12" w:color="000000" w:space="0"/>
              <w:left w:val="none"/>
              <w:bottom w:val="single" w:sz="6" w:color="000000" w:space="0"/>
              <w:right w:val="none"/>
              <w:insideH w:val="none"/>
              <w:insideV w:val="none"/>
            </w:tcBorders>
          </w:tcPr>
          <w:p>
            <w:pPr>
              <w:jc w:val="center"/>
            </w:pPr>
            <w:r>
              <w:rPr>
                <w:rFonts w:ascii="Times New Roman" w:hAnsi="Times New Roman"/>
                <w:b/>
                <w:sz w:val="18"/>
              </w:rPr>
              <w:t>c′</w:t>
              <w:br/>
              <w:t>(direct)</w:t>
            </w:r>
          </w:p>
        </w:tc>
        <w:tc>
          <w:tcPr>
            <w:tcW w:type="dxa" w:w="1134"/>
            <w:tcBorders>
              <w:top w:val="single" w:sz="12" w:color="000000" w:space="0"/>
              <w:left w:val="none"/>
              <w:bottom w:val="single" w:sz="6" w:color="000000" w:space="0"/>
              <w:right w:val="none"/>
              <w:insideH w:val="none"/>
              <w:insideV w:val="none"/>
            </w:tcBorders>
          </w:tcPr>
          <w:p>
            <w:pPr>
              <w:jc w:val="center"/>
            </w:pPr>
            <w:r>
              <w:rPr>
                <w:rFonts w:ascii="Times New Roman" w:hAnsi="Times New Roman"/>
                <w:b/>
                <w:sz w:val="18"/>
              </w:rPr>
              <w:t>a×b</w:t>
              <w:br/>
              <w:t>(indirect)</w:t>
            </w:r>
          </w:p>
        </w:tc>
        <w:tc>
          <w:tcPr>
            <w:tcW w:type="dxa" w:w="1134"/>
            <w:tcBorders>
              <w:top w:val="single" w:sz="12" w:color="000000" w:space="0"/>
              <w:left w:val="none"/>
              <w:bottom w:val="single" w:sz="6" w:color="000000" w:space="0"/>
              <w:right w:val="none"/>
              <w:insideH w:val="none"/>
              <w:insideV w:val="none"/>
            </w:tcBorders>
          </w:tcPr>
          <w:p>
            <w:pPr>
              <w:jc w:val="center"/>
            </w:pPr>
            <w:r>
              <w:rPr>
                <w:rFonts w:ascii="Times New Roman" w:hAnsi="Times New Roman"/>
                <w:b/>
                <w:sz w:val="18"/>
              </w:rPr>
              <w:t>Bootstrap</w:t>
              <w:br/>
              <w:t>95% CI</w:t>
            </w:r>
          </w:p>
        </w:tc>
        <w:tc>
          <w:tcPr>
            <w:tcW w:type="dxa" w:w="1134"/>
            <w:tcBorders>
              <w:top w:val="single" w:sz="12" w:color="000000" w:space="0"/>
              <w:left w:val="none"/>
              <w:bottom w:val="single" w:sz="6" w:color="000000" w:space="0"/>
              <w:right w:val="none"/>
              <w:insideH w:val="none"/>
              <w:insideV w:val="none"/>
            </w:tcBorders>
          </w:tcPr>
          <w:p>
            <w:pPr>
              <w:jc w:val="center"/>
            </w:pPr>
            <w:r>
              <w:rPr>
                <w:rFonts w:ascii="Times New Roman" w:hAnsi="Times New Roman"/>
                <w:b/>
                <w:sz w:val="18"/>
              </w:rPr>
              <w:t>Share</w:t>
            </w:r>
          </w:p>
        </w:tc>
      </w:tr>
      <w:tr>
        <w:tc>
          <w:tcPr>
            <w:tcW w:type="dxa" w:w="9072"/>
            <w:gridSpan w:val="8"/>
            <w:tcBorders>
              <w:top w:val="none"/>
              <w:left w:val="none"/>
              <w:bottom w:val="none"/>
              <w:right w:val="none"/>
              <w:insideH w:val="none"/>
              <w:insideV w:val="none"/>
            </w:tcBorders>
          </w:tcPr>
          <w:p>
            <w:pPr>
              <w:jc w:val="left"/>
            </w:pPr>
            <w:r>
              <w:rPr>
                <w:rFonts w:ascii="Times New Roman" w:hAnsi="Times New Roman"/>
                <w:b/>
                <w:sz w:val="18"/>
              </w:rPr>
              <w:t>Panel A: Internet → Information Acquisition → Income</w:t>
            </w:r>
          </w:p>
        </w:tc>
      </w:tr>
      <w:tr>
        <w:tc>
          <w:tcPr>
            <w:tcW w:type="dxa" w:w="1134"/>
            <w:tcBorders>
              <w:top w:val="none"/>
              <w:left w:val="none"/>
              <w:bottom w:val="none"/>
              <w:right w:val="none"/>
              <w:insideH w:val="none"/>
              <w:insideV w:val="none"/>
            </w:tcBorders>
          </w:tcPr>
          <w:p>
            <w:pPr>
              <w:jc w:val="left"/>
            </w:pPr>
            <w:r>
              <w:rPr>
                <w:rFonts w:ascii="Times New Roman" w:hAnsi="Times New Roman"/>
                <w:b w:val="0"/>
                <w:sz w:val="18"/>
              </w:rPr>
              <w:t>Internet adoption</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0.103***</w:t>
              <w:br/>
              <w:t>(0.030)</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1.062***</w:t>
              <w:br/>
              <w:t>(0.052)</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0.079**</w:t>
              <w:br/>
              <w:t>(0.032)</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0.0251</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[0.0058, 0.0454]</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24.3%</w:t>
            </w:r>
          </w:p>
        </w:tc>
      </w:tr>
      <w:tr>
        <w:tc>
          <w:tcPr>
            <w:tcW w:type="dxa" w:w="1134"/>
            <w:tcBorders>
              <w:top w:val="none"/>
              <w:left w:val="none"/>
              <w:bottom w:val="none"/>
              <w:right w:val="none"/>
              <w:insideH w:val="none"/>
              <w:insideV w:val="none"/>
            </w:tcBorders>
          </w:tcPr>
          <w:p>
            <w:pPr>
              <w:jc w:val="left"/>
            </w:pPr>
            <w:r>
              <w:rPr>
                <w:rFonts w:ascii="Times New Roman" w:hAnsi="Times New Roman"/>
                <w:b w:val="0"/>
                <w:sz w:val="18"/>
              </w:rPr>
              <w:t>Info. importance</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0.024**</w:t>
              <w:br/>
              <w:t>(0.009)</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r>
      <w:tr>
        <w:tc>
          <w:tcPr>
            <w:tcW w:type="dxa" w:w="9072"/>
            <w:gridSpan w:val="8"/>
            <w:tcBorders>
              <w:top w:val="none"/>
              <w:left w:val="none"/>
              <w:bottom w:val="none"/>
              <w:right w:val="none"/>
              <w:insideH w:val="none"/>
              <w:insideV w:val="none"/>
            </w:tcBorders>
          </w:tcPr>
          <w:p>
            <w:pPr>
              <w:jc w:val="left"/>
            </w:pPr>
            <w:r>
              <w:rPr>
                <w:rFonts w:ascii="Times New Roman" w:hAnsi="Times New Roman"/>
                <w:b/>
                <w:sz w:val="18"/>
              </w:rPr>
              <w:t>Panel B: Internet → Employment Formalisation → Income</w:t>
            </w:r>
          </w:p>
        </w:tc>
      </w:tr>
      <w:tr>
        <w:tc>
          <w:tcPr>
            <w:tcW w:type="dxa" w:w="1134"/>
            <w:tcBorders>
              <w:top w:val="none"/>
              <w:left w:val="none"/>
              <w:bottom w:val="none"/>
              <w:right w:val="none"/>
              <w:insideH w:val="none"/>
              <w:insideV w:val="none"/>
            </w:tcBorders>
          </w:tcPr>
          <w:p>
            <w:pPr>
              <w:jc w:val="left"/>
            </w:pPr>
            <w:r>
              <w:rPr>
                <w:rFonts w:ascii="Times New Roman" w:hAnsi="Times New Roman"/>
                <w:b w:val="0"/>
                <w:sz w:val="18"/>
              </w:rPr>
              <w:t>Internet adoption</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0.103***</w:t>
              <w:br/>
              <w:t>(0.030)</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0.068***</w:t>
              <w:br/>
              <w:t>(0.019)</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0.091***</w:t>
              <w:br/>
              <w:t>(0.029)</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0.0195</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[0.0089, 0.0303]</w:t>
            </w:r>
          </w:p>
        </w:tc>
        <w:tc>
          <w:tcPr>
            <w:tcW w:type="dxa" w:w="1134"/>
            <w:tcBorders>
              <w:top w:val="none"/>
              <w:left w:val="none"/>
              <w:bottom w:val="none"/>
              <w:right w:val="none"/>
              <w:insideH w:val="none"/>
              <w:insideV w:val="none"/>
            </w:tcBorders>
          </w:tcPr>
          <w:p>
            <w:pPr>
              <w:jc w:val="center"/>
            </w:pPr>
            <w:r>
              <w:rPr>
                <w:rFonts w:ascii="Times New Roman" w:hAnsi="Times New Roman"/>
                <w:b w:val="0"/>
                <w:sz w:val="18"/>
              </w:rPr>
              <w:t>18.9%</w:t>
            </w:r>
          </w:p>
        </w:tc>
      </w:tr>
      <w:tr>
        <w:tc>
          <w:tcPr>
            <w:tcW w:type="dxa" w:w="1134"/>
            <w:tcBorders>
              <w:top w:val="none"/>
              <w:left w:val="none"/>
              <w:bottom w:val="single" w:sz="12" w:color="000000" w:space="0"/>
              <w:right w:val="none"/>
              <w:insideH w:val="none"/>
              <w:insideV w:val="none"/>
            </w:tcBorders>
          </w:tcPr>
          <w:p>
            <w:pPr>
              <w:jc w:val="left"/>
            </w:pPr>
            <w:r>
              <w:rPr>
                <w:rFonts w:ascii="Times New Roman" w:hAnsi="Times New Roman"/>
                <w:b w:val="0"/>
                <w:sz w:val="18"/>
              </w:rPr>
              <w:t>Formal contract</w:t>
            </w:r>
          </w:p>
        </w:tc>
        <w:tc>
          <w:tcPr>
            <w:tcW w:type="dxa" w:w="1134"/>
            <w:tcBorders>
              <w:top w:val="none"/>
              <w:left w:val="none"/>
              <w:bottom w:val="single" w:sz="12" w:color="000000" w:space="0"/>
              <w:right w:val="none"/>
              <w:insideH w:val="none"/>
              <w:insideV w:val="none"/>
            </w:tcBorders>
          </w:tcPr>
          <w:p>
            <w:pPr>
              <w:jc w:val="center"/>
            </w:pPr>
            <w:r>
              <w:rPr>
                <w:rFonts w:ascii="Times New Roman" w:hAnsi="Times New Roman"/>
                <w:b w:val="0"/>
                <w:sz w:val="18"/>
              </w:rPr>
            </w:r>
          </w:p>
        </w:tc>
        <w:tc>
          <w:tcPr>
            <w:tcW w:type="dxa" w:w="1134"/>
            <w:tcBorders>
              <w:top w:val="none"/>
              <w:left w:val="none"/>
              <w:bottom w:val="single" w:sz="12" w:color="000000" w:space="0"/>
              <w:right w:val="none"/>
              <w:insideH w:val="none"/>
              <w:insideV w:val="none"/>
            </w:tcBorders>
          </w:tcPr>
          <w:p>
            <w:pPr>
              <w:jc w:val="center"/>
            </w:pPr>
            <w:r>
              <w:rPr>
                <w:rFonts w:ascii="Times New Roman" w:hAnsi="Times New Roman"/>
                <w:b w:val="0"/>
                <w:sz w:val="18"/>
              </w:rPr>
            </w:r>
          </w:p>
        </w:tc>
        <w:tc>
          <w:tcPr>
            <w:tcW w:type="dxa" w:w="1134"/>
            <w:tcBorders>
              <w:top w:val="none"/>
              <w:left w:val="none"/>
              <w:bottom w:val="single" w:sz="12" w:color="000000" w:space="0"/>
              <w:right w:val="none"/>
              <w:insideH w:val="none"/>
              <w:insideV w:val="none"/>
            </w:tcBorders>
          </w:tcPr>
          <w:p>
            <w:pPr>
              <w:jc w:val="center"/>
            </w:pPr>
            <w:r>
              <w:rPr>
                <w:rFonts w:ascii="Times New Roman" w:hAnsi="Times New Roman"/>
                <w:b w:val="0"/>
                <w:sz w:val="18"/>
              </w:rPr>
              <w:t>0.284***</w:t>
              <w:br/>
              <w:t>(0.023)</w:t>
            </w:r>
          </w:p>
        </w:tc>
        <w:tc>
          <w:tcPr>
            <w:tcW w:type="dxa" w:w="1134"/>
            <w:tcBorders>
              <w:top w:val="none"/>
              <w:left w:val="none"/>
              <w:bottom w:val="single" w:sz="12" w:color="000000" w:space="0"/>
              <w:right w:val="none"/>
              <w:insideH w:val="none"/>
              <w:insideV w:val="none"/>
            </w:tcBorders>
          </w:tcPr>
          <w:p>
            <w:pPr>
              <w:jc w:val="center"/>
            </w:pPr>
            <w:r>
              <w:rPr>
                <w:rFonts w:ascii="Times New Roman" w:hAnsi="Times New Roman"/>
                <w:b w:val="0"/>
                <w:sz w:val="18"/>
              </w:rPr>
            </w:r>
          </w:p>
        </w:tc>
        <w:tc>
          <w:tcPr>
            <w:tcW w:type="dxa" w:w="1134"/>
            <w:tcBorders>
              <w:top w:val="none"/>
              <w:left w:val="none"/>
              <w:bottom w:val="single" w:sz="12" w:color="000000" w:space="0"/>
              <w:right w:val="none"/>
              <w:insideH w:val="none"/>
              <w:insideV w:val="none"/>
            </w:tcBorders>
          </w:tcPr>
          <w:p>
            <w:pPr>
              <w:jc w:val="center"/>
            </w:pPr>
            <w:r>
              <w:rPr>
                <w:rFonts w:ascii="Times New Roman" w:hAnsi="Times New Roman"/>
                <w:b w:val="0"/>
                <w:sz w:val="18"/>
              </w:rPr>
            </w:r>
          </w:p>
        </w:tc>
        <w:tc>
          <w:tcPr>
            <w:tcW w:type="dxa" w:w="1134"/>
            <w:tcBorders>
              <w:top w:val="none"/>
              <w:left w:val="none"/>
              <w:bottom w:val="single" w:sz="12" w:color="000000" w:space="0"/>
              <w:right w:val="none"/>
              <w:insideH w:val="none"/>
              <w:insideV w:val="none"/>
            </w:tcBorders>
          </w:tcPr>
          <w:p>
            <w:pPr>
              <w:jc w:val="center"/>
            </w:pPr>
            <w:r>
              <w:rPr>
                <w:rFonts w:ascii="Times New Roman" w:hAnsi="Times New Roman"/>
                <w:b w:val="0"/>
                <w:sz w:val="18"/>
              </w:rPr>
            </w:r>
          </w:p>
        </w:tc>
        <w:tc>
          <w:tcPr>
            <w:tcW w:type="dxa" w:w="1134"/>
            <w:tcBorders>
              <w:top w:val="none"/>
              <w:left w:val="none"/>
              <w:bottom w:val="single" w:sz="12" w:color="000000" w:space="0"/>
              <w:right w:val="none"/>
              <w:insideH w:val="none"/>
              <w:insideV w:val="none"/>
            </w:tcBorders>
          </w:tcPr>
          <w:p>
            <w:pPr>
              <w:jc w:val="center"/>
            </w:pPr>
            <w:r>
              <w:rPr>
                <w:rFonts w:ascii="Times New Roman" w:hAnsi="Times New Roman"/>
                <w:b w:val="0"/>
                <w:sz w:val="18"/>
              </w:rPr>
            </w:r>
          </w:p>
        </w:tc>
      </w:tr>
    </w:tbl>
    <w:p>
      <w:pPr>
        <w:spacing w:before="40" w:after="200"/>
      </w:pPr>
      <w:r>
        <w:rPr>
          <w:rFonts w:ascii="Times New Roman" w:hAnsi="Times New Roman"/>
          <w:b w:val="0"/>
          <w:i/>
          <w:sz w:val="18"/>
        </w:rPr>
        <w:t>Notes: Bootstrap 95% CIs computed with 2,000 replications (Preacher &amp; Hayes, 2008); significant if CI excludes zero. Path a: effect of internet adoption on mediator. Path b: effect of mediator on log income (controlling for treatment). c′: direct effect of internet adoption after adding mediator. Combined mediation share: 43.2%. Mediation inference assumes no unobserved mediator–outcome confounding; the Imai, Keele and Yamamoto (2010) linear sensitivity parameter—the residual mediator–outcome correlation that would zero the indirect effect—is ρ* = 0.03 (information) and ρ* = 0.17 (formalisation), so the channels are indicative rather than definitive. HC3-robust standard errors in parentheses. * p &lt; 0.10, ** p &lt; 0.05, *** p &lt; 0.01.</w:t>
      </w:r>
    </w:p>
    <w:sectPr>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2026-08-23T00:00:00Z</dcterms:created>
  <dcterms:modified xsi:type="dcterms:W3CDTF">2026-08-23T00:00:00Z</dcterms:modified>
  <cp:category/>
</cp:coreProperties>
</file>