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EE2A2" w14:textId="77777777" w:rsidR="00673142" w:rsidRDefault="00000000">
      <w:pPr>
        <w:spacing w:after="100"/>
        <w:jc w:val="center"/>
      </w:pPr>
      <w:r>
        <w:rPr>
          <w:b/>
          <w:bCs/>
          <w:sz w:val="28"/>
          <w:szCs w:val="28"/>
        </w:rPr>
        <w:t>Supplementary Information</w:t>
      </w:r>
    </w:p>
    <w:p w14:paraId="04892E68" w14:textId="77777777" w:rsidR="00673142" w:rsidRDefault="00000000">
      <w:pPr>
        <w:spacing w:after="400"/>
        <w:jc w:val="center"/>
      </w:pPr>
      <w:r>
        <w:rPr>
          <w:i/>
          <w:iCs/>
          <w:sz w:val="24"/>
          <w:szCs w:val="24"/>
        </w:rPr>
        <w:t>The Universality Myth: Epistemic Exclusion, Structural Power, and AI Governance in the Global South</w:t>
      </w:r>
    </w:p>
    <w:p w14:paraId="1DC5FF2F" w14:textId="77777777" w:rsidR="00673142" w:rsidRDefault="00000000">
      <w:pPr>
        <w:spacing w:before="400" w:after="200"/>
      </w:pPr>
      <w:r>
        <w:rPr>
          <w:b/>
          <w:bCs/>
          <w:sz w:val="24"/>
          <w:szCs w:val="24"/>
        </w:rPr>
        <w:t>Supplementary Information A: Extended Falsifiability Conditions</w:t>
      </w:r>
    </w:p>
    <w:p w14:paraId="4FDB78C7" w14:textId="77777777" w:rsidR="00673142" w:rsidRDefault="00000000">
      <w:pPr>
        <w:spacing w:after="300"/>
      </w:pPr>
      <w:r>
        <w:rPr>
          <w:i/>
          <w:iCs/>
          <w:sz w:val="24"/>
          <w:szCs w:val="24"/>
        </w:rPr>
        <w:t>Referenced from Section 3 (Methodology).</w:t>
      </w:r>
    </w:p>
    <w:p w14:paraId="31B547CE" w14:textId="77777777" w:rsidR="00673142" w:rsidRDefault="00000000">
      <w:pPr>
        <w:spacing w:after="200" w:line="360" w:lineRule="auto"/>
        <w:jc w:val="both"/>
      </w:pPr>
      <w:r>
        <w:rPr>
          <w:sz w:val="24"/>
          <w:szCs w:val="24"/>
        </w:rPr>
        <w:t>This falsifiability claim needs one further qualification: third-dimensional power has been criticised since Hay (1997) for a problem the two conditions above do not fully escape, that identifying a disconfirming case requires a counterfactual, what effective contestation would look like absent the exclusion, constructed using the same interpretive apparatus under test; this is a large part of why the empirical third-dimensional-power literature has remained thin relative to the concept's theoretical influence. Section 6.2 confronts a live instance: documented gig-worker organising and farmer mobilisation against algorithmic management could be read either as effective grassroots contestation that would disconfirm this paper's thesis, or as resistance without institutional uptake, which the hermeneutical injustice framework predicts as a signature outcome rather than an anomaly. This paper takes the second reading, on the ground that contestation lacking institutional standing to compel accountability does not meet the disconfirming condition above; a critic could reasonably worry this move can absorb any observed resistance, however organised. What limits that risk, without eliminating it, is that the disconfirming conditions are specified independently of the outcome they test, actual institutional accountability secured, not merely attempted, so a future case combining the same population-level exclusion with demonstrated institutional uptake would count against the thesis in a way no case examined here does.</w:t>
      </w:r>
    </w:p>
    <w:p w14:paraId="129077B1" w14:textId="77777777" w:rsidR="00673142" w:rsidRDefault="00000000">
      <w:pPr>
        <w:spacing w:after="200" w:line="360" w:lineRule="auto"/>
        <w:jc w:val="both"/>
      </w:pPr>
      <w:r>
        <w:rPr>
          <w:sz w:val="24"/>
          <w:szCs w:val="24"/>
        </w:rPr>
        <w:t>One further disconfirming condition, independent of the institutional-accountability threshold above, narrows this problem without closing it: a population halting or blocking an AI-enabling deployment through direct, non-institutional means, protest, boycott, refusal, succeeding without proponents conceding any formal accountability, would also count against the thesis, since it would show resistance converting into outcome without the institutional standing Section 6.2 argues is absent. No case examined here meets this condition either; that absence supports the claim without establishing it. Two independent failure conditions narrow, but do not eliminate, the asymmetry Hay identifies: a theory of this kind will always find it easier to explain an absence of disconfirming cases than to specify every form such a case could take in advance.</w:t>
      </w:r>
    </w:p>
    <w:p w14:paraId="4B4C6A36" w14:textId="77777777" w:rsidR="00673142" w:rsidRDefault="00000000">
      <w:pPr>
        <w:spacing w:before="400" w:after="200"/>
      </w:pPr>
      <w:r>
        <w:rPr>
          <w:b/>
          <w:bCs/>
          <w:sz w:val="24"/>
          <w:szCs w:val="24"/>
        </w:rPr>
        <w:lastRenderedPageBreak/>
        <w:t>Supplementary Information B: Additional Legislative Comparator</w:t>
      </w:r>
    </w:p>
    <w:p w14:paraId="4D937A33" w14:textId="77777777" w:rsidR="00673142" w:rsidRDefault="00000000">
      <w:pPr>
        <w:spacing w:after="300"/>
      </w:pPr>
      <w:r>
        <w:rPr>
          <w:i/>
          <w:iCs/>
          <w:sz w:val="24"/>
          <w:szCs w:val="24"/>
        </w:rPr>
        <w:t>Referenced from Section 5.1 (India: internal mechanism).</w:t>
      </w:r>
    </w:p>
    <w:p w14:paraId="2DC3D58A" w14:textId="77777777" w:rsidR="00673142" w:rsidRDefault="00000000">
      <w:pPr>
        <w:spacing w:after="200" w:line="360" w:lineRule="auto"/>
        <w:jc w:val="both"/>
      </w:pPr>
      <w:r>
        <w:rPr>
          <w:sz w:val="24"/>
          <w:szCs w:val="24"/>
        </w:rPr>
        <w:t xml:space="preserve">This comparison invites an important qualification: the Women's Reservation Bill was a constitutional amendment, requiring a two-thirds majority in each house and, for provisions of its kind, wider procedural engagement than an ordinary bill commands by rule, independent of public salience. That confound does not disappear on inspection, but it is not the whole explanation: an ordinary bill from the same legislative window supplies a same-procedural-class comparator. The Government of National Capital Territory of Delhi (Amendment) Bill, 2023, an ordinary bill amending a 1991 Act rather than a constitutional amendment, was introduced in the Lok Sabha days before the Digital Personal Data Protection Bill, passed the Lok Sabha by voice vote, passed the Rajya Sabha by a contested division (131 votes to 102) rather than a voice vote, and received presidential assent on 11 August 2023, the same day as the Digital Personal Data Protection Act (PRS Legislative Research 2023; </w:t>
      </w:r>
      <w:proofErr w:type="spellStart"/>
      <w:r>
        <w:rPr>
          <w:sz w:val="24"/>
          <w:szCs w:val="24"/>
        </w:rPr>
        <w:t>LiveLaw</w:t>
      </w:r>
      <w:proofErr w:type="spellEnd"/>
      <w:r>
        <w:rPr>
          <w:sz w:val="24"/>
          <w:szCs w:val="24"/>
        </w:rPr>
        <w:t xml:space="preserve"> 2023). It was also, on any reading, high-salience: it reversed a Supreme Court ruling on control of Delhi's civil services and was reported to have received approximately six hours of debate and comments from 34 members (The Wire 2023), against the Digital Personal Data Protection Act's 119 combined minutes and 16 contributing members. Same government, the same fortnight, the same ordinary-bill procedural class, and several times the engagement. This does not prove that public awareness, rather than the bill's federalism stakes for sitting legislators, drove the Delhi Services Bill's floor time; the comparison is offered to rule out the constitutional-amendment confound, not to substitute for it as a general-pattern claim, which Section 6.6 continues to flag as resting on a small number of cases.</w:t>
      </w:r>
    </w:p>
    <w:p w14:paraId="4CE3CEE5" w14:textId="77777777" w:rsidR="00673142" w:rsidRDefault="00000000">
      <w:pPr>
        <w:spacing w:before="400" w:after="200"/>
      </w:pPr>
      <w:r>
        <w:rPr>
          <w:b/>
          <w:bCs/>
          <w:sz w:val="24"/>
          <w:szCs w:val="24"/>
        </w:rPr>
        <w:t>Supplementary Information C: Extended Limitations and Evidentiary Notes</w:t>
      </w:r>
    </w:p>
    <w:p w14:paraId="5A851722" w14:textId="77777777" w:rsidR="00673142" w:rsidRDefault="00000000">
      <w:pPr>
        <w:spacing w:after="300"/>
      </w:pPr>
      <w:r>
        <w:rPr>
          <w:i/>
          <w:iCs/>
          <w:sz w:val="24"/>
          <w:szCs w:val="24"/>
        </w:rPr>
        <w:t>Referenced from Section 6.6 (Limitations).</w:t>
      </w:r>
    </w:p>
    <w:p w14:paraId="3ED55B6D" w14:textId="77777777" w:rsidR="00673142" w:rsidRDefault="00000000">
      <w:pPr>
        <w:spacing w:before="400" w:after="200"/>
      </w:pPr>
      <w:r>
        <w:rPr>
          <w:b/>
          <w:bCs/>
          <w:sz w:val="24"/>
          <w:szCs w:val="24"/>
        </w:rPr>
        <w:t>Scope and design</w:t>
      </w:r>
    </w:p>
    <w:p w14:paraId="1A2149E7" w14:textId="77777777" w:rsidR="00673142" w:rsidRDefault="00000000">
      <w:pPr>
        <w:spacing w:after="200" w:line="360" w:lineRule="auto"/>
        <w:jc w:val="both"/>
      </w:pPr>
      <w:r>
        <w:rPr>
          <w:sz w:val="24"/>
          <w:szCs w:val="24"/>
        </w:rPr>
        <w:t xml:space="preserve">This paper is based on secondary sources and document analysis, not primary fieldwork. The comparative contexts are two; the structural pattern requires testing across additional Global South contexts, including Latin America, where Sequera </w:t>
      </w:r>
      <w:proofErr w:type="spellStart"/>
      <w:r>
        <w:rPr>
          <w:sz w:val="24"/>
          <w:szCs w:val="24"/>
        </w:rPr>
        <w:t>Buzarquis</w:t>
      </w:r>
      <w:proofErr w:type="spellEnd"/>
      <w:r>
        <w:rPr>
          <w:sz w:val="24"/>
          <w:szCs w:val="24"/>
        </w:rPr>
        <w:t xml:space="preserve"> (2026) documents comparable dynamics in AI governance summit processes, and Southeast Asia. The functional argument cannot demonstrate that any specific actor has deliberately sustained epistemic exclusion, only that structural conditions do so. The Digital Personal Data Protection Act's </w:t>
      </w:r>
      <w:r>
        <w:rPr>
          <w:sz w:val="24"/>
          <w:szCs w:val="24"/>
        </w:rPr>
        <w:lastRenderedPageBreak/>
        <w:t>comparison against the Women's Reservation Bill and the Government of NCT of Delhi (Amendment) Bill (Section 5.1) draws on two contemporaneous cases rather than a systematic sample; a larger sample of bills varying in public salience and procedural class would strengthen or qualify the claim that awareness, rather than generic legislative practice, accounts for the Act's thin debate record. Within-region variation, the differing postures of Rwanda, Kenya, and Nigeria noted in Section 5.2, is a further target: this design does not test whether the external mechanism's population-level consequences hold uniformly across states with different national AI-policy postures, rather than merely being compatible with the heterogeneity observed there.</w:t>
      </w:r>
    </w:p>
    <w:p w14:paraId="0A1CEC93" w14:textId="77777777" w:rsidR="00673142" w:rsidRDefault="00000000">
      <w:pPr>
        <w:spacing w:before="400" w:after="200"/>
      </w:pPr>
      <w:r>
        <w:rPr>
          <w:b/>
          <w:bCs/>
          <w:sz w:val="24"/>
          <w:szCs w:val="24"/>
        </w:rPr>
        <w:t>Evidentiary base: the two populations</w:t>
      </w:r>
    </w:p>
    <w:p w14:paraId="12AC8C16" w14:textId="77777777" w:rsidR="00673142" w:rsidRDefault="00000000">
      <w:pPr>
        <w:spacing w:after="200" w:line="360" w:lineRule="auto"/>
        <w:jc w:val="both"/>
      </w:pPr>
      <w:r>
        <w:rPr>
          <w:sz w:val="24"/>
          <w:szCs w:val="24"/>
        </w:rPr>
        <w:t>The unawareness population is well-grounded, since the Pew and IAMAI data jointly establish scale with reasonable confidence. The misinformation population's evidence is more uneven across its two variants. The techno-utopian imaginary claim rests primarily on documentary evidence of state-produced AI narratives (Section 5.1), with the 62% optimism finding corroborating, not founding, it. Alternative readings of that figure remain possible: AI may register as abstractly positive within a development-discourse context independent of any imaginary formation, and survey framing may amplify optimism relative to European respondents whose AI concerns are mediated by labour-market anxiety. Neither reading competes with the documentary claim about #AIforAll's institutional messaging, which stands independently of how the attitudinal data are interpreted; a systematic content analysis of that messaging, rather than the illustrative reading offered here, remains a target for future work. The science-fiction fear imaginary has no India-specific empirical anchor and is grounded in the framework's theoretical logic and not in documented evidence from the cases examined. These are targets for future work, not reasons to abandon the two-population structure, which the available evidence supports in its broad architecture even where finer-grained claims await confirmation.</w:t>
      </w:r>
    </w:p>
    <w:p w14:paraId="0086E2D1" w14:textId="77777777" w:rsidR="00673142" w:rsidRDefault="00000000">
      <w:pPr>
        <w:spacing w:before="400" w:after="200"/>
      </w:pPr>
      <w:r>
        <w:rPr>
          <w:b/>
          <w:bCs/>
          <w:sz w:val="24"/>
          <w:szCs w:val="24"/>
        </w:rPr>
        <w:t>Evidentiary base: the facilitator-level extension</w:t>
      </w:r>
    </w:p>
    <w:p w14:paraId="51B80F97" w14:textId="77777777" w:rsidR="00673142" w:rsidRDefault="00000000">
      <w:pPr>
        <w:spacing w:after="200" w:line="360" w:lineRule="auto"/>
        <w:jc w:val="both"/>
      </w:pPr>
      <w:r>
        <w:rPr>
          <w:sz w:val="24"/>
          <w:szCs w:val="24"/>
        </w:rPr>
        <w:t xml:space="preserve">Its unawareness analogue (Section 6.4) is comparatively well-grounded, traced through documented clearance categories and a ministry's own disclosure. Its misinformation analogue rests on an independently documented administrative-growth imaginary (single-window clearance and streamlined-approval policy instruments addressed directly to officials), not an </w:t>
      </w:r>
      <w:r>
        <w:rPr>
          <w:sz w:val="24"/>
          <w:szCs w:val="24"/>
        </w:rPr>
        <w:lastRenderedPageBreak/>
        <w:t>inference from the public-facing imaginary discussed in Section 6.2. What remains unconfirmed is the second link: whether this documented administrative discourse demonstrably shapes individual officials' judgement in specific clearance decisions, as opposed to merely surrounding the process. That link sits on the same evidentiary register as the science-fiction fear imaginary above: a plausible, theoretically motivated inference rather than a confirmed finding, one the practitioner interviews proposed in Section 6.4 could confirm or disconfirm.</w:t>
      </w:r>
    </w:p>
    <w:p w14:paraId="1D3AFF62" w14:textId="77777777" w:rsidR="00673142" w:rsidRDefault="00000000">
      <w:pPr>
        <w:spacing w:before="400" w:after="200"/>
      </w:pPr>
      <w:r>
        <w:rPr>
          <w:b/>
          <w:bCs/>
          <w:sz w:val="24"/>
          <w:szCs w:val="24"/>
        </w:rPr>
        <w:t>Evidentiary asymmetry between contexts</w:t>
      </w:r>
    </w:p>
    <w:p w14:paraId="7B640447" w14:textId="77777777" w:rsidR="00673142" w:rsidRDefault="00000000">
      <w:pPr>
        <w:spacing w:after="200" w:line="360" w:lineRule="auto"/>
        <w:jc w:val="both"/>
      </w:pPr>
      <w:r>
        <w:rPr>
          <w:sz w:val="24"/>
          <w:szCs w:val="24"/>
        </w:rPr>
        <w:t>India is substantiated by named legislation, agencies, and parliamentary records; sub-Saharan Africa is substantiated primarily through secondary and practitioner literature. This is a genuine constraint, reflecting thinner primary access to the African case rather than a thinner underlying condition, and is a target for future fieldwork, not a feature to be explained away. Separately, without treating this as confirmatory, the asymmetry admits a structural reading: an internal mechanism generates a domestic documentary trail because the relevant decisions are made inside the state, while an externally dominant mechanism does not, because the decisions shaping AI deployment are made elsewhere. That reading is offered as consistent with the external-mechanism thesis, not as evidence for it, and stands only as a hypothesis for the fieldwork identified above.</w:t>
      </w:r>
    </w:p>
    <w:p w14:paraId="4705020B" w14:textId="77777777" w:rsidR="00673142" w:rsidRDefault="00000000">
      <w:pPr>
        <w:spacing w:before="400" w:after="200"/>
      </w:pPr>
      <w:r>
        <w:rPr>
          <w:b/>
          <w:bCs/>
          <w:sz w:val="24"/>
          <w:szCs w:val="24"/>
        </w:rPr>
        <w:t>Supplementary Information D: Extended Positionality Statement</w:t>
      </w:r>
    </w:p>
    <w:p w14:paraId="262C295A" w14:textId="77777777" w:rsidR="00673142" w:rsidRDefault="00000000">
      <w:pPr>
        <w:spacing w:after="300"/>
      </w:pPr>
      <w:r>
        <w:rPr>
          <w:i/>
          <w:iCs/>
          <w:sz w:val="24"/>
          <w:szCs w:val="24"/>
        </w:rPr>
        <w:t>Referenced from Section 3 (Methodology).</w:t>
      </w:r>
    </w:p>
    <w:p w14:paraId="073B34DF" w14:textId="77777777" w:rsidR="00673142" w:rsidRDefault="00000000">
      <w:pPr>
        <w:spacing w:after="200" w:line="360" w:lineRule="auto"/>
        <w:jc w:val="both"/>
      </w:pPr>
      <w:r>
        <w:rPr>
          <w:sz w:val="24"/>
          <w:szCs w:val="24"/>
        </w:rPr>
        <w:t>This paper is written from an institutional location in Bangalore, India, affording familiarity with domestic governance debates (industry-body policy positions, the Digital Personal Data Protection Act's parliamentary history) not equally available to researchers outside India, but also creating the risk of under-scrutinising internal governance failures a more distant observer might flag more readily. This is partly addressed by the citation structure: the Act's evidence draws on parliamentary records (Internet Freedom Foundation 2023), legal analysis (Manwani and Rana 2024), and independent legal commentary (Institute of Legal Studies 2024), each corroborating independently of the author's proximity. The opposite condition holds for sub-Saharan Africa: distance from the institutional contexts examined means the analysis relies entirely on secondary and practitioner literature, not the documentary familiarity available for India.</w:t>
      </w:r>
    </w:p>
    <w:p w14:paraId="0567F3F5" w14:textId="77777777" w:rsidR="00673142" w:rsidRDefault="00000000">
      <w:pPr>
        <w:spacing w:after="200" w:line="360" w:lineRule="auto"/>
        <w:jc w:val="both"/>
      </w:pPr>
      <w:r>
        <w:rPr>
          <w:sz w:val="24"/>
          <w:szCs w:val="24"/>
        </w:rPr>
        <w:lastRenderedPageBreak/>
        <w:t>A further reflexive note follows from the paper's reliance on decolonial and TWAIL theorists, for whom this kind of self-scrutiny is a methodological commitment: this paper is itself produced in the register, citation conventions, and English-language academic venue structure Safir et al. (2025) show are concentrated in particular institutional locations. That concentration does not invalidate the analysis, but the paper is not exempt from the asymmetry it describes: producing academically legible critique of epistemic exclusion requires operating inside the same knowledge-production hierarchy under examination.</w:t>
      </w:r>
    </w:p>
    <w:sectPr w:rsidR="00673142" w:rsidSect="00170C08">
      <w:headerReference w:type="default" r:id="rId12"/>
      <w:footerReference w:type="default" r:id="rId7"/>
      <w:pgSz w:w="11906" w:h="16838" w:code="9"/>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8E4DE" w14:textId="77777777" w:rsidR="00E337B5" w:rsidRDefault="00E337B5" w:rsidP="00170C08">
      <w:r>
        <w:separator/>
      </w:r>
    </w:p>
  </w:endnote>
  <w:endnote w:type="continuationSeparator" w:id="0">
    <w:p w14:paraId="4392DB7F" w14:textId="77777777" w:rsidR="00E337B5" w:rsidRDefault="00E337B5" w:rsidP="0017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404309"/>
      <w:docPartObj>
        <w:docPartGallery w:val="Page Numbers (Bottom of Page)"/>
        <w:docPartUnique/>
      </w:docPartObj>
    </w:sdtPr>
    <w:sdtEndPr>
      <w:rPr>
        <w:noProof/>
      </w:rPr>
    </w:sdtEndPr>
    <w:sdtContent>
      <w:p w14:paraId="37B2B972" w14:textId="5B10D6D2" w:rsidR="00170C08" w:rsidRDefault="00170C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5554BF" w14:textId="77777777" w:rsidR="00170C08" w:rsidRDefault="00170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FDCB" w14:textId="77777777" w:rsidR="00E337B5" w:rsidRDefault="00E337B5" w:rsidP="00170C08">
      <w:r>
        <w:separator/>
      </w:r>
    </w:p>
  </w:footnote>
  <w:footnote w:type="continuationSeparator" w:id="0">
    <w:p w14:paraId="7DED2362" w14:textId="77777777" w:rsidR="00E337B5" w:rsidRDefault="00E337B5" w:rsidP="00170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http://schemas.microsoft.com/office/word/2018/wordml" xmlns:wpg="http://schemas.microsoft.com/office/word/2010/wordprocessingGroup" xmlns:wpi="http://schemas.microsoft.com/office/word/2010/wordprocessingInk" xmlns:wne="http://schemas.microsoft.com/office/word/2006/wordml" xmlns:wps="http://schemas.microsoft.com/office/word/2010/wordprocessingShape" mc:Ignorable="w14 w15 w16cid w16 wp14">
  <w:p w14:paraId="1E0345CF" w14:textId="02EF4E66" w:rsidR="008F17A5" w:rsidRDefault="00E56780">
    <w:pPr>
      <w:jc w:val="right"/>
    </w:pPr>
    <w:r>
      <w:rPr>
        <w:i/>
        <w:iCs/>
        <w:sz w:val="18"/>
        <w:szCs w:val="18"/>
      </w:rPr>
      <w:t>Supplementary Information — The Universality Myth: Epistemic Exclusion and AI Governance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10858"/>
    <w:multiLevelType w:val="hybridMultilevel"/>
    <w:tmpl w:val="901033C8"/>
    <w:lvl w:ilvl="0" w:tplc="DB862CD0">
      <w:start w:val="1"/>
      <w:numFmt w:val="bullet"/>
      <w:lvlText w:val="●"/>
      <w:lvlJc w:val="left"/>
      <w:pPr>
        <w:ind w:left="720" w:hanging="360"/>
      </w:pPr>
    </w:lvl>
    <w:lvl w:ilvl="1" w:tplc="90300BCC">
      <w:start w:val="1"/>
      <w:numFmt w:val="bullet"/>
      <w:lvlText w:val="○"/>
      <w:lvlJc w:val="left"/>
      <w:pPr>
        <w:ind w:left="1440" w:hanging="360"/>
      </w:pPr>
    </w:lvl>
    <w:lvl w:ilvl="2" w:tplc="FD58A81A">
      <w:start w:val="1"/>
      <w:numFmt w:val="bullet"/>
      <w:lvlText w:val="■"/>
      <w:lvlJc w:val="left"/>
      <w:pPr>
        <w:ind w:left="2160" w:hanging="360"/>
      </w:pPr>
    </w:lvl>
    <w:lvl w:ilvl="3" w:tplc="6B8A0A40">
      <w:start w:val="1"/>
      <w:numFmt w:val="bullet"/>
      <w:lvlText w:val="●"/>
      <w:lvlJc w:val="left"/>
      <w:pPr>
        <w:ind w:left="2880" w:hanging="360"/>
      </w:pPr>
    </w:lvl>
    <w:lvl w:ilvl="4" w:tplc="934AE476">
      <w:start w:val="1"/>
      <w:numFmt w:val="bullet"/>
      <w:lvlText w:val="○"/>
      <w:lvlJc w:val="left"/>
      <w:pPr>
        <w:ind w:left="3600" w:hanging="360"/>
      </w:pPr>
    </w:lvl>
    <w:lvl w:ilvl="5" w:tplc="148EF1C0">
      <w:start w:val="1"/>
      <w:numFmt w:val="bullet"/>
      <w:lvlText w:val="■"/>
      <w:lvlJc w:val="left"/>
      <w:pPr>
        <w:ind w:left="4320" w:hanging="360"/>
      </w:pPr>
    </w:lvl>
    <w:lvl w:ilvl="6" w:tplc="0A68B106">
      <w:start w:val="1"/>
      <w:numFmt w:val="bullet"/>
      <w:lvlText w:val="●"/>
      <w:lvlJc w:val="left"/>
      <w:pPr>
        <w:ind w:left="5040" w:hanging="360"/>
      </w:pPr>
    </w:lvl>
    <w:lvl w:ilvl="7" w:tplc="B9A6C63C">
      <w:start w:val="1"/>
      <w:numFmt w:val="bullet"/>
      <w:lvlText w:val="●"/>
      <w:lvlJc w:val="left"/>
      <w:pPr>
        <w:ind w:left="5760" w:hanging="360"/>
      </w:pPr>
    </w:lvl>
    <w:lvl w:ilvl="8" w:tplc="7AF4797C">
      <w:start w:val="1"/>
      <w:numFmt w:val="bullet"/>
      <w:lvlText w:val="●"/>
      <w:lvlJc w:val="left"/>
      <w:pPr>
        <w:ind w:left="6480" w:hanging="360"/>
      </w:pPr>
    </w:lvl>
  </w:abstractNum>
  <w:num w:numId="1" w16cid:durableId="3368837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142"/>
    <w:rsid w:val="00170C08"/>
    <w:rsid w:val="00673142"/>
    <w:rsid w:val="00C33772"/>
    <w:rsid w:val="00E337B5"/>
    <w:rsid w:val="00F441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79D2"/>
  <w15:docId w15:val="{B0A49EFE-9ABD-43AF-85CC-9860F0C17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70C08"/>
    <w:pPr>
      <w:tabs>
        <w:tab w:val="center" w:pos="4513"/>
        <w:tab w:val="right" w:pos="9026"/>
      </w:tabs>
    </w:pPr>
  </w:style>
  <w:style w:type="character" w:customStyle="1" w:styleId="HeaderChar">
    <w:name w:val="Header Char"/>
    <w:basedOn w:val="DefaultParagraphFont"/>
    <w:link w:val="Header"/>
    <w:uiPriority w:val="99"/>
    <w:rsid w:val="00170C08"/>
  </w:style>
  <w:style w:type="paragraph" w:styleId="Footer">
    <w:name w:val="footer"/>
    <w:basedOn w:val="Normal"/>
    <w:link w:val="FooterChar"/>
    <w:uiPriority w:val="99"/>
    <w:unhideWhenUsed/>
    <w:rsid w:val="00170C08"/>
    <w:pPr>
      <w:tabs>
        <w:tab w:val="center" w:pos="4513"/>
        <w:tab w:val="right" w:pos="9026"/>
      </w:tabs>
    </w:pPr>
  </w:style>
  <w:style w:type="character" w:customStyle="1" w:styleId="FooterChar">
    <w:name w:val="Footer Char"/>
    <w:basedOn w:val="DefaultParagraphFont"/>
    <w:link w:val="Footer"/>
    <w:uiPriority w:val="99"/>
    <w:rsid w:val="00170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2</cp:revision>
  <dcterms:created xsi:type="dcterms:W3CDTF">2026-07-11T14:31:00Z</dcterms:created>
  <dcterms:modified xsi:type="dcterms:W3CDTF">2026-08-06T12:26:00Z</dcterms:modified>
</cp:coreProperties>
</file>