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0E6" w:rsidRPr="00AC08DE" w:rsidRDefault="00AC08DE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AC08DE">
        <w:rPr>
          <w:rFonts w:ascii="Times New Roman" w:hAnsi="Times New Roman" w:cs="Times New Roman"/>
          <w:color w:val="auto"/>
          <w:sz w:val="24"/>
          <w:szCs w:val="24"/>
        </w:rPr>
        <w:t>Table 6. Differences in FSFI Scores According to Menopausal Status (Mann–Whitney U Test)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8"/>
        <w:gridCol w:w="1727"/>
        <w:gridCol w:w="1776"/>
        <w:gridCol w:w="1713"/>
        <w:gridCol w:w="1706"/>
      </w:tblGrid>
      <w:tr w:rsidR="008010E6" w:rsidRPr="00AC08DE"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FSFI Domain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Premenopausal (Mean ± SD)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Postmenopausal (Mean ± SD)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U (Mann–Whitney)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8010E6" w:rsidRPr="00AC08DE"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23.78 ± 5.92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21.31 ± 9.27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417.0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0.6749</w:t>
            </w:r>
          </w:p>
        </w:tc>
      </w:tr>
      <w:tr w:rsidR="008010E6" w:rsidRPr="00AC08DE"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Desire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3.23 ± 1.07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2.64 ± 1.14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492.5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0.1467</w:t>
            </w:r>
          </w:p>
        </w:tc>
      </w:tr>
      <w:tr w:rsidR="008010E6" w:rsidRPr="00AC08DE"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Arousal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3.53 ± 1.13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3.27 ± 1.55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397.0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0.8778</w:t>
            </w:r>
          </w:p>
        </w:tc>
      </w:tr>
      <w:tr w:rsidR="008010E6" w:rsidRPr="00AC08DE"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Lubrication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4.36 ± 1.32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4.02 ± 1.76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409.5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0.7482</w:t>
            </w:r>
          </w:p>
        </w:tc>
      </w:tr>
      <w:tr w:rsidR="008010E6" w:rsidRPr="00AC08DE"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Orgasm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4.12 ± 1.31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3.96 ± 1.77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359.5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0.7375</w:t>
            </w:r>
          </w:p>
        </w:tc>
      </w:tr>
      <w:tr w:rsidR="008010E6" w:rsidRPr="00AC08DE"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Satisfaction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431.5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0.5333</w:t>
            </w:r>
          </w:p>
        </w:tc>
      </w:tr>
      <w:tr w:rsidR="008010E6" w:rsidRPr="00AC08DE"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420.5</w:t>
            </w:r>
          </w:p>
        </w:tc>
        <w:tc>
          <w:tcPr>
            <w:tcW w:w="1728" w:type="dxa"/>
          </w:tcPr>
          <w:p w:rsidR="008010E6" w:rsidRPr="00AC08DE" w:rsidRDefault="00AC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8DE">
              <w:rPr>
                <w:rFonts w:ascii="Times New Roman" w:hAnsi="Times New Roman" w:cs="Times New Roman"/>
                <w:sz w:val="24"/>
                <w:szCs w:val="24"/>
              </w:rPr>
              <w:t>0.6374</w:t>
            </w:r>
          </w:p>
        </w:tc>
      </w:tr>
    </w:tbl>
    <w:p w:rsidR="00670D94" w:rsidRDefault="00670D94">
      <w:pPr>
        <w:rPr>
          <w:rFonts w:ascii="Times New Roman" w:hAnsi="Times New Roman" w:cs="Times New Roman"/>
          <w:sz w:val="24"/>
          <w:szCs w:val="24"/>
        </w:rPr>
      </w:pPr>
    </w:p>
    <w:p w:rsidR="00FE29C6" w:rsidRPr="00152478" w:rsidRDefault="00FE29C6" w:rsidP="00FE29C6">
      <w:pPr>
        <w:spacing w:line="36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15247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This table presents the mean ± standard deviation of FSFI total and subdomain scores according to menopausal status, along with the results of the Mann-Whitney U test. No statistically significant differences </w:t>
      </w:r>
      <w:proofErr w:type="gramStart"/>
      <w:r w:rsidRPr="0015247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were found</w:t>
      </w:r>
      <w:proofErr w:type="gramEnd"/>
      <w:r w:rsidRPr="0015247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in FSFI scores between premenopausal and postmenopausal women (all p-values &gt; 0.05). Although the "Desire" subdomain score was higher in women without menopause, the difference was not statistically significant (</w:t>
      </w:r>
      <w:r w:rsidRPr="00152478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p</w:t>
      </w:r>
      <w:r w:rsidRPr="0015247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 = 0.1467).</w:t>
      </w:r>
    </w:p>
    <w:p w:rsidR="00FE29C6" w:rsidRPr="00AC08DE" w:rsidRDefault="00FE29C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29C6" w:rsidRPr="00AC08D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70D94"/>
    <w:rsid w:val="008010E6"/>
    <w:rsid w:val="00AA1D8D"/>
    <w:rsid w:val="00AC08DE"/>
    <w:rsid w:val="00B47730"/>
    <w:rsid w:val="00CB0664"/>
    <w:rsid w:val="00FC693F"/>
    <w:rsid w:val="00FE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82D3B"/>
  <w14:defaultImageDpi w14:val="300"/>
  <w15:docId w15:val="{54ADFAD8-D92C-40C1-87C3-D8C3C072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50331C-9DAC-4D44-9D22-A8B31BAF6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Fırat Akdeniz</cp:lastModifiedBy>
  <cp:revision>3</cp:revision>
  <dcterms:created xsi:type="dcterms:W3CDTF">2026-03-04T09:41:00Z</dcterms:created>
  <dcterms:modified xsi:type="dcterms:W3CDTF">2026-03-05T07:19:00Z</dcterms:modified>
  <cp:category/>
</cp:coreProperties>
</file>