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D54" w:rsidRDefault="005338D2">
      <w:pPr>
        <w:pStyle w:val="Balk1"/>
        <w:rPr>
          <w:rFonts w:ascii="Times New Roman" w:hAnsi="Times New Roman" w:cs="Times New Roman"/>
          <w:color w:val="auto"/>
          <w:sz w:val="24"/>
          <w:szCs w:val="24"/>
        </w:rPr>
      </w:pPr>
      <w:r w:rsidRPr="005338D2">
        <w:rPr>
          <w:rFonts w:ascii="Times New Roman" w:hAnsi="Times New Roman" w:cs="Times New Roman"/>
          <w:color w:val="auto"/>
          <w:sz w:val="24"/>
          <w:szCs w:val="24"/>
        </w:rPr>
        <w:t>Table 7. Multivariable Linear Regression Analysis for Factors Associated with FSFI Total Score</w:t>
      </w:r>
    </w:p>
    <w:p w:rsidR="005338D2" w:rsidRPr="005338D2" w:rsidRDefault="005338D2" w:rsidP="005338D2"/>
    <w:tbl>
      <w:tblPr>
        <w:tblW w:w="0" w:type="auto"/>
        <w:tblInd w:w="1083" w:type="dxa"/>
        <w:tblLook w:val="04A0" w:firstRow="1" w:lastRow="0" w:firstColumn="1" w:lastColumn="0" w:noHBand="0" w:noVBand="1"/>
      </w:tblPr>
      <w:tblGrid>
        <w:gridCol w:w="2160"/>
        <w:gridCol w:w="2160"/>
        <w:gridCol w:w="2160"/>
      </w:tblGrid>
      <w:tr w:rsidR="00B71E22" w:rsidRPr="005338D2" w:rsidTr="00B71E22">
        <w:tc>
          <w:tcPr>
            <w:tcW w:w="2160" w:type="dxa"/>
          </w:tcPr>
          <w:p w:rsidR="00B71E22" w:rsidRPr="005338D2" w:rsidRDefault="00B7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338D2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2160" w:type="dxa"/>
          </w:tcPr>
          <w:p w:rsidR="00B71E22" w:rsidRPr="005338D2" w:rsidRDefault="00B7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8D2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2160" w:type="dxa"/>
          </w:tcPr>
          <w:p w:rsidR="00B71E22" w:rsidRPr="005338D2" w:rsidRDefault="00B7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8D2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B71E22" w:rsidRPr="005338D2" w:rsidTr="00B71E22">
        <w:tc>
          <w:tcPr>
            <w:tcW w:w="2160" w:type="dxa"/>
          </w:tcPr>
          <w:p w:rsidR="00B71E22" w:rsidRPr="005338D2" w:rsidRDefault="00B7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8D2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160" w:type="dxa"/>
          </w:tcPr>
          <w:p w:rsidR="00B71E22" w:rsidRPr="005338D2" w:rsidRDefault="00B7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8D2">
              <w:rPr>
                <w:rFonts w:ascii="Times New Roman" w:hAnsi="Times New Roman" w:cs="Times New Roman"/>
                <w:sz w:val="24"/>
                <w:szCs w:val="24"/>
              </w:rPr>
              <w:t>-0.517 – -0.081</w:t>
            </w:r>
          </w:p>
        </w:tc>
        <w:tc>
          <w:tcPr>
            <w:tcW w:w="2160" w:type="dxa"/>
          </w:tcPr>
          <w:p w:rsidR="00B71E22" w:rsidRPr="005338D2" w:rsidRDefault="00B7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8D2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</w:tr>
      <w:tr w:rsidR="00B71E22" w:rsidRPr="005338D2" w:rsidTr="00B71E22">
        <w:tc>
          <w:tcPr>
            <w:tcW w:w="2160" w:type="dxa"/>
          </w:tcPr>
          <w:p w:rsidR="00B71E22" w:rsidRPr="005338D2" w:rsidRDefault="00B7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8D2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2160" w:type="dxa"/>
          </w:tcPr>
          <w:p w:rsidR="00B71E22" w:rsidRPr="005338D2" w:rsidRDefault="00B7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8D2">
              <w:rPr>
                <w:rFonts w:ascii="Times New Roman" w:hAnsi="Times New Roman" w:cs="Times New Roman"/>
                <w:sz w:val="24"/>
                <w:szCs w:val="24"/>
              </w:rPr>
              <w:t>-0.104 – 0.683</w:t>
            </w:r>
          </w:p>
        </w:tc>
        <w:tc>
          <w:tcPr>
            <w:tcW w:w="2160" w:type="dxa"/>
          </w:tcPr>
          <w:p w:rsidR="00B71E22" w:rsidRPr="005338D2" w:rsidRDefault="00B7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8D2">
              <w:rPr>
                <w:rFonts w:ascii="Times New Roman" w:hAnsi="Times New Roman" w:cs="Times New Roman"/>
                <w:sz w:val="24"/>
                <w:szCs w:val="24"/>
              </w:rPr>
              <w:t>0.147</w:t>
            </w:r>
          </w:p>
        </w:tc>
      </w:tr>
      <w:tr w:rsidR="00B71E22" w:rsidRPr="005338D2" w:rsidTr="00B71E22">
        <w:tc>
          <w:tcPr>
            <w:tcW w:w="2160" w:type="dxa"/>
          </w:tcPr>
          <w:p w:rsidR="00B71E22" w:rsidRPr="005338D2" w:rsidRDefault="00B7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8D2">
              <w:rPr>
                <w:rFonts w:ascii="Times New Roman" w:hAnsi="Times New Roman" w:cs="Times New Roman"/>
                <w:sz w:val="24"/>
                <w:szCs w:val="24"/>
              </w:rPr>
              <w:t>Menopausal status</w:t>
            </w:r>
          </w:p>
        </w:tc>
        <w:tc>
          <w:tcPr>
            <w:tcW w:w="2160" w:type="dxa"/>
          </w:tcPr>
          <w:p w:rsidR="00B71E22" w:rsidRPr="005338D2" w:rsidRDefault="00B7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8D2">
              <w:rPr>
                <w:rFonts w:ascii="Times New Roman" w:hAnsi="Times New Roman" w:cs="Times New Roman"/>
                <w:sz w:val="24"/>
                <w:szCs w:val="24"/>
              </w:rPr>
              <w:t>-3.109 – 6.735</w:t>
            </w:r>
          </w:p>
        </w:tc>
        <w:tc>
          <w:tcPr>
            <w:tcW w:w="2160" w:type="dxa"/>
          </w:tcPr>
          <w:p w:rsidR="00B71E22" w:rsidRPr="005338D2" w:rsidRDefault="00B7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8D2">
              <w:rPr>
                <w:rFonts w:ascii="Times New Roman" w:hAnsi="Times New Roman" w:cs="Times New Roman"/>
                <w:sz w:val="24"/>
                <w:szCs w:val="24"/>
              </w:rPr>
              <w:t>0.466</w:t>
            </w:r>
          </w:p>
        </w:tc>
      </w:tr>
      <w:tr w:rsidR="00B71E22" w:rsidRPr="005338D2" w:rsidTr="00B71E22">
        <w:tc>
          <w:tcPr>
            <w:tcW w:w="2160" w:type="dxa"/>
          </w:tcPr>
          <w:p w:rsidR="00B71E22" w:rsidRPr="005338D2" w:rsidRDefault="00B7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8D2">
              <w:rPr>
                <w:rFonts w:ascii="Times New Roman" w:hAnsi="Times New Roman" w:cs="Times New Roman"/>
                <w:sz w:val="24"/>
                <w:szCs w:val="24"/>
              </w:rPr>
              <w:t>Educational level</w:t>
            </w:r>
          </w:p>
        </w:tc>
        <w:tc>
          <w:tcPr>
            <w:tcW w:w="2160" w:type="dxa"/>
          </w:tcPr>
          <w:p w:rsidR="00B71E22" w:rsidRPr="005338D2" w:rsidRDefault="00B7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8D2">
              <w:rPr>
                <w:rFonts w:ascii="Times New Roman" w:hAnsi="Times New Roman" w:cs="Times New Roman"/>
                <w:sz w:val="24"/>
                <w:szCs w:val="24"/>
              </w:rPr>
              <w:t>0.455 – 2.637</w:t>
            </w:r>
          </w:p>
        </w:tc>
        <w:tc>
          <w:tcPr>
            <w:tcW w:w="2160" w:type="dxa"/>
          </w:tcPr>
          <w:p w:rsidR="00B71E22" w:rsidRPr="005338D2" w:rsidRDefault="00B71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8D2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</w:tr>
    </w:tbl>
    <w:p w:rsidR="00F6726F" w:rsidRDefault="00F6726F">
      <w:pPr>
        <w:rPr>
          <w:rFonts w:ascii="Times New Roman" w:hAnsi="Times New Roman" w:cs="Times New Roman"/>
          <w:sz w:val="24"/>
          <w:szCs w:val="24"/>
        </w:rPr>
      </w:pPr>
    </w:p>
    <w:p w:rsidR="00E14245" w:rsidRPr="005338D2" w:rsidRDefault="00E14245">
      <w:pPr>
        <w:rPr>
          <w:rFonts w:ascii="Times New Roman" w:hAnsi="Times New Roman" w:cs="Times New Roman"/>
          <w:sz w:val="24"/>
          <w:szCs w:val="24"/>
        </w:rPr>
      </w:pPr>
      <w:r w:rsidRPr="00E14245">
        <w:rPr>
          <w:rFonts w:ascii="Times New Roman" w:hAnsi="Times New Roman" w:cs="Times New Roman"/>
          <w:sz w:val="24"/>
          <w:szCs w:val="24"/>
        </w:rPr>
        <w:t xml:space="preserve">A multivariable linear regression analysis </w:t>
      </w:r>
      <w:proofErr w:type="gramStart"/>
      <w:r w:rsidRPr="00E14245">
        <w:rPr>
          <w:rFonts w:ascii="Times New Roman" w:hAnsi="Times New Roman" w:cs="Times New Roman"/>
          <w:sz w:val="24"/>
          <w:szCs w:val="24"/>
        </w:rPr>
        <w:t>was performed</w:t>
      </w:r>
      <w:proofErr w:type="gramEnd"/>
      <w:r w:rsidRPr="00E14245">
        <w:rPr>
          <w:rFonts w:ascii="Times New Roman" w:hAnsi="Times New Roman" w:cs="Times New Roman"/>
          <w:sz w:val="24"/>
          <w:szCs w:val="24"/>
        </w:rPr>
        <w:t xml:space="preserve"> to identify independent predictors of FSFI total score. The analysis demonstrated that educational level (β = 1.546, p = 0.006) and age (β = -0.299, p = 0.008) were independently associated with FSFI total score. In contrast, BMI (p = 0.147) and menopausal status (p = 0.466) were not significantly associated with sexual function</w:t>
      </w:r>
      <w:r>
        <w:t>.</w:t>
      </w:r>
    </w:p>
    <w:sectPr w:rsidR="00E14245" w:rsidRPr="005338D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338D2"/>
    <w:rsid w:val="00737D54"/>
    <w:rsid w:val="00AA1D8D"/>
    <w:rsid w:val="00B47730"/>
    <w:rsid w:val="00B71E22"/>
    <w:rsid w:val="00CB0664"/>
    <w:rsid w:val="00E14245"/>
    <w:rsid w:val="00F672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6725F5D0-7E29-4187-947E-920CA543A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F04F39-C36E-4E46-89FD-FA60B9389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Fırat Akdeniz</cp:lastModifiedBy>
  <cp:revision>4</cp:revision>
  <dcterms:created xsi:type="dcterms:W3CDTF">2026-03-04T14:29:00Z</dcterms:created>
  <dcterms:modified xsi:type="dcterms:W3CDTF">2026-03-06T12:50:00Z</dcterms:modified>
  <cp:category/>
</cp:coreProperties>
</file>