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0F" w:rsidRPr="00B92977" w:rsidRDefault="00B92977">
      <w:pPr>
        <w:pStyle w:val="Balk2"/>
        <w:rPr>
          <w:color w:val="auto"/>
        </w:rPr>
      </w:pPr>
      <w:r w:rsidRPr="00B92977">
        <w:rPr>
          <w:color w:val="auto"/>
        </w:rPr>
        <w:t>Table 5. Relationship Between Educational Level and FSFI Scores (Kruskal–Wallis Test)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09"/>
        <w:gridCol w:w="1215"/>
        <w:gridCol w:w="1217"/>
        <w:gridCol w:w="1232"/>
        <w:gridCol w:w="1222"/>
        <w:gridCol w:w="1228"/>
        <w:gridCol w:w="1217"/>
      </w:tblGrid>
      <w:tr w:rsidR="00D9120F">
        <w:tc>
          <w:tcPr>
            <w:tcW w:w="1234" w:type="dxa"/>
          </w:tcPr>
          <w:p w:rsidR="00D9120F" w:rsidRDefault="00B92977">
            <w:r>
              <w:t>FSFI Domain</w:t>
            </w:r>
          </w:p>
        </w:tc>
        <w:tc>
          <w:tcPr>
            <w:tcW w:w="1234" w:type="dxa"/>
          </w:tcPr>
          <w:p w:rsidR="00D9120F" w:rsidRDefault="00B92977">
            <w:r>
              <w:t>High School (Mean ± SD)</w:t>
            </w:r>
          </w:p>
        </w:tc>
        <w:tc>
          <w:tcPr>
            <w:tcW w:w="1234" w:type="dxa"/>
          </w:tcPr>
          <w:p w:rsidR="00D9120F" w:rsidRDefault="00B92977">
            <w:r>
              <w:t>Middle School (Mean ± SD)</w:t>
            </w:r>
          </w:p>
        </w:tc>
        <w:tc>
          <w:tcPr>
            <w:tcW w:w="1234" w:type="dxa"/>
          </w:tcPr>
          <w:p w:rsidR="00D9120F" w:rsidRDefault="00B92977">
            <w:r>
              <w:t>University (Mean ± SD)</w:t>
            </w:r>
          </w:p>
        </w:tc>
        <w:tc>
          <w:tcPr>
            <w:tcW w:w="1234" w:type="dxa"/>
          </w:tcPr>
          <w:p w:rsidR="00D9120F" w:rsidRDefault="00B92977">
            <w:r>
              <w:t>Primary School (Mean ± SD)</w:t>
            </w:r>
          </w:p>
        </w:tc>
        <w:tc>
          <w:tcPr>
            <w:tcW w:w="1234" w:type="dxa"/>
          </w:tcPr>
          <w:p w:rsidR="00D9120F" w:rsidRDefault="00B92977">
            <w:r>
              <w:t>H (Kruskal)</w:t>
            </w:r>
          </w:p>
        </w:tc>
        <w:tc>
          <w:tcPr>
            <w:tcW w:w="1234" w:type="dxa"/>
          </w:tcPr>
          <w:p w:rsidR="00D9120F" w:rsidRDefault="00B92977">
            <w:r>
              <w:t>p-value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Total Score</w:t>
            </w:r>
          </w:p>
        </w:tc>
        <w:tc>
          <w:tcPr>
            <w:tcW w:w="1234" w:type="dxa"/>
          </w:tcPr>
          <w:p w:rsidR="00D9120F" w:rsidRDefault="00B92977">
            <w:r>
              <w:t>24.73 ± 5.36</w:t>
            </w:r>
          </w:p>
        </w:tc>
        <w:tc>
          <w:tcPr>
            <w:tcW w:w="1234" w:type="dxa"/>
          </w:tcPr>
          <w:p w:rsidR="00D9120F" w:rsidRDefault="00B92977">
            <w:r>
              <w:t>18.72 ± 9.51</w:t>
            </w:r>
          </w:p>
        </w:tc>
        <w:tc>
          <w:tcPr>
            <w:tcW w:w="1234" w:type="dxa"/>
          </w:tcPr>
          <w:p w:rsidR="00D9120F" w:rsidRDefault="00B92977">
            <w:r>
              <w:t>25.89 ± 4.38</w:t>
            </w:r>
          </w:p>
        </w:tc>
        <w:tc>
          <w:tcPr>
            <w:tcW w:w="1234" w:type="dxa"/>
          </w:tcPr>
          <w:p w:rsidR="00D9120F" w:rsidRDefault="00B92977">
            <w:r>
              <w:t>21.98 ± 6.64</w:t>
            </w:r>
          </w:p>
        </w:tc>
        <w:tc>
          <w:tcPr>
            <w:tcW w:w="1234" w:type="dxa"/>
          </w:tcPr>
          <w:p w:rsidR="00D9120F" w:rsidRDefault="00B92977">
            <w:r>
              <w:t>8.62</w:t>
            </w:r>
          </w:p>
        </w:tc>
        <w:tc>
          <w:tcPr>
            <w:tcW w:w="1234" w:type="dxa"/>
          </w:tcPr>
          <w:p w:rsidR="00D9120F" w:rsidRDefault="00B92977">
            <w:r>
              <w:t>0.0348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Desire</w:t>
            </w:r>
          </w:p>
        </w:tc>
        <w:tc>
          <w:tcPr>
            <w:tcW w:w="1234" w:type="dxa"/>
          </w:tcPr>
          <w:p w:rsidR="00D9120F" w:rsidRDefault="00B92977">
            <w:r>
              <w:t>3.33 ± 1.05</w:t>
            </w:r>
          </w:p>
        </w:tc>
        <w:tc>
          <w:tcPr>
            <w:tcW w:w="1234" w:type="dxa"/>
          </w:tcPr>
          <w:p w:rsidR="00D9120F" w:rsidRDefault="00B92977">
            <w:r>
              <w:t>3.07 ± 1.26</w:t>
            </w:r>
          </w:p>
        </w:tc>
        <w:tc>
          <w:tcPr>
            <w:tcW w:w="1234" w:type="dxa"/>
          </w:tcPr>
          <w:p w:rsidR="00D9120F" w:rsidRDefault="00B92977">
            <w:r>
              <w:t>3.34 ± 1.07</w:t>
            </w:r>
          </w:p>
        </w:tc>
        <w:tc>
          <w:tcPr>
            <w:tcW w:w="1234" w:type="dxa"/>
          </w:tcPr>
          <w:p w:rsidR="00D9120F" w:rsidRDefault="00B92977">
            <w:r>
              <w:t>2.87 ± 1.09</w:t>
            </w:r>
          </w:p>
        </w:tc>
        <w:tc>
          <w:tcPr>
            <w:tcW w:w="1234" w:type="dxa"/>
          </w:tcPr>
          <w:p w:rsidR="00D9120F" w:rsidRDefault="00B92977">
            <w:r>
              <w:t>3.308</w:t>
            </w:r>
          </w:p>
        </w:tc>
        <w:tc>
          <w:tcPr>
            <w:tcW w:w="1234" w:type="dxa"/>
          </w:tcPr>
          <w:p w:rsidR="00D9120F" w:rsidRDefault="00B92977">
            <w:r>
              <w:t>0.3465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Arousal</w:t>
            </w:r>
          </w:p>
        </w:tc>
        <w:tc>
          <w:tcPr>
            <w:tcW w:w="1234" w:type="dxa"/>
          </w:tcPr>
          <w:p w:rsidR="00D9120F" w:rsidRDefault="00B92977">
            <w:r>
              <w:t>3.76 ± 1.18</w:t>
            </w:r>
          </w:p>
        </w:tc>
        <w:tc>
          <w:tcPr>
            <w:tcW w:w="1234" w:type="dxa"/>
          </w:tcPr>
          <w:p w:rsidR="00D9120F" w:rsidRDefault="00B92977">
            <w:r>
              <w:t>2.36 ± 1.45</w:t>
            </w:r>
          </w:p>
        </w:tc>
        <w:tc>
          <w:tcPr>
            <w:tcW w:w="1234" w:type="dxa"/>
          </w:tcPr>
          <w:p w:rsidR="00D9120F" w:rsidRDefault="00B92977">
            <w:r>
              <w:t>3.90 ± 0.97</w:t>
            </w:r>
          </w:p>
        </w:tc>
        <w:tc>
          <w:tcPr>
            <w:tcW w:w="1234" w:type="dxa"/>
          </w:tcPr>
          <w:p w:rsidR="00D9120F" w:rsidRDefault="00B92977">
            <w:r>
              <w:t>3.25 ± 1.01</w:t>
            </w:r>
          </w:p>
        </w:tc>
        <w:tc>
          <w:tcPr>
            <w:tcW w:w="1234" w:type="dxa"/>
          </w:tcPr>
          <w:p w:rsidR="00D9120F" w:rsidRDefault="00B92977">
            <w:r>
              <w:t>10.426</w:t>
            </w:r>
          </w:p>
        </w:tc>
        <w:tc>
          <w:tcPr>
            <w:tcW w:w="1234" w:type="dxa"/>
          </w:tcPr>
          <w:p w:rsidR="00D9120F" w:rsidRDefault="00B92977">
            <w:r>
              <w:t>0.0153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Lubrication</w:t>
            </w:r>
          </w:p>
        </w:tc>
        <w:tc>
          <w:tcPr>
            <w:tcW w:w="1234" w:type="dxa"/>
          </w:tcPr>
          <w:p w:rsidR="00D9120F" w:rsidRDefault="00B92977">
            <w:r>
              <w:t>4.50 ± 1.18</w:t>
            </w:r>
          </w:p>
        </w:tc>
        <w:tc>
          <w:tcPr>
            <w:tcW w:w="1234" w:type="dxa"/>
          </w:tcPr>
          <w:p w:rsidR="00D9120F" w:rsidRDefault="00B92977">
            <w:r>
              <w:t>3.71 ± 1.99</w:t>
            </w:r>
          </w:p>
        </w:tc>
        <w:tc>
          <w:tcPr>
            <w:tcW w:w="1234" w:type="dxa"/>
          </w:tcPr>
          <w:p w:rsidR="00D9120F" w:rsidRDefault="00B92977">
            <w:r>
              <w:t>4.82 ± 0.93</w:t>
            </w:r>
          </w:p>
        </w:tc>
        <w:tc>
          <w:tcPr>
            <w:tcW w:w="1234" w:type="dxa"/>
          </w:tcPr>
          <w:p w:rsidR="00D9120F" w:rsidRDefault="00B92977">
            <w:r>
              <w:t>3.96 ± 1.52</w:t>
            </w:r>
          </w:p>
        </w:tc>
        <w:tc>
          <w:tcPr>
            <w:tcW w:w="1234" w:type="dxa"/>
          </w:tcPr>
          <w:p w:rsidR="00D9120F" w:rsidRDefault="00B92977">
            <w:r>
              <w:t>5.173</w:t>
            </w:r>
          </w:p>
        </w:tc>
        <w:tc>
          <w:tcPr>
            <w:tcW w:w="1234" w:type="dxa"/>
          </w:tcPr>
          <w:p w:rsidR="00D9120F" w:rsidRDefault="00B92977">
            <w:r>
              <w:t>0.1596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Orgasm</w:t>
            </w:r>
          </w:p>
        </w:tc>
        <w:tc>
          <w:tcPr>
            <w:tcW w:w="1234" w:type="dxa"/>
          </w:tcPr>
          <w:p w:rsidR="00D9120F" w:rsidRDefault="00B92977">
            <w:r>
              <w:t>4.29 ± 1.19</w:t>
            </w:r>
          </w:p>
        </w:tc>
        <w:tc>
          <w:tcPr>
            <w:tcW w:w="1234" w:type="dxa"/>
          </w:tcPr>
          <w:p w:rsidR="00D9120F" w:rsidRDefault="00B92977">
            <w:r>
              <w:t>3.25 ± 1.76</w:t>
            </w:r>
          </w:p>
        </w:tc>
        <w:tc>
          <w:tcPr>
            <w:tcW w:w="1234" w:type="dxa"/>
          </w:tcPr>
          <w:p w:rsidR="00D9120F" w:rsidRDefault="00B92977">
            <w:r>
              <w:t>4.56 ± 0.99</w:t>
            </w:r>
          </w:p>
        </w:tc>
        <w:tc>
          <w:tcPr>
            <w:tcW w:w="1234" w:type="dxa"/>
          </w:tcPr>
          <w:p w:rsidR="00D9120F" w:rsidRDefault="00B92977">
            <w:r>
              <w:t>3.81 ± 1.52</w:t>
            </w:r>
          </w:p>
        </w:tc>
        <w:tc>
          <w:tcPr>
            <w:tcW w:w="1234" w:type="dxa"/>
          </w:tcPr>
          <w:p w:rsidR="00D9120F" w:rsidRDefault="00B92977">
            <w:r>
              <w:t>6.511</w:t>
            </w:r>
          </w:p>
        </w:tc>
        <w:tc>
          <w:tcPr>
            <w:tcW w:w="1234" w:type="dxa"/>
          </w:tcPr>
          <w:p w:rsidR="00D9120F" w:rsidRDefault="00B92977">
            <w:r>
              <w:t>0.0892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Satisfaction</w:t>
            </w:r>
          </w:p>
        </w:tc>
        <w:tc>
          <w:tcPr>
            <w:tcW w:w="1234" w:type="dxa"/>
          </w:tcPr>
          <w:p w:rsidR="00D9120F" w:rsidRDefault="00B92977">
            <w:r>
              <w:t>4.31 ± 1.30</w:t>
            </w:r>
          </w:p>
        </w:tc>
        <w:tc>
          <w:tcPr>
            <w:tcW w:w="1234" w:type="dxa"/>
          </w:tcPr>
          <w:p w:rsidR="00D9120F" w:rsidRDefault="00B92977">
            <w:r>
              <w:t>3.35 ± 1.95</w:t>
            </w:r>
          </w:p>
        </w:tc>
        <w:tc>
          <w:tcPr>
            <w:tcW w:w="1234" w:type="dxa"/>
          </w:tcPr>
          <w:p w:rsidR="00D9120F" w:rsidRDefault="00B92977">
            <w:r>
              <w:t>4.60 ± 0.82</w:t>
            </w:r>
          </w:p>
        </w:tc>
        <w:tc>
          <w:tcPr>
            <w:tcW w:w="1234" w:type="dxa"/>
          </w:tcPr>
          <w:p w:rsidR="00D9120F" w:rsidRDefault="00B92977">
            <w:r>
              <w:t>4.08 ± 1.53</w:t>
            </w:r>
          </w:p>
        </w:tc>
        <w:tc>
          <w:tcPr>
            <w:tcW w:w="1234" w:type="dxa"/>
          </w:tcPr>
          <w:p w:rsidR="00D9120F" w:rsidRDefault="00B92977">
            <w:r>
              <w:t>2.963</w:t>
            </w:r>
          </w:p>
        </w:tc>
        <w:tc>
          <w:tcPr>
            <w:tcW w:w="1234" w:type="dxa"/>
          </w:tcPr>
          <w:p w:rsidR="00D9120F" w:rsidRDefault="00B92977">
            <w:r>
              <w:t>0.3973</w:t>
            </w:r>
          </w:p>
        </w:tc>
      </w:tr>
      <w:tr w:rsidR="00D9120F">
        <w:tc>
          <w:tcPr>
            <w:tcW w:w="1234" w:type="dxa"/>
          </w:tcPr>
          <w:p w:rsidR="00D9120F" w:rsidRDefault="00B92977">
            <w:r>
              <w:t>Pain</w:t>
            </w:r>
          </w:p>
        </w:tc>
        <w:tc>
          <w:tcPr>
            <w:tcW w:w="1234" w:type="dxa"/>
          </w:tcPr>
          <w:p w:rsidR="00D9120F" w:rsidRDefault="00B92977">
            <w:r>
              <w:t>4.31 ± 1.37</w:t>
            </w:r>
          </w:p>
        </w:tc>
        <w:tc>
          <w:tcPr>
            <w:tcW w:w="1234" w:type="dxa"/>
          </w:tcPr>
          <w:p w:rsidR="00D9120F" w:rsidRDefault="00B92977">
            <w:r>
              <w:t>3.05 ± 1.90</w:t>
            </w:r>
          </w:p>
        </w:tc>
        <w:tc>
          <w:tcPr>
            <w:tcW w:w="1234" w:type="dxa"/>
          </w:tcPr>
          <w:p w:rsidR="00D9120F" w:rsidRDefault="00B92977">
            <w:r>
              <w:t>4.51 ± 1.05</w:t>
            </w:r>
          </w:p>
        </w:tc>
        <w:tc>
          <w:tcPr>
            <w:tcW w:w="1234" w:type="dxa"/>
          </w:tcPr>
          <w:p w:rsidR="00D9120F" w:rsidRDefault="00B92977">
            <w:r>
              <w:t>3.81 ± 1.34</w:t>
            </w:r>
          </w:p>
        </w:tc>
        <w:tc>
          <w:tcPr>
            <w:tcW w:w="1234" w:type="dxa"/>
          </w:tcPr>
          <w:p w:rsidR="00D9120F" w:rsidRDefault="00B92977">
            <w:r>
              <w:t>5.85</w:t>
            </w:r>
          </w:p>
        </w:tc>
        <w:tc>
          <w:tcPr>
            <w:tcW w:w="1234" w:type="dxa"/>
          </w:tcPr>
          <w:p w:rsidR="00D9120F" w:rsidRDefault="00B92977">
            <w:r>
              <w:t>0.1191</w:t>
            </w:r>
          </w:p>
        </w:tc>
      </w:tr>
    </w:tbl>
    <w:p w:rsidR="00631064" w:rsidRDefault="00631064"/>
    <w:p w:rsidR="000E3050" w:rsidRPr="00971E1C" w:rsidRDefault="000E3050" w:rsidP="000E3050">
      <w:pPr>
        <w:spacing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71E1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This table presents the mean ± standard deviation of FSFI total and subdomain scores according to participants’ educational levels, along with the </w:t>
      </w:r>
      <w:proofErr w:type="spellStart"/>
      <w:r w:rsidRPr="00971E1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Kruskal</w:t>
      </w:r>
      <w:proofErr w:type="spellEnd"/>
      <w:r w:rsidRPr="00971E1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-Wallis test results. Statistically significant differences were found between the groups in terms of arousal (p = 0.0153) and total FSFI score (p = 0.0348). The orgasm subdomain also showed a difference approaching significance (p = 0.0892). These results suggest that higher educational attainment may be associated with positive changes in certain aspects of sexual function.</w:t>
      </w:r>
    </w:p>
    <w:p w:rsidR="000E3050" w:rsidRDefault="000E3050">
      <w:bookmarkStart w:id="0" w:name="_GoBack"/>
      <w:bookmarkEnd w:id="0"/>
    </w:p>
    <w:sectPr w:rsidR="000E30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3050"/>
    <w:rsid w:val="0015074B"/>
    <w:rsid w:val="0029639D"/>
    <w:rsid w:val="00326F90"/>
    <w:rsid w:val="00631064"/>
    <w:rsid w:val="00AA1D8D"/>
    <w:rsid w:val="00B47730"/>
    <w:rsid w:val="00B92977"/>
    <w:rsid w:val="00CB0664"/>
    <w:rsid w:val="00D912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DD1A0"/>
  <w14:defaultImageDpi w14:val="300"/>
  <w15:docId w15:val="{033AA852-12E0-434C-BE7B-4FD99C61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428CF2-F8A4-4E79-A8F3-D460BC1D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Fırat Akdeniz</cp:lastModifiedBy>
  <cp:revision>3</cp:revision>
  <dcterms:created xsi:type="dcterms:W3CDTF">2026-03-04T09:41:00Z</dcterms:created>
  <dcterms:modified xsi:type="dcterms:W3CDTF">2026-03-05T07:18:00Z</dcterms:modified>
  <cp:category/>
</cp:coreProperties>
</file>